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006584" w:rsidRPr="000C7171" w:rsidTr="007319D1">
        <w:trPr>
          <w:trHeight w:val="1440"/>
        </w:trPr>
        <w:tc>
          <w:tcPr>
            <w:tcW w:w="5103" w:type="dxa"/>
            <w:tcBorders>
              <w:top w:val="nil"/>
              <w:left w:val="nil"/>
              <w:bottom w:val="nil"/>
              <w:right w:val="nil"/>
            </w:tcBorders>
          </w:tcPr>
          <w:p w:rsidR="00006584" w:rsidRPr="000C7171" w:rsidRDefault="00962194" w:rsidP="00006584">
            <w:pPr>
              <w:jc w:val="left"/>
              <w:rPr>
                <w:lang w:eastAsia="fr-FR"/>
              </w:rPr>
            </w:pPr>
            <w:bookmarkStart w:id="0" w:name="_GoBack"/>
            <w:bookmarkEnd w:id="0"/>
            <w:r>
              <w:rPr>
                <w:noProof/>
                <w:sz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25.25pt;width:243pt;height:66.2pt;z-index:251659264">
                  <v:imagedata r:id="rId9" o:title=""/>
                  <w10:wrap type="topAndBottom"/>
                </v:shape>
                <o:OLEObject Type="Embed" ProgID="MSPhotoEd.3" ShapeID="_x0000_s1026" DrawAspect="Content" ObjectID="_1442150541" r:id="rId10"/>
              </w:pict>
            </w:r>
          </w:p>
        </w:tc>
        <w:tc>
          <w:tcPr>
            <w:tcW w:w="4366" w:type="dxa"/>
            <w:tcBorders>
              <w:top w:val="nil"/>
              <w:left w:val="nil"/>
              <w:bottom w:val="nil"/>
              <w:right w:val="nil"/>
            </w:tcBorders>
          </w:tcPr>
          <w:p w:rsidR="00006584" w:rsidRPr="000C7171" w:rsidRDefault="00006584" w:rsidP="00006584">
            <w:pPr>
              <w:widowControl w:val="0"/>
              <w:spacing w:before="0" w:after="0"/>
              <w:ind w:right="85"/>
              <w:rPr>
                <w:b/>
                <w:snapToGrid w:val="0"/>
                <w:sz w:val="24"/>
                <w:lang w:eastAsia="en-US"/>
              </w:rPr>
            </w:pPr>
            <w:r w:rsidRPr="000C7171">
              <w:rPr>
                <w:b/>
                <w:snapToGrid w:val="0"/>
                <w:sz w:val="24"/>
                <w:lang w:eastAsia="en-US"/>
              </w:rPr>
              <w:t>Schola</w:t>
            </w:r>
            <w:r w:rsidR="00395803" w:rsidRPr="000C7171">
              <w:rPr>
                <w:b/>
                <w:snapToGrid w:val="0"/>
                <w:sz w:val="24"/>
                <w:lang w:eastAsia="en-US"/>
              </w:rPr>
              <w:t xml:space="preserve"> </w:t>
            </w:r>
            <w:r w:rsidRPr="000C7171">
              <w:rPr>
                <w:b/>
                <w:snapToGrid w:val="0"/>
                <w:sz w:val="24"/>
                <w:lang w:eastAsia="en-US"/>
              </w:rPr>
              <w:t>Europaea</w:t>
            </w:r>
          </w:p>
          <w:p w:rsidR="00006584" w:rsidRPr="000C7171" w:rsidRDefault="00006584" w:rsidP="00006584">
            <w:pPr>
              <w:widowControl w:val="0"/>
              <w:spacing w:before="0" w:after="0"/>
              <w:ind w:right="85"/>
              <w:rPr>
                <w:snapToGrid w:val="0"/>
                <w:sz w:val="16"/>
                <w:lang w:eastAsia="en-US"/>
              </w:rPr>
            </w:pPr>
          </w:p>
          <w:p w:rsidR="00006584" w:rsidRPr="000C7171" w:rsidRDefault="00006584" w:rsidP="00006584">
            <w:pPr>
              <w:widowControl w:val="0"/>
              <w:spacing w:before="0" w:after="0"/>
              <w:ind w:right="85"/>
              <w:rPr>
                <w:snapToGrid w:val="0"/>
                <w:sz w:val="16"/>
                <w:lang w:eastAsia="en-US"/>
              </w:rPr>
            </w:pPr>
          </w:p>
          <w:p w:rsidR="00006584" w:rsidRPr="000C7171" w:rsidRDefault="00006584" w:rsidP="00006584">
            <w:pPr>
              <w:widowControl w:val="0"/>
              <w:spacing w:before="0" w:after="0"/>
              <w:ind w:right="85"/>
              <w:rPr>
                <w:snapToGrid w:val="0"/>
                <w:sz w:val="16"/>
                <w:lang w:eastAsia="en-US"/>
              </w:rPr>
            </w:pPr>
          </w:p>
          <w:p w:rsidR="00006584" w:rsidRPr="000C7171" w:rsidRDefault="00006584" w:rsidP="00006584">
            <w:pPr>
              <w:widowControl w:val="0"/>
              <w:spacing w:before="0" w:after="0"/>
              <w:ind w:right="85"/>
              <w:rPr>
                <w:snapToGrid w:val="0"/>
                <w:sz w:val="16"/>
                <w:lang w:eastAsia="en-US"/>
              </w:rPr>
            </w:pPr>
            <w:r w:rsidRPr="000C7171">
              <w:rPr>
                <w:snapToGrid w:val="0"/>
                <w:sz w:val="16"/>
                <w:lang w:eastAsia="en-US"/>
              </w:rPr>
              <w:t>Office of the Secretary-General</w:t>
            </w:r>
          </w:p>
          <w:p w:rsidR="00006584" w:rsidRPr="000C7171" w:rsidRDefault="00006584" w:rsidP="00006584">
            <w:pPr>
              <w:spacing w:before="0" w:after="0"/>
              <w:ind w:right="85"/>
              <w:rPr>
                <w:snapToGrid w:val="0"/>
                <w:sz w:val="16"/>
                <w:lang w:eastAsia="en-US"/>
              </w:rPr>
            </w:pPr>
          </w:p>
        </w:tc>
      </w:tr>
    </w:tbl>
    <w:p w:rsidR="00006584" w:rsidRPr="000C7171" w:rsidRDefault="00006584" w:rsidP="00006584">
      <w:pPr>
        <w:spacing w:after="0"/>
        <w:rPr>
          <w:b/>
          <w:lang w:eastAsia="fr-FR"/>
        </w:rPr>
      </w:pPr>
      <w:r w:rsidRPr="000C7171">
        <w:rPr>
          <w:b/>
          <w:lang w:eastAsia="fr-FR"/>
        </w:rPr>
        <w:t>Ref.: 2013-07-D</w:t>
      </w:r>
      <w:r w:rsidR="00303B93" w:rsidRPr="000C7171">
        <w:rPr>
          <w:b/>
          <w:lang w:eastAsia="fr-FR"/>
        </w:rPr>
        <w:t>-18-en-2</w:t>
      </w:r>
    </w:p>
    <w:p w:rsidR="00006584" w:rsidRPr="000C7171" w:rsidRDefault="00006584" w:rsidP="00006584">
      <w:pPr>
        <w:spacing w:after="0"/>
        <w:rPr>
          <w:b/>
          <w:lang w:eastAsia="fr-FR"/>
        </w:rPr>
      </w:pPr>
      <w:r w:rsidRPr="000C7171">
        <w:rPr>
          <w:b/>
          <w:lang w:eastAsia="fr-FR"/>
        </w:rPr>
        <w:t>Orig.: EN</w:t>
      </w:r>
    </w:p>
    <w:p w:rsidR="00006584" w:rsidRPr="000C7171" w:rsidRDefault="00006584" w:rsidP="00006584">
      <w:pPr>
        <w:spacing w:after="0"/>
        <w:rPr>
          <w:b/>
          <w:lang w:eastAsia="fr-FR"/>
        </w:rPr>
      </w:pPr>
    </w:p>
    <w:p w:rsidR="00A00C63" w:rsidRPr="000C7171" w:rsidRDefault="00395803" w:rsidP="00A00C63">
      <w:pPr>
        <w:pBdr>
          <w:bottom w:val="single" w:sz="4" w:space="1" w:color="auto"/>
        </w:pBdr>
        <w:spacing w:before="2400"/>
        <w:jc w:val="left"/>
        <w:outlineLvl w:val="0"/>
        <w:rPr>
          <w:rFonts w:eastAsia="Times"/>
          <w:b/>
          <w:kern w:val="28"/>
          <w:sz w:val="32"/>
          <w:lang w:eastAsia="fr-FR"/>
        </w:rPr>
      </w:pPr>
      <w:bookmarkStart w:id="1" w:name="WorDocTitle"/>
      <w:r w:rsidRPr="000C7171">
        <w:rPr>
          <w:rFonts w:eastAsia="Times"/>
          <w:b/>
          <w:kern w:val="28"/>
          <w:sz w:val="32"/>
          <w:lang w:eastAsia="fr-FR"/>
        </w:rPr>
        <w:t>Cost S</w:t>
      </w:r>
      <w:r w:rsidR="008328BE" w:rsidRPr="000C7171">
        <w:rPr>
          <w:rFonts w:eastAsia="Times"/>
          <w:b/>
          <w:kern w:val="28"/>
          <w:sz w:val="32"/>
          <w:lang w:eastAsia="fr-FR"/>
        </w:rPr>
        <w:t xml:space="preserve">haring </w:t>
      </w:r>
      <w:r w:rsidR="00F52689">
        <w:rPr>
          <w:rFonts w:eastAsia="Times"/>
          <w:b/>
          <w:kern w:val="28"/>
          <w:sz w:val="32"/>
          <w:lang w:eastAsia="fr-FR"/>
        </w:rPr>
        <w:t>Discussion P</w:t>
      </w:r>
      <w:r w:rsidR="00A00C63" w:rsidRPr="000C7171">
        <w:rPr>
          <w:rFonts w:eastAsia="Times"/>
          <w:b/>
          <w:kern w:val="28"/>
          <w:sz w:val="32"/>
          <w:lang w:eastAsia="fr-FR"/>
        </w:rPr>
        <w:t>aper</w:t>
      </w:r>
    </w:p>
    <w:bookmarkEnd w:id="1"/>
    <w:p w:rsidR="00A00C63" w:rsidRPr="000C7171" w:rsidRDefault="00A00C63" w:rsidP="00A00C63">
      <w:pPr>
        <w:spacing w:before="0" w:after="720"/>
        <w:rPr>
          <w:rFonts w:eastAsia="Times"/>
          <w:b/>
          <w:lang w:eastAsia="fr-FR"/>
        </w:rPr>
      </w:pPr>
      <w:r w:rsidRPr="000C7171">
        <w:rPr>
          <w:rFonts w:eastAsia="Times"/>
          <w:b/>
          <w:lang w:eastAsia="fr-FR"/>
        </w:rPr>
        <w:t>BOARD OF GOVERNORS OF THE EUROPEAN SCHOOLS</w:t>
      </w:r>
    </w:p>
    <w:p w:rsidR="00A00C63" w:rsidRPr="000C7171" w:rsidRDefault="00A00C63" w:rsidP="00A00C63">
      <w:pPr>
        <w:pBdr>
          <w:bottom w:val="single" w:sz="4" w:space="1" w:color="auto"/>
        </w:pBdr>
        <w:rPr>
          <w:lang w:eastAsia="fr-FR"/>
        </w:rPr>
      </w:pPr>
      <w:r w:rsidRPr="000C7171">
        <w:rPr>
          <w:lang w:eastAsia="fr-FR"/>
        </w:rPr>
        <w:t>Meeting on 23</w:t>
      </w:r>
      <w:r w:rsidR="00395803" w:rsidRPr="000C7171">
        <w:rPr>
          <w:vertAlign w:val="superscript"/>
          <w:lang w:eastAsia="fr-FR"/>
        </w:rPr>
        <w:t xml:space="preserve"> </w:t>
      </w:r>
      <w:r w:rsidR="00F52689">
        <w:rPr>
          <w:lang w:eastAsia="fr-FR"/>
        </w:rPr>
        <w:t>September 2013 – B</w:t>
      </w:r>
      <w:r w:rsidRPr="000C7171">
        <w:rPr>
          <w:lang w:eastAsia="fr-FR"/>
        </w:rPr>
        <w:t>russels</w:t>
      </w:r>
    </w:p>
    <w:p w:rsidR="00006584" w:rsidRPr="000C7171" w:rsidRDefault="00006584">
      <w:pPr>
        <w:spacing w:before="0" w:after="200" w:line="276" w:lineRule="auto"/>
        <w:jc w:val="left"/>
        <w:rPr>
          <w:rFonts w:cs="Arial"/>
          <w:b/>
          <w:szCs w:val="22"/>
        </w:rPr>
      </w:pPr>
    </w:p>
    <w:p w:rsidR="00006584" w:rsidRPr="000C7171" w:rsidRDefault="00006584">
      <w:pPr>
        <w:spacing w:before="0" w:after="200" w:line="276" w:lineRule="auto"/>
        <w:jc w:val="left"/>
        <w:rPr>
          <w:rFonts w:cs="Arial"/>
          <w:b/>
          <w:szCs w:val="22"/>
        </w:rPr>
      </w:pPr>
    </w:p>
    <w:p w:rsidR="00006584" w:rsidRPr="000C7171" w:rsidRDefault="00006584">
      <w:pPr>
        <w:spacing w:before="0" w:after="200" w:line="276" w:lineRule="auto"/>
        <w:jc w:val="left"/>
        <w:rPr>
          <w:rFonts w:cs="Arial"/>
          <w:b/>
          <w:szCs w:val="22"/>
        </w:rPr>
      </w:pPr>
    </w:p>
    <w:p w:rsidR="00006584" w:rsidRPr="000C7171" w:rsidRDefault="00006584">
      <w:pPr>
        <w:spacing w:before="0" w:after="200" w:line="276" w:lineRule="auto"/>
        <w:jc w:val="left"/>
        <w:rPr>
          <w:rFonts w:cs="Arial"/>
          <w:b/>
          <w:szCs w:val="22"/>
        </w:rPr>
      </w:pPr>
      <w:r w:rsidRPr="000C7171">
        <w:rPr>
          <w:rFonts w:cs="Arial"/>
          <w:b/>
          <w:szCs w:val="22"/>
        </w:rPr>
        <w:br w:type="page"/>
      </w:r>
    </w:p>
    <w:p w:rsidR="00C1303D" w:rsidRDefault="00F52689" w:rsidP="00F52689">
      <w:pPr>
        <w:pStyle w:val="ListParagraph"/>
        <w:spacing w:before="0" w:after="0"/>
        <w:rPr>
          <w:rFonts w:cs="Arial"/>
          <w:b/>
          <w:sz w:val="24"/>
          <w:szCs w:val="24"/>
        </w:rPr>
      </w:pPr>
      <w:r>
        <w:rPr>
          <w:rFonts w:cs="Arial"/>
          <w:b/>
          <w:sz w:val="24"/>
          <w:szCs w:val="24"/>
        </w:rPr>
        <w:lastRenderedPageBreak/>
        <w:t xml:space="preserve">1.  </w:t>
      </w:r>
      <w:r w:rsidR="00C1303D" w:rsidRPr="000C7171">
        <w:rPr>
          <w:rFonts w:cs="Arial"/>
          <w:b/>
          <w:sz w:val="24"/>
          <w:szCs w:val="24"/>
        </w:rPr>
        <w:t>INTRODUCTION</w:t>
      </w:r>
    </w:p>
    <w:p w:rsidR="00F52689" w:rsidRDefault="00F52689" w:rsidP="00026407">
      <w:pPr>
        <w:autoSpaceDE w:val="0"/>
        <w:autoSpaceDN w:val="0"/>
        <w:adjustRightInd w:val="0"/>
        <w:spacing w:before="0" w:after="0"/>
        <w:rPr>
          <w:rFonts w:cs="Arial"/>
          <w:szCs w:val="22"/>
        </w:rPr>
      </w:pPr>
    </w:p>
    <w:p w:rsidR="00627759" w:rsidRPr="00F52689" w:rsidRDefault="000C7171" w:rsidP="00026407">
      <w:pPr>
        <w:autoSpaceDE w:val="0"/>
        <w:autoSpaceDN w:val="0"/>
        <w:adjustRightInd w:val="0"/>
        <w:spacing w:before="0" w:after="0"/>
        <w:rPr>
          <w:rFonts w:eastAsiaTheme="minorHAnsi" w:cs="Arial"/>
          <w:i/>
          <w:szCs w:val="22"/>
          <w:lang w:eastAsia="en-US"/>
        </w:rPr>
      </w:pPr>
      <w:r>
        <w:rPr>
          <w:rFonts w:cs="Arial"/>
          <w:szCs w:val="22"/>
        </w:rPr>
        <w:t xml:space="preserve">According to Article 12.4 </w:t>
      </w:r>
      <w:r w:rsidR="00627759" w:rsidRPr="000C7171">
        <w:rPr>
          <w:rFonts w:cs="Arial"/>
          <w:szCs w:val="22"/>
        </w:rPr>
        <w:t xml:space="preserve">of the Convention, </w:t>
      </w:r>
      <w:r w:rsidR="00627759" w:rsidRPr="00F52689">
        <w:rPr>
          <w:rFonts w:cs="Arial"/>
          <w:i/>
          <w:szCs w:val="22"/>
        </w:rPr>
        <w:t xml:space="preserve">“…The Board of Governors shall </w:t>
      </w:r>
      <w:r w:rsidR="00627759" w:rsidRPr="00F52689">
        <w:rPr>
          <w:rFonts w:eastAsiaTheme="minorHAnsi" w:cs="Arial"/>
          <w:i/>
          <w:szCs w:val="22"/>
          <w:lang w:eastAsia="en-US"/>
        </w:rPr>
        <w:t>determine each year, on a proposal from the Boards of Inspectors, the teaching staff requirements by creating or eliminating posts</w:t>
      </w:r>
      <w:r w:rsidR="00627759" w:rsidRPr="00F52689">
        <w:rPr>
          <w:rFonts w:eastAsiaTheme="minorHAnsi" w:cs="Arial"/>
          <w:b/>
          <w:i/>
          <w:szCs w:val="22"/>
          <w:lang w:eastAsia="en-US"/>
        </w:rPr>
        <w:t>. It shall ensure a fair allocation of posts among the Member States</w:t>
      </w:r>
      <w:r w:rsidR="00627759" w:rsidRPr="00F52689">
        <w:rPr>
          <w:rFonts w:eastAsiaTheme="minorHAnsi" w:cs="Arial"/>
          <w:i/>
          <w:szCs w:val="22"/>
          <w:lang w:eastAsia="en-US"/>
        </w:rPr>
        <w:t>. It shall settle with the Governments questions relating to the assignment or secondment of the secondary school teachers, primary school teachers and education counsellors of the School.”</w:t>
      </w:r>
    </w:p>
    <w:p w:rsidR="00627759" w:rsidRPr="000C7171" w:rsidRDefault="00627759" w:rsidP="00C1303D">
      <w:pPr>
        <w:spacing w:before="0" w:after="0"/>
        <w:rPr>
          <w:rFonts w:cs="Arial"/>
          <w:szCs w:val="22"/>
        </w:rPr>
      </w:pPr>
    </w:p>
    <w:p w:rsidR="00E31B91" w:rsidRPr="00F52689" w:rsidRDefault="007319D1" w:rsidP="00C1303D">
      <w:pPr>
        <w:spacing w:before="0" w:after="0"/>
        <w:rPr>
          <w:rFonts w:cs="Arial"/>
          <w:i/>
          <w:szCs w:val="22"/>
        </w:rPr>
      </w:pPr>
      <w:r w:rsidRPr="000C7171">
        <w:rPr>
          <w:rFonts w:cs="Arial"/>
          <w:szCs w:val="22"/>
        </w:rPr>
        <w:t xml:space="preserve">According to </w:t>
      </w:r>
      <w:r w:rsidR="00E31B91" w:rsidRPr="000C7171">
        <w:rPr>
          <w:rFonts w:cs="Arial"/>
          <w:szCs w:val="22"/>
        </w:rPr>
        <w:t>Article 25</w:t>
      </w:r>
      <w:r w:rsidRPr="000C7171">
        <w:rPr>
          <w:rFonts w:cs="Arial"/>
          <w:szCs w:val="22"/>
        </w:rPr>
        <w:t xml:space="preserve"> of the Convention, </w:t>
      </w:r>
      <w:r w:rsidRPr="00F52689">
        <w:rPr>
          <w:rFonts w:cs="Arial"/>
          <w:i/>
          <w:szCs w:val="22"/>
        </w:rPr>
        <w:t>“The</w:t>
      </w:r>
      <w:r w:rsidR="00E31B91" w:rsidRPr="00F52689">
        <w:rPr>
          <w:rFonts w:cs="Arial"/>
          <w:i/>
          <w:szCs w:val="22"/>
        </w:rPr>
        <w:t xml:space="preserve"> budget of the European Schools shall be financed by:</w:t>
      </w:r>
    </w:p>
    <w:p w:rsidR="00E31B91" w:rsidRPr="00F52689" w:rsidRDefault="00E31B91" w:rsidP="005D51F9">
      <w:pPr>
        <w:spacing w:before="0" w:after="0"/>
        <w:ind w:left="426"/>
        <w:rPr>
          <w:rFonts w:cs="Arial"/>
          <w:i/>
          <w:szCs w:val="22"/>
        </w:rPr>
      </w:pPr>
    </w:p>
    <w:p w:rsidR="00E31B91" w:rsidRPr="00F52689" w:rsidRDefault="00E31B91" w:rsidP="005D51F9">
      <w:pPr>
        <w:numPr>
          <w:ilvl w:val="1"/>
          <w:numId w:val="2"/>
        </w:numPr>
        <w:tabs>
          <w:tab w:val="clear" w:pos="1440"/>
        </w:tabs>
        <w:spacing w:before="0" w:after="0"/>
        <w:ind w:left="992" w:hanging="283"/>
        <w:rPr>
          <w:rFonts w:cs="Arial"/>
          <w:i/>
          <w:szCs w:val="22"/>
        </w:rPr>
      </w:pPr>
      <w:r w:rsidRPr="00F52689">
        <w:rPr>
          <w:rFonts w:cs="Arial"/>
          <w:i/>
          <w:szCs w:val="22"/>
        </w:rPr>
        <w:t xml:space="preserve">contributions from the Member States through the continuing payment of the remuneration for seconded or assigned teaching staff and, where appropriate, a financial contribution decided on by the Board of Governors acting unanimously; </w:t>
      </w:r>
    </w:p>
    <w:p w:rsidR="00E31B91" w:rsidRPr="00F52689" w:rsidRDefault="00E31B91" w:rsidP="005D51F9">
      <w:pPr>
        <w:spacing w:before="0" w:after="0"/>
        <w:ind w:left="992"/>
        <w:rPr>
          <w:rFonts w:cs="Arial"/>
          <w:i/>
          <w:szCs w:val="22"/>
        </w:rPr>
      </w:pPr>
    </w:p>
    <w:p w:rsidR="00E31B91" w:rsidRPr="00F52689" w:rsidRDefault="00E31B91" w:rsidP="005D51F9">
      <w:pPr>
        <w:numPr>
          <w:ilvl w:val="1"/>
          <w:numId w:val="2"/>
        </w:numPr>
        <w:tabs>
          <w:tab w:val="clear" w:pos="1440"/>
        </w:tabs>
        <w:spacing w:before="0" w:after="0"/>
        <w:ind w:left="992" w:hanging="283"/>
        <w:rPr>
          <w:rFonts w:cs="Arial"/>
          <w:i/>
          <w:szCs w:val="22"/>
        </w:rPr>
      </w:pPr>
      <w:r w:rsidRPr="00F52689">
        <w:rPr>
          <w:rFonts w:cs="Arial"/>
          <w:i/>
          <w:szCs w:val="22"/>
        </w:rPr>
        <w:t>the contribution from the European Communities, which is intended to cover the difference between the total amount of expenditure by the Schools and the total of other revenue;</w:t>
      </w:r>
    </w:p>
    <w:p w:rsidR="00E31B91" w:rsidRPr="00F52689" w:rsidRDefault="00E31B91" w:rsidP="005D51F9">
      <w:pPr>
        <w:spacing w:before="0" w:after="0"/>
        <w:ind w:left="283"/>
        <w:rPr>
          <w:rFonts w:cs="Arial"/>
          <w:i/>
          <w:szCs w:val="22"/>
        </w:rPr>
      </w:pPr>
    </w:p>
    <w:p w:rsidR="00E31B91" w:rsidRPr="00F52689" w:rsidRDefault="00E31B91" w:rsidP="005D51F9">
      <w:pPr>
        <w:numPr>
          <w:ilvl w:val="1"/>
          <w:numId w:val="2"/>
        </w:numPr>
        <w:tabs>
          <w:tab w:val="clear" w:pos="1440"/>
        </w:tabs>
        <w:spacing w:before="0" w:after="0"/>
        <w:ind w:left="992" w:hanging="283"/>
        <w:rPr>
          <w:rFonts w:cs="Arial"/>
          <w:i/>
          <w:szCs w:val="22"/>
        </w:rPr>
      </w:pPr>
      <w:r w:rsidRPr="00F52689">
        <w:rPr>
          <w:rFonts w:cs="Arial"/>
          <w:i/>
          <w:szCs w:val="22"/>
        </w:rPr>
        <w:t>contribu</w:t>
      </w:r>
      <w:r w:rsidR="007319D1" w:rsidRPr="00F52689">
        <w:rPr>
          <w:rFonts w:cs="Arial"/>
          <w:i/>
          <w:szCs w:val="22"/>
        </w:rPr>
        <w:t>tions from non-Community organis</w:t>
      </w:r>
      <w:r w:rsidRPr="00F52689">
        <w:rPr>
          <w:rFonts w:cs="Arial"/>
          <w:i/>
          <w:szCs w:val="22"/>
        </w:rPr>
        <w:t xml:space="preserve">ations with which the Board of Governors has concluded an Agreement; </w:t>
      </w:r>
    </w:p>
    <w:p w:rsidR="00E31B91" w:rsidRPr="00F52689" w:rsidRDefault="00E31B91" w:rsidP="005D51F9">
      <w:pPr>
        <w:spacing w:before="0" w:after="0"/>
        <w:ind w:left="992"/>
        <w:rPr>
          <w:rFonts w:cs="Arial"/>
          <w:i/>
          <w:szCs w:val="22"/>
        </w:rPr>
      </w:pPr>
    </w:p>
    <w:p w:rsidR="00E31B91" w:rsidRPr="00F52689" w:rsidRDefault="00E31B91" w:rsidP="005D51F9">
      <w:pPr>
        <w:numPr>
          <w:ilvl w:val="1"/>
          <w:numId w:val="2"/>
        </w:numPr>
        <w:tabs>
          <w:tab w:val="clear" w:pos="1440"/>
        </w:tabs>
        <w:spacing w:before="0" w:after="0"/>
        <w:ind w:left="992" w:hanging="283"/>
        <w:rPr>
          <w:rFonts w:cs="Arial"/>
          <w:i/>
          <w:szCs w:val="22"/>
        </w:rPr>
      </w:pPr>
      <w:r w:rsidRPr="00F52689">
        <w:rPr>
          <w:rFonts w:cs="Arial"/>
          <w:i/>
          <w:szCs w:val="22"/>
        </w:rPr>
        <w:t xml:space="preserve">the School's own revenue, notably the school fees charged to parents by the Board of Governors; </w:t>
      </w:r>
    </w:p>
    <w:p w:rsidR="00E31B91" w:rsidRPr="00F52689" w:rsidRDefault="00E31B91" w:rsidP="005D51F9">
      <w:pPr>
        <w:spacing w:before="0" w:after="0"/>
        <w:ind w:left="283"/>
        <w:rPr>
          <w:rFonts w:cs="Arial"/>
          <w:i/>
          <w:szCs w:val="22"/>
        </w:rPr>
      </w:pPr>
    </w:p>
    <w:p w:rsidR="00E31B91" w:rsidRPr="00F52689" w:rsidRDefault="00E31B91" w:rsidP="005D51F9">
      <w:pPr>
        <w:numPr>
          <w:ilvl w:val="1"/>
          <w:numId w:val="2"/>
        </w:numPr>
        <w:tabs>
          <w:tab w:val="clear" w:pos="1440"/>
        </w:tabs>
        <w:spacing w:before="0" w:after="0"/>
        <w:ind w:left="992" w:hanging="283"/>
        <w:rPr>
          <w:rFonts w:cs="Arial"/>
          <w:i/>
          <w:szCs w:val="22"/>
        </w:rPr>
      </w:pPr>
      <w:r w:rsidRPr="00F52689">
        <w:rPr>
          <w:rFonts w:cs="Arial"/>
          <w:i/>
          <w:szCs w:val="22"/>
        </w:rPr>
        <w:t xml:space="preserve">miscellaneous revenue. </w:t>
      </w:r>
    </w:p>
    <w:p w:rsidR="00E31B91" w:rsidRPr="00F52689" w:rsidRDefault="00E31B91" w:rsidP="005D51F9">
      <w:pPr>
        <w:spacing w:before="0" w:after="0"/>
        <w:ind w:left="709"/>
        <w:rPr>
          <w:rFonts w:cs="Arial"/>
          <w:i/>
          <w:szCs w:val="22"/>
        </w:rPr>
      </w:pPr>
    </w:p>
    <w:p w:rsidR="00E31B91" w:rsidRPr="00F52689" w:rsidRDefault="00E31B91" w:rsidP="00C1303D">
      <w:pPr>
        <w:spacing w:before="0" w:after="0"/>
        <w:rPr>
          <w:rFonts w:cs="Arial"/>
          <w:i/>
          <w:szCs w:val="22"/>
        </w:rPr>
      </w:pPr>
      <w:r w:rsidRPr="00F52689">
        <w:rPr>
          <w:rFonts w:cs="Arial"/>
          <w:i/>
          <w:szCs w:val="22"/>
        </w:rPr>
        <w:t>The arrangements for making available the contribution from the European Communities shall be laid down in a special agreement between the Board of Governors and the Commission.”</w:t>
      </w:r>
    </w:p>
    <w:p w:rsidR="00B8008B" w:rsidRDefault="00B8008B" w:rsidP="00C1303D">
      <w:pPr>
        <w:spacing w:before="0" w:after="0"/>
        <w:rPr>
          <w:rFonts w:cs="Arial"/>
          <w:szCs w:val="22"/>
        </w:rPr>
      </w:pPr>
    </w:p>
    <w:p w:rsidR="00F52689" w:rsidRPr="000C7171" w:rsidRDefault="00F52689" w:rsidP="00C1303D">
      <w:pPr>
        <w:spacing w:before="0" w:after="0"/>
        <w:rPr>
          <w:rFonts w:cs="Arial"/>
          <w:szCs w:val="22"/>
        </w:rPr>
      </w:pPr>
    </w:p>
    <w:p w:rsidR="00627759" w:rsidRPr="000C7171" w:rsidRDefault="00627759" w:rsidP="00627759">
      <w:pPr>
        <w:autoSpaceDE w:val="0"/>
        <w:autoSpaceDN w:val="0"/>
        <w:adjustRightInd w:val="0"/>
        <w:spacing w:before="0" w:after="0"/>
        <w:jc w:val="left"/>
        <w:rPr>
          <w:rFonts w:ascii="Times New Roman" w:eastAsiaTheme="minorHAnsi" w:hAnsi="Times New Roman"/>
          <w:sz w:val="24"/>
          <w:szCs w:val="24"/>
          <w:lang w:eastAsia="en-US"/>
        </w:rPr>
      </w:pPr>
    </w:p>
    <w:p w:rsidR="00237EC2" w:rsidRPr="000C7171" w:rsidRDefault="00A54E6B" w:rsidP="00F52689">
      <w:pPr>
        <w:autoSpaceDE w:val="0"/>
        <w:autoSpaceDN w:val="0"/>
        <w:adjustRightInd w:val="0"/>
        <w:spacing w:before="0" w:after="0"/>
        <w:ind w:left="720"/>
        <w:jc w:val="left"/>
        <w:rPr>
          <w:rFonts w:cs="Arial"/>
          <w:b/>
          <w:sz w:val="24"/>
          <w:szCs w:val="24"/>
        </w:rPr>
      </w:pPr>
      <w:r w:rsidRPr="000C7171">
        <w:rPr>
          <w:rFonts w:cs="Arial"/>
          <w:b/>
          <w:sz w:val="24"/>
          <w:szCs w:val="24"/>
        </w:rPr>
        <w:t>2.</w:t>
      </w:r>
      <w:r w:rsidR="00395803" w:rsidRPr="000C7171">
        <w:rPr>
          <w:rFonts w:cs="Arial"/>
          <w:b/>
          <w:sz w:val="24"/>
          <w:szCs w:val="24"/>
        </w:rPr>
        <w:t xml:space="preserve"> </w:t>
      </w:r>
      <w:r w:rsidR="00F52689">
        <w:rPr>
          <w:rFonts w:cs="Arial"/>
          <w:b/>
          <w:sz w:val="24"/>
          <w:szCs w:val="24"/>
        </w:rPr>
        <w:t xml:space="preserve"> </w:t>
      </w:r>
      <w:r w:rsidR="00237EC2" w:rsidRPr="000C7171">
        <w:rPr>
          <w:rFonts w:cs="Arial"/>
          <w:b/>
          <w:sz w:val="24"/>
          <w:szCs w:val="24"/>
        </w:rPr>
        <w:t>FUNDING OF THE EUROPEAN SCHOOLS</w:t>
      </w:r>
      <w:r w:rsidR="000E0A9A" w:rsidRPr="000C7171">
        <w:rPr>
          <w:rFonts w:cs="Arial"/>
          <w:b/>
          <w:sz w:val="24"/>
          <w:szCs w:val="24"/>
        </w:rPr>
        <w:t xml:space="preserve"> IN 2012</w:t>
      </w:r>
    </w:p>
    <w:p w:rsidR="00237EC2" w:rsidRPr="000C7171" w:rsidRDefault="00237EC2" w:rsidP="005D51F9">
      <w:pPr>
        <w:spacing w:before="0" w:after="0"/>
        <w:ind w:left="426"/>
        <w:rPr>
          <w:rFonts w:cs="Arial"/>
          <w:szCs w:val="22"/>
        </w:rPr>
      </w:pPr>
    </w:p>
    <w:p w:rsidR="00E31B91" w:rsidRPr="000C7171" w:rsidRDefault="007319D1" w:rsidP="00C1303D">
      <w:pPr>
        <w:spacing w:before="0" w:after="0"/>
        <w:rPr>
          <w:rFonts w:cs="Arial"/>
          <w:szCs w:val="22"/>
        </w:rPr>
      </w:pPr>
      <w:r w:rsidRPr="000C7171">
        <w:rPr>
          <w:rFonts w:cs="Arial"/>
          <w:szCs w:val="22"/>
        </w:rPr>
        <w:t>In 2012, the European Schools were</w:t>
      </w:r>
      <w:r w:rsidR="00237EC2" w:rsidRPr="000C7171">
        <w:rPr>
          <w:rFonts w:cs="Arial"/>
          <w:szCs w:val="22"/>
        </w:rPr>
        <w:t xml:space="preserve"> funded</w:t>
      </w:r>
      <w:r w:rsidR="00395803" w:rsidRPr="000C7171">
        <w:rPr>
          <w:rFonts w:cs="Arial"/>
          <w:szCs w:val="22"/>
        </w:rPr>
        <w:t xml:space="preserve"> </w:t>
      </w:r>
      <w:r w:rsidR="00237EC2" w:rsidRPr="000C7171">
        <w:rPr>
          <w:rFonts w:cs="Arial"/>
          <w:szCs w:val="22"/>
        </w:rPr>
        <w:t xml:space="preserve">by </w:t>
      </w:r>
      <w:r w:rsidRPr="000C7171">
        <w:rPr>
          <w:rFonts w:cs="Arial"/>
          <w:szCs w:val="22"/>
        </w:rPr>
        <w:t xml:space="preserve">the </w:t>
      </w:r>
      <w:r w:rsidR="00237EC2" w:rsidRPr="000C7171">
        <w:rPr>
          <w:rFonts w:cs="Arial"/>
          <w:szCs w:val="22"/>
        </w:rPr>
        <w:t xml:space="preserve">Member States (20%), </w:t>
      </w:r>
      <w:r w:rsidRPr="000C7171">
        <w:rPr>
          <w:rFonts w:cs="Arial"/>
          <w:szCs w:val="22"/>
        </w:rPr>
        <w:t xml:space="preserve">the </w:t>
      </w:r>
      <w:r w:rsidR="00237EC2" w:rsidRPr="000C7171">
        <w:rPr>
          <w:rFonts w:cs="Arial"/>
          <w:szCs w:val="22"/>
        </w:rPr>
        <w:t>European Institutions</w:t>
      </w:r>
      <w:r w:rsidR="00EB3C36" w:rsidRPr="000C7171">
        <w:rPr>
          <w:rFonts w:cs="Arial"/>
          <w:szCs w:val="22"/>
        </w:rPr>
        <w:t xml:space="preserve"> (59%), </w:t>
      </w:r>
      <w:r w:rsidR="00395803" w:rsidRPr="000C7171">
        <w:rPr>
          <w:rFonts w:cs="Arial"/>
          <w:szCs w:val="22"/>
        </w:rPr>
        <w:t>the European Patent Office (7</w:t>
      </w:r>
      <w:r w:rsidRPr="000C7171">
        <w:rPr>
          <w:rFonts w:cs="Arial"/>
          <w:szCs w:val="22"/>
        </w:rPr>
        <w:t>%, mainly at Munich) and</w:t>
      </w:r>
      <w:r w:rsidR="00EB3C36" w:rsidRPr="000C7171">
        <w:rPr>
          <w:rFonts w:cs="Arial"/>
          <w:szCs w:val="22"/>
        </w:rPr>
        <w:t xml:space="preserve"> school </w:t>
      </w:r>
      <w:r w:rsidRPr="000C7171">
        <w:rPr>
          <w:rFonts w:cs="Arial"/>
          <w:szCs w:val="22"/>
        </w:rPr>
        <w:t>fees (11%), the remainder being</w:t>
      </w:r>
      <w:r w:rsidR="00EB3C36" w:rsidRPr="000C7171">
        <w:rPr>
          <w:rFonts w:cs="Arial"/>
          <w:szCs w:val="22"/>
        </w:rPr>
        <w:t xml:space="preserve"> covered by </w:t>
      </w:r>
      <w:r w:rsidRPr="000C7171">
        <w:rPr>
          <w:rFonts w:cs="Arial"/>
          <w:szCs w:val="22"/>
        </w:rPr>
        <w:t xml:space="preserve">a </w:t>
      </w:r>
      <w:r w:rsidR="00EB3C36" w:rsidRPr="000C7171">
        <w:rPr>
          <w:rFonts w:cs="Arial"/>
          <w:szCs w:val="22"/>
        </w:rPr>
        <w:t xml:space="preserve">special levy and other revenue. </w:t>
      </w:r>
      <w:r w:rsidR="000E0A9A" w:rsidRPr="000C7171">
        <w:rPr>
          <w:rFonts w:cs="Arial"/>
          <w:szCs w:val="22"/>
        </w:rPr>
        <w:t>The European Schools have no</w:t>
      </w:r>
      <w:r w:rsidRPr="000C7171">
        <w:rPr>
          <w:rFonts w:cs="Arial"/>
          <w:szCs w:val="22"/>
        </w:rPr>
        <w:t xml:space="preserve">t been able to pay the </w:t>
      </w:r>
      <w:r w:rsidR="000E0A9A" w:rsidRPr="000C7171">
        <w:rPr>
          <w:rFonts w:cs="Arial"/>
          <w:szCs w:val="22"/>
        </w:rPr>
        <w:t>salary increases</w:t>
      </w:r>
      <w:r w:rsidR="00395803" w:rsidRPr="000C7171">
        <w:rPr>
          <w:rFonts w:cs="Arial"/>
          <w:szCs w:val="22"/>
        </w:rPr>
        <w:t xml:space="preserve"> for</w:t>
      </w:r>
      <w:r w:rsidR="00E34073" w:rsidRPr="000C7171">
        <w:rPr>
          <w:rFonts w:cs="Arial"/>
          <w:szCs w:val="22"/>
        </w:rPr>
        <w:t xml:space="preserve"> the </w:t>
      </w:r>
      <w:r w:rsidR="00395803" w:rsidRPr="000C7171">
        <w:rPr>
          <w:rFonts w:cs="Arial"/>
          <w:szCs w:val="22"/>
        </w:rPr>
        <w:t>staff f</w:t>
      </w:r>
      <w:r w:rsidR="00B8008B" w:rsidRPr="000C7171">
        <w:rPr>
          <w:rFonts w:cs="Arial"/>
          <w:szCs w:val="22"/>
        </w:rPr>
        <w:t>oreseen</w:t>
      </w:r>
      <w:r w:rsidR="000E0A9A" w:rsidRPr="000C7171">
        <w:rPr>
          <w:rFonts w:cs="Arial"/>
          <w:szCs w:val="22"/>
        </w:rPr>
        <w:t xml:space="preserve"> for the years 2011 and 2012 because the European C</w:t>
      </w:r>
      <w:r w:rsidRPr="000C7171">
        <w:rPr>
          <w:rFonts w:cs="Arial"/>
          <w:szCs w:val="22"/>
        </w:rPr>
        <w:t>ourt of Justice has not yet taken</w:t>
      </w:r>
      <w:r w:rsidR="00395803" w:rsidRPr="000C7171">
        <w:rPr>
          <w:rFonts w:cs="Arial"/>
          <w:szCs w:val="22"/>
        </w:rPr>
        <w:t xml:space="preserve"> </w:t>
      </w:r>
      <w:r w:rsidRPr="000C7171">
        <w:rPr>
          <w:rFonts w:cs="Arial"/>
          <w:szCs w:val="22"/>
        </w:rPr>
        <w:t xml:space="preserve">a decision on </w:t>
      </w:r>
      <w:r w:rsidR="00395803" w:rsidRPr="000C7171">
        <w:rPr>
          <w:rFonts w:cs="Arial"/>
          <w:szCs w:val="22"/>
        </w:rPr>
        <w:t xml:space="preserve">EU </w:t>
      </w:r>
      <w:r w:rsidR="00E34073" w:rsidRPr="000C7171">
        <w:rPr>
          <w:rFonts w:cs="Arial"/>
          <w:szCs w:val="22"/>
        </w:rPr>
        <w:t>officials</w:t>
      </w:r>
      <w:r w:rsidR="00395803" w:rsidRPr="000C7171">
        <w:rPr>
          <w:rFonts w:cs="Arial"/>
          <w:szCs w:val="22"/>
        </w:rPr>
        <w:t>’ salaries.</w:t>
      </w:r>
      <w:r w:rsidR="000E0A9A" w:rsidRPr="000C7171">
        <w:rPr>
          <w:rFonts w:cs="Arial"/>
          <w:szCs w:val="22"/>
        </w:rPr>
        <w:t xml:space="preserve"> T</w:t>
      </w:r>
      <w:r w:rsidR="00F52689">
        <w:rPr>
          <w:rFonts w:cs="Arial"/>
          <w:szCs w:val="22"/>
        </w:rPr>
        <w:t>here is therefore quite a</w:t>
      </w:r>
      <w:r w:rsidRPr="000C7171">
        <w:rPr>
          <w:rFonts w:cs="Arial"/>
          <w:szCs w:val="22"/>
        </w:rPr>
        <w:t xml:space="preserve"> large</w:t>
      </w:r>
      <w:r w:rsidR="000E0A9A" w:rsidRPr="000C7171">
        <w:rPr>
          <w:rFonts w:cs="Arial"/>
          <w:szCs w:val="22"/>
        </w:rPr>
        <w:t xml:space="preserve"> surplus as revenue.</w:t>
      </w:r>
    </w:p>
    <w:p w:rsidR="00E07650" w:rsidRPr="000C7171" w:rsidRDefault="00E07650">
      <w:pPr>
        <w:rPr>
          <w:rFonts w:cs="Arial"/>
          <w:szCs w:val="22"/>
        </w:rPr>
      </w:pPr>
    </w:p>
    <w:p w:rsidR="00006584" w:rsidRPr="000C7171" w:rsidRDefault="00006584">
      <w:pPr>
        <w:spacing w:before="0" w:after="200" w:line="276" w:lineRule="auto"/>
        <w:jc w:val="left"/>
        <w:rPr>
          <w:rFonts w:cs="Arial"/>
          <w:szCs w:val="22"/>
        </w:rPr>
      </w:pPr>
      <w:r w:rsidRPr="000C7171">
        <w:rPr>
          <w:rFonts w:cs="Arial"/>
          <w:szCs w:val="22"/>
        </w:rPr>
        <w:br w:type="page"/>
      </w:r>
    </w:p>
    <w:tbl>
      <w:tblPr>
        <w:tblW w:w="9840" w:type="dxa"/>
        <w:tblInd w:w="93" w:type="dxa"/>
        <w:tblLook w:val="04A0" w:firstRow="1" w:lastRow="0" w:firstColumn="1" w:lastColumn="0" w:noHBand="0" w:noVBand="1"/>
      </w:tblPr>
      <w:tblGrid>
        <w:gridCol w:w="1770"/>
        <w:gridCol w:w="1440"/>
        <w:gridCol w:w="1300"/>
        <w:gridCol w:w="1440"/>
        <w:gridCol w:w="1513"/>
        <w:gridCol w:w="1292"/>
        <w:gridCol w:w="1085"/>
      </w:tblGrid>
      <w:tr w:rsidR="000E0A9A" w:rsidRPr="000C7171" w:rsidTr="00F52689">
        <w:trPr>
          <w:trHeight w:val="945"/>
        </w:trPr>
        <w:tc>
          <w:tcPr>
            <w:tcW w:w="177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b/>
                <w:bCs/>
                <w:szCs w:val="22"/>
                <w:lang w:eastAsia="en-US"/>
              </w:rPr>
            </w:pPr>
            <w:r w:rsidRPr="000C7171">
              <w:rPr>
                <w:rFonts w:cs="Arial"/>
                <w:b/>
                <w:bCs/>
                <w:szCs w:val="22"/>
                <w:lang w:eastAsia="en-US"/>
              </w:rPr>
              <w:lastRenderedPageBreak/>
              <w:t>Revenue</w:t>
            </w:r>
          </w:p>
        </w:tc>
        <w:tc>
          <w:tcPr>
            <w:tcW w:w="1440" w:type="dxa"/>
            <w:tcBorders>
              <w:top w:val="single" w:sz="4" w:space="0" w:color="000000"/>
              <w:left w:val="nil"/>
              <w:bottom w:val="single" w:sz="4" w:space="0" w:color="000000"/>
              <w:right w:val="nil"/>
            </w:tcBorders>
            <w:shd w:val="clear" w:color="auto" w:fill="auto"/>
            <w:vAlign w:val="bottom"/>
            <w:hideMark/>
          </w:tcPr>
          <w:p w:rsidR="000E0A9A" w:rsidRPr="000C7171" w:rsidRDefault="007319D1" w:rsidP="000E0A9A">
            <w:pPr>
              <w:spacing w:before="0" w:after="0"/>
              <w:jc w:val="center"/>
              <w:rPr>
                <w:rFonts w:cs="Arial"/>
                <w:b/>
                <w:bCs/>
                <w:szCs w:val="22"/>
                <w:lang w:eastAsia="en-US"/>
              </w:rPr>
            </w:pPr>
            <w:r w:rsidRPr="000C7171">
              <w:rPr>
                <w:rFonts w:cs="Arial"/>
                <w:b/>
                <w:bCs/>
                <w:szCs w:val="22"/>
                <w:lang w:eastAsia="en-US"/>
              </w:rPr>
              <w:t>2012 (ended</w:t>
            </w:r>
            <w:r w:rsidR="000E0A9A" w:rsidRPr="000C7171">
              <w:rPr>
                <w:rFonts w:cs="Arial"/>
                <w:b/>
                <w:bCs/>
                <w:szCs w:val="22"/>
                <w:lang w:eastAsia="en-US"/>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center"/>
              <w:rPr>
                <w:rFonts w:cs="Arial"/>
                <w:b/>
                <w:bCs/>
                <w:szCs w:val="22"/>
                <w:lang w:eastAsia="en-US"/>
              </w:rPr>
            </w:pPr>
            <w:r w:rsidRPr="000C7171">
              <w:rPr>
                <w:rFonts w:cs="Arial"/>
                <w:b/>
                <w:bCs/>
                <w:szCs w:val="22"/>
                <w:lang w:eastAsia="en-US"/>
              </w:rPr>
              <w:t>%</w:t>
            </w:r>
          </w:p>
        </w:tc>
        <w:tc>
          <w:tcPr>
            <w:tcW w:w="1440" w:type="dxa"/>
            <w:tcBorders>
              <w:top w:val="single" w:sz="4" w:space="0" w:color="000000"/>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center"/>
              <w:rPr>
                <w:rFonts w:cs="Arial"/>
                <w:b/>
                <w:bCs/>
                <w:szCs w:val="22"/>
                <w:lang w:eastAsia="en-US"/>
              </w:rPr>
            </w:pPr>
            <w:r w:rsidRPr="000C7171">
              <w:rPr>
                <w:rFonts w:cs="Arial"/>
                <w:b/>
                <w:bCs/>
                <w:szCs w:val="22"/>
                <w:lang w:eastAsia="en-US"/>
              </w:rPr>
              <w:t>2013</w:t>
            </w:r>
          </w:p>
        </w:tc>
        <w:tc>
          <w:tcPr>
            <w:tcW w:w="1513" w:type="dxa"/>
            <w:tcBorders>
              <w:top w:val="single" w:sz="4" w:space="0" w:color="000000"/>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center"/>
              <w:rPr>
                <w:rFonts w:cs="Arial"/>
                <w:b/>
                <w:bCs/>
                <w:szCs w:val="22"/>
                <w:lang w:eastAsia="en-US"/>
              </w:rPr>
            </w:pPr>
            <w:r w:rsidRPr="000C7171">
              <w:rPr>
                <w:rFonts w:cs="Arial"/>
                <w:b/>
                <w:bCs/>
                <w:szCs w:val="22"/>
                <w:lang w:eastAsia="en-US"/>
              </w:rPr>
              <w:t>2014</w:t>
            </w:r>
          </w:p>
        </w:tc>
        <w:tc>
          <w:tcPr>
            <w:tcW w:w="1292" w:type="dxa"/>
            <w:tcBorders>
              <w:top w:val="single" w:sz="4" w:space="0" w:color="000000"/>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center"/>
              <w:rPr>
                <w:rFonts w:cs="Arial"/>
                <w:b/>
                <w:bCs/>
                <w:szCs w:val="22"/>
                <w:lang w:eastAsia="en-US"/>
              </w:rPr>
            </w:pPr>
            <w:r w:rsidRPr="000C7171">
              <w:rPr>
                <w:rFonts w:cs="Arial"/>
                <w:b/>
                <w:bCs/>
                <w:szCs w:val="22"/>
                <w:lang w:eastAsia="en-US"/>
              </w:rPr>
              <w:t>Difference     2013-2014</w:t>
            </w:r>
          </w:p>
        </w:tc>
        <w:tc>
          <w:tcPr>
            <w:tcW w:w="1085" w:type="dxa"/>
            <w:tcBorders>
              <w:top w:val="single" w:sz="4" w:space="0" w:color="000000"/>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center"/>
              <w:rPr>
                <w:rFonts w:cs="Arial"/>
                <w:b/>
                <w:bCs/>
                <w:szCs w:val="22"/>
                <w:lang w:eastAsia="en-US"/>
              </w:rPr>
            </w:pPr>
            <w:r w:rsidRPr="000C7171">
              <w:rPr>
                <w:rFonts w:cs="Arial"/>
                <w:b/>
                <w:bCs/>
                <w:szCs w:val="22"/>
                <w:lang w:eastAsia="en-US"/>
              </w:rPr>
              <w:t>%</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Member States</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55</w:t>
            </w:r>
            <w:r w:rsidR="007319D1" w:rsidRPr="000C7171">
              <w:rPr>
                <w:rFonts w:cs="Arial"/>
                <w:szCs w:val="22"/>
                <w:lang w:eastAsia="en-US"/>
              </w:rPr>
              <w:t>,</w:t>
            </w:r>
            <w:r w:rsidRPr="000C7171">
              <w:rPr>
                <w:rFonts w:cs="Arial"/>
                <w:szCs w:val="22"/>
                <w:lang w:eastAsia="en-US"/>
              </w:rPr>
              <w:t>557</w:t>
            </w:r>
            <w:r w:rsidR="007319D1" w:rsidRPr="000C7171">
              <w:rPr>
                <w:rFonts w:cs="Arial"/>
                <w:szCs w:val="22"/>
                <w:lang w:eastAsia="en-US"/>
              </w:rPr>
              <w:t>,</w:t>
            </w:r>
            <w:r w:rsidRPr="000C7171">
              <w:rPr>
                <w:rFonts w:cs="Arial"/>
                <w:szCs w:val="22"/>
                <w:lang w:eastAsia="en-US"/>
              </w:rPr>
              <w:t>843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20%</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57</w:t>
            </w:r>
            <w:r w:rsidR="007319D1" w:rsidRPr="000C7171">
              <w:rPr>
                <w:rFonts w:cs="Arial"/>
                <w:szCs w:val="22"/>
                <w:lang w:eastAsia="en-US"/>
              </w:rPr>
              <w:t>,</w:t>
            </w:r>
            <w:r w:rsidRPr="000C7171">
              <w:rPr>
                <w:rFonts w:cs="Arial"/>
                <w:szCs w:val="22"/>
                <w:lang w:eastAsia="en-US"/>
              </w:rPr>
              <w:t>679</w:t>
            </w:r>
            <w:r w:rsidR="007319D1" w:rsidRPr="000C7171">
              <w:rPr>
                <w:rFonts w:cs="Arial"/>
                <w:szCs w:val="22"/>
                <w:lang w:eastAsia="en-US"/>
              </w:rPr>
              <w:t>,</w:t>
            </w:r>
            <w:r w:rsidRPr="000C7171">
              <w:rPr>
                <w:rFonts w:cs="Arial"/>
                <w:szCs w:val="22"/>
                <w:lang w:eastAsia="en-US"/>
              </w:rPr>
              <w:t>988</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59</w:t>
            </w:r>
            <w:r w:rsidR="007319D1" w:rsidRPr="000C7171">
              <w:rPr>
                <w:rFonts w:cs="Arial"/>
                <w:szCs w:val="22"/>
                <w:lang w:eastAsia="en-US"/>
              </w:rPr>
              <w:t>,</w:t>
            </w:r>
            <w:r w:rsidRPr="000C7171">
              <w:rPr>
                <w:rFonts w:cs="Arial"/>
                <w:szCs w:val="22"/>
                <w:lang w:eastAsia="en-US"/>
              </w:rPr>
              <w:t>482</w:t>
            </w:r>
            <w:r w:rsidR="007319D1" w:rsidRPr="000C7171">
              <w:rPr>
                <w:rFonts w:cs="Arial"/>
                <w:szCs w:val="22"/>
                <w:lang w:eastAsia="en-US"/>
              </w:rPr>
              <w:t>,</w:t>
            </w:r>
            <w:r w:rsidRPr="000C7171">
              <w:rPr>
                <w:rFonts w:cs="Arial"/>
                <w:szCs w:val="22"/>
                <w:lang w:eastAsia="en-US"/>
              </w:rPr>
              <w:t>104</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w:t>
            </w:r>
            <w:r w:rsidR="007319D1" w:rsidRPr="000C7171">
              <w:rPr>
                <w:rFonts w:cs="Arial"/>
                <w:szCs w:val="22"/>
                <w:lang w:eastAsia="en-US"/>
              </w:rPr>
              <w:t>,</w:t>
            </w:r>
            <w:r w:rsidRPr="000C7171">
              <w:rPr>
                <w:rFonts w:cs="Arial"/>
                <w:szCs w:val="22"/>
                <w:lang w:eastAsia="en-US"/>
              </w:rPr>
              <w:t>802</w:t>
            </w:r>
            <w:r w:rsidR="007319D1" w:rsidRPr="000C7171">
              <w:rPr>
                <w:rFonts w:cs="Arial"/>
                <w:szCs w:val="22"/>
                <w:lang w:eastAsia="en-US"/>
              </w:rPr>
              <w:t>,</w:t>
            </w:r>
            <w:r w:rsidRPr="000C7171">
              <w:rPr>
                <w:rFonts w:cs="Arial"/>
                <w:szCs w:val="22"/>
                <w:lang w:eastAsia="en-US"/>
              </w:rPr>
              <w:t>116</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103</w:t>
            </w:r>
            <w:r w:rsidR="007319D1" w:rsidRPr="000C7171">
              <w:rPr>
                <w:rFonts w:cs="Arial"/>
                <w:szCs w:val="22"/>
                <w:lang w:eastAsia="en-US"/>
              </w:rPr>
              <w:t>.</w:t>
            </w:r>
            <w:r w:rsidRPr="000C7171">
              <w:rPr>
                <w:rFonts w:cs="Arial"/>
                <w:szCs w:val="22"/>
                <w:lang w:eastAsia="en-US"/>
              </w:rPr>
              <w:t>12%</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EU contribution</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163</w:t>
            </w:r>
            <w:r w:rsidR="007319D1" w:rsidRPr="000C7171">
              <w:rPr>
                <w:rFonts w:cs="Arial"/>
                <w:szCs w:val="22"/>
                <w:lang w:eastAsia="en-US"/>
              </w:rPr>
              <w:t>,</w:t>
            </w:r>
            <w:r w:rsidRPr="000C7171">
              <w:rPr>
                <w:rFonts w:cs="Arial"/>
                <w:szCs w:val="22"/>
                <w:lang w:eastAsia="en-US"/>
              </w:rPr>
              <w:t>882</w:t>
            </w:r>
            <w:r w:rsidR="007319D1" w:rsidRPr="000C7171">
              <w:rPr>
                <w:rFonts w:cs="Arial"/>
                <w:szCs w:val="22"/>
                <w:lang w:eastAsia="en-US"/>
              </w:rPr>
              <w:t>,</w:t>
            </w:r>
            <w:r w:rsidRPr="000C7171">
              <w:rPr>
                <w:rFonts w:cs="Arial"/>
                <w:szCs w:val="22"/>
                <w:lang w:eastAsia="en-US"/>
              </w:rPr>
              <w:t>693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59%</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171</w:t>
            </w:r>
            <w:r w:rsidR="007319D1" w:rsidRPr="000C7171">
              <w:rPr>
                <w:rFonts w:cs="Arial"/>
                <w:szCs w:val="22"/>
                <w:lang w:eastAsia="en-US"/>
              </w:rPr>
              <w:t>,</w:t>
            </w:r>
            <w:r w:rsidRPr="000C7171">
              <w:rPr>
                <w:rFonts w:cs="Arial"/>
                <w:szCs w:val="22"/>
                <w:lang w:eastAsia="en-US"/>
              </w:rPr>
              <w:t>554</w:t>
            </w:r>
            <w:r w:rsidR="007319D1" w:rsidRPr="000C7171">
              <w:rPr>
                <w:rFonts w:cs="Arial"/>
                <w:szCs w:val="22"/>
                <w:lang w:eastAsia="en-US"/>
              </w:rPr>
              <w:t>,</w:t>
            </w:r>
            <w:r w:rsidRPr="000C7171">
              <w:rPr>
                <w:rFonts w:cs="Arial"/>
                <w:szCs w:val="22"/>
                <w:lang w:eastAsia="en-US"/>
              </w:rPr>
              <w:t>083</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168</w:t>
            </w:r>
            <w:r w:rsidR="007319D1" w:rsidRPr="000C7171">
              <w:rPr>
                <w:rFonts w:cs="Arial"/>
                <w:szCs w:val="22"/>
                <w:lang w:eastAsia="en-US"/>
              </w:rPr>
              <w:t>,</w:t>
            </w:r>
            <w:r w:rsidRPr="000C7171">
              <w:rPr>
                <w:rFonts w:cs="Arial"/>
                <w:szCs w:val="22"/>
                <w:lang w:eastAsia="en-US"/>
              </w:rPr>
              <w:t>987</w:t>
            </w:r>
            <w:r w:rsidR="007319D1" w:rsidRPr="000C7171">
              <w:rPr>
                <w:rFonts w:cs="Arial"/>
                <w:szCs w:val="22"/>
                <w:lang w:eastAsia="en-US"/>
              </w:rPr>
              <w:t>,</w:t>
            </w:r>
            <w:r w:rsidRPr="000C7171">
              <w:rPr>
                <w:rFonts w:cs="Arial"/>
                <w:szCs w:val="22"/>
                <w:lang w:eastAsia="en-US"/>
              </w:rPr>
              <w:t>454</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566</w:t>
            </w:r>
            <w:r w:rsidR="007319D1" w:rsidRPr="000C7171">
              <w:rPr>
                <w:rFonts w:cs="Arial"/>
                <w:szCs w:val="22"/>
                <w:lang w:eastAsia="en-US"/>
              </w:rPr>
              <w:t>,</w:t>
            </w:r>
            <w:r w:rsidRPr="000C7171">
              <w:rPr>
                <w:rFonts w:cs="Arial"/>
                <w:szCs w:val="22"/>
                <w:lang w:eastAsia="en-US"/>
              </w:rPr>
              <w:t>629</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98</w:t>
            </w:r>
            <w:r w:rsidR="007319D1" w:rsidRPr="000C7171">
              <w:rPr>
                <w:rFonts w:cs="Arial"/>
                <w:szCs w:val="22"/>
                <w:lang w:eastAsia="en-US"/>
              </w:rPr>
              <w:t>.</w:t>
            </w:r>
            <w:r w:rsidRPr="000C7171">
              <w:rPr>
                <w:rFonts w:cs="Arial"/>
                <w:szCs w:val="22"/>
                <w:lang w:eastAsia="en-US"/>
              </w:rPr>
              <w:t>50%</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EPO</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18</w:t>
            </w:r>
            <w:r w:rsidR="007319D1" w:rsidRPr="000C7171">
              <w:rPr>
                <w:rFonts w:cs="Arial"/>
                <w:szCs w:val="22"/>
                <w:lang w:eastAsia="en-US"/>
              </w:rPr>
              <w:t>,</w:t>
            </w:r>
            <w:r w:rsidRPr="000C7171">
              <w:rPr>
                <w:rFonts w:cs="Arial"/>
                <w:szCs w:val="22"/>
                <w:lang w:eastAsia="en-US"/>
              </w:rPr>
              <w:t>979</w:t>
            </w:r>
            <w:r w:rsidR="007319D1" w:rsidRPr="000C7171">
              <w:rPr>
                <w:rFonts w:cs="Arial"/>
                <w:szCs w:val="22"/>
                <w:lang w:eastAsia="en-US"/>
              </w:rPr>
              <w:t>,</w:t>
            </w:r>
            <w:r w:rsidRPr="000C7171">
              <w:rPr>
                <w:rFonts w:cs="Arial"/>
                <w:szCs w:val="22"/>
                <w:lang w:eastAsia="en-US"/>
              </w:rPr>
              <w:t>623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7%</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19</w:t>
            </w:r>
            <w:r w:rsidR="007319D1" w:rsidRPr="000C7171">
              <w:rPr>
                <w:rFonts w:cs="Arial"/>
                <w:szCs w:val="22"/>
                <w:lang w:eastAsia="en-US"/>
              </w:rPr>
              <w:t>,</w:t>
            </w:r>
            <w:r w:rsidRPr="000C7171">
              <w:rPr>
                <w:rFonts w:cs="Arial"/>
                <w:szCs w:val="22"/>
                <w:lang w:eastAsia="en-US"/>
              </w:rPr>
              <w:t>947</w:t>
            </w:r>
            <w:r w:rsidR="007319D1" w:rsidRPr="000C7171">
              <w:rPr>
                <w:rFonts w:cs="Arial"/>
                <w:szCs w:val="22"/>
                <w:lang w:eastAsia="en-US"/>
              </w:rPr>
              <w:t>,</w:t>
            </w:r>
            <w:r w:rsidRPr="000C7171">
              <w:rPr>
                <w:rFonts w:cs="Arial"/>
                <w:szCs w:val="22"/>
                <w:lang w:eastAsia="en-US"/>
              </w:rPr>
              <w:t>605</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20</w:t>
            </w:r>
            <w:r w:rsidR="007319D1" w:rsidRPr="000C7171">
              <w:rPr>
                <w:rFonts w:cs="Arial"/>
                <w:szCs w:val="22"/>
                <w:lang w:eastAsia="en-US"/>
              </w:rPr>
              <w:t>,</w:t>
            </w:r>
            <w:r w:rsidRPr="000C7171">
              <w:rPr>
                <w:rFonts w:cs="Arial"/>
                <w:szCs w:val="22"/>
                <w:lang w:eastAsia="en-US"/>
              </w:rPr>
              <w:t>430</w:t>
            </w:r>
            <w:r w:rsidR="007319D1" w:rsidRPr="000C7171">
              <w:rPr>
                <w:rFonts w:cs="Arial"/>
                <w:szCs w:val="22"/>
                <w:lang w:eastAsia="en-US"/>
              </w:rPr>
              <w:t>,</w:t>
            </w:r>
            <w:r w:rsidRPr="000C7171">
              <w:rPr>
                <w:rFonts w:cs="Arial"/>
                <w:szCs w:val="22"/>
                <w:lang w:eastAsia="en-US"/>
              </w:rPr>
              <w:t>561</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482</w:t>
            </w:r>
            <w:r w:rsidR="007319D1" w:rsidRPr="000C7171">
              <w:rPr>
                <w:rFonts w:cs="Arial"/>
                <w:szCs w:val="22"/>
                <w:lang w:eastAsia="en-US"/>
              </w:rPr>
              <w:t>,</w:t>
            </w:r>
            <w:r w:rsidRPr="000C7171">
              <w:rPr>
                <w:rFonts w:cs="Arial"/>
                <w:szCs w:val="22"/>
                <w:lang w:eastAsia="en-US"/>
              </w:rPr>
              <w:t>956</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102</w:t>
            </w:r>
            <w:r w:rsidR="007319D1" w:rsidRPr="000C7171">
              <w:rPr>
                <w:rFonts w:cs="Arial"/>
                <w:szCs w:val="22"/>
                <w:lang w:eastAsia="en-US"/>
              </w:rPr>
              <w:t>.</w:t>
            </w:r>
            <w:r w:rsidRPr="000C7171">
              <w:rPr>
                <w:rFonts w:cs="Arial"/>
                <w:szCs w:val="22"/>
                <w:lang w:eastAsia="en-US"/>
              </w:rPr>
              <w:t>42%</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Cat</w:t>
            </w:r>
            <w:r w:rsidR="007319D1" w:rsidRPr="000C7171">
              <w:rPr>
                <w:rFonts w:cs="Arial"/>
                <w:szCs w:val="22"/>
                <w:lang w:eastAsia="en-US"/>
              </w:rPr>
              <w:t>.</w:t>
            </w:r>
            <w:r w:rsidRPr="000C7171">
              <w:rPr>
                <w:rFonts w:cs="Arial"/>
                <w:szCs w:val="22"/>
                <w:lang w:eastAsia="en-US"/>
              </w:rPr>
              <w:t xml:space="preserve"> II</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12</w:t>
            </w:r>
            <w:r w:rsidR="007319D1" w:rsidRPr="000C7171">
              <w:rPr>
                <w:rFonts w:cs="Arial"/>
                <w:szCs w:val="22"/>
                <w:lang w:eastAsia="en-US"/>
              </w:rPr>
              <w:t>,</w:t>
            </w:r>
            <w:r w:rsidRPr="000C7171">
              <w:rPr>
                <w:rFonts w:cs="Arial"/>
                <w:szCs w:val="22"/>
                <w:lang w:eastAsia="en-US"/>
              </w:rPr>
              <w:t>953</w:t>
            </w:r>
            <w:r w:rsidR="007319D1" w:rsidRPr="000C7171">
              <w:rPr>
                <w:rFonts w:cs="Arial"/>
                <w:szCs w:val="22"/>
                <w:lang w:eastAsia="en-US"/>
              </w:rPr>
              <w:t>,</w:t>
            </w:r>
            <w:r w:rsidRPr="000C7171">
              <w:rPr>
                <w:rFonts w:cs="Arial"/>
                <w:szCs w:val="22"/>
                <w:lang w:eastAsia="en-US"/>
              </w:rPr>
              <w:t>535</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5%</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14</w:t>
            </w:r>
            <w:r w:rsidR="007319D1" w:rsidRPr="000C7171">
              <w:rPr>
                <w:rFonts w:cs="Arial"/>
                <w:szCs w:val="22"/>
                <w:lang w:eastAsia="en-US"/>
              </w:rPr>
              <w:t>,</w:t>
            </w:r>
            <w:r w:rsidRPr="000C7171">
              <w:rPr>
                <w:rFonts w:cs="Arial"/>
                <w:szCs w:val="22"/>
                <w:lang w:eastAsia="en-US"/>
              </w:rPr>
              <w:t>182</w:t>
            </w:r>
            <w:r w:rsidR="007319D1" w:rsidRPr="000C7171">
              <w:rPr>
                <w:rFonts w:cs="Arial"/>
                <w:szCs w:val="22"/>
                <w:lang w:eastAsia="en-US"/>
              </w:rPr>
              <w:t>,</w:t>
            </w:r>
            <w:r w:rsidRPr="000C7171">
              <w:rPr>
                <w:rFonts w:cs="Arial"/>
                <w:szCs w:val="22"/>
                <w:lang w:eastAsia="en-US"/>
              </w:rPr>
              <w:t>715</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13</w:t>
            </w:r>
            <w:r w:rsidR="007319D1" w:rsidRPr="000C7171">
              <w:rPr>
                <w:rFonts w:cs="Arial"/>
                <w:szCs w:val="22"/>
                <w:lang w:eastAsia="en-US"/>
              </w:rPr>
              <w:t>,</w:t>
            </w:r>
            <w:r w:rsidRPr="000C7171">
              <w:rPr>
                <w:rFonts w:cs="Arial"/>
                <w:szCs w:val="22"/>
                <w:lang w:eastAsia="en-US"/>
              </w:rPr>
              <w:t>409</w:t>
            </w:r>
            <w:r w:rsidR="007319D1" w:rsidRPr="000C7171">
              <w:rPr>
                <w:rFonts w:cs="Arial"/>
                <w:szCs w:val="22"/>
                <w:lang w:eastAsia="en-US"/>
              </w:rPr>
              <w:t>,</w:t>
            </w:r>
            <w:r w:rsidRPr="000C7171">
              <w:rPr>
                <w:rFonts w:cs="Arial"/>
                <w:szCs w:val="22"/>
                <w:lang w:eastAsia="en-US"/>
              </w:rPr>
              <w:t>284</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-773</w:t>
            </w:r>
            <w:r w:rsidR="007319D1" w:rsidRPr="000C7171">
              <w:rPr>
                <w:rFonts w:cs="Arial"/>
                <w:szCs w:val="22"/>
                <w:lang w:eastAsia="en-US"/>
              </w:rPr>
              <w:t>,</w:t>
            </w:r>
            <w:r w:rsidRPr="000C7171">
              <w:rPr>
                <w:rFonts w:cs="Arial"/>
                <w:szCs w:val="22"/>
                <w:lang w:eastAsia="en-US"/>
              </w:rPr>
              <w:t>431</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94</w:t>
            </w:r>
            <w:r w:rsidR="007319D1" w:rsidRPr="000C7171">
              <w:rPr>
                <w:rFonts w:cs="Arial"/>
                <w:szCs w:val="22"/>
                <w:lang w:eastAsia="en-US"/>
              </w:rPr>
              <w:t>.</w:t>
            </w:r>
            <w:r w:rsidRPr="000C7171">
              <w:rPr>
                <w:rFonts w:cs="Arial"/>
                <w:szCs w:val="22"/>
                <w:lang w:eastAsia="en-US"/>
              </w:rPr>
              <w:t>55%</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Cat</w:t>
            </w:r>
            <w:r w:rsidR="007319D1" w:rsidRPr="000C7171">
              <w:rPr>
                <w:rFonts w:cs="Arial"/>
                <w:szCs w:val="22"/>
                <w:lang w:eastAsia="en-US"/>
              </w:rPr>
              <w:t>.</w:t>
            </w:r>
            <w:r w:rsidRPr="000C7171">
              <w:rPr>
                <w:rFonts w:cs="Arial"/>
                <w:szCs w:val="22"/>
                <w:lang w:eastAsia="en-US"/>
              </w:rPr>
              <w:t xml:space="preserve"> III and fees</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17</w:t>
            </w:r>
            <w:r w:rsidR="007319D1" w:rsidRPr="000C7171">
              <w:rPr>
                <w:rFonts w:cs="Arial"/>
                <w:szCs w:val="22"/>
                <w:lang w:eastAsia="en-US"/>
              </w:rPr>
              <w:t>,</w:t>
            </w:r>
            <w:r w:rsidRPr="000C7171">
              <w:rPr>
                <w:rFonts w:cs="Arial"/>
                <w:szCs w:val="22"/>
                <w:lang w:eastAsia="en-US"/>
              </w:rPr>
              <w:t>142</w:t>
            </w:r>
            <w:r w:rsidR="007319D1" w:rsidRPr="000C7171">
              <w:rPr>
                <w:rFonts w:cs="Arial"/>
                <w:szCs w:val="22"/>
                <w:lang w:eastAsia="en-US"/>
              </w:rPr>
              <w:t>,</w:t>
            </w:r>
            <w:r w:rsidRPr="000C7171">
              <w:rPr>
                <w:rFonts w:cs="Arial"/>
                <w:szCs w:val="22"/>
                <w:lang w:eastAsia="en-US"/>
              </w:rPr>
              <w:t>810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6%</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17</w:t>
            </w:r>
            <w:r w:rsidR="007319D1" w:rsidRPr="000C7171">
              <w:rPr>
                <w:rFonts w:cs="Arial"/>
                <w:szCs w:val="22"/>
                <w:lang w:eastAsia="en-US"/>
              </w:rPr>
              <w:t>,</w:t>
            </w:r>
            <w:r w:rsidRPr="000C7171">
              <w:rPr>
                <w:rFonts w:cs="Arial"/>
                <w:szCs w:val="22"/>
                <w:lang w:eastAsia="en-US"/>
              </w:rPr>
              <w:t>102</w:t>
            </w:r>
            <w:r w:rsidR="007319D1" w:rsidRPr="000C7171">
              <w:rPr>
                <w:rFonts w:cs="Arial"/>
                <w:szCs w:val="22"/>
                <w:lang w:eastAsia="en-US"/>
              </w:rPr>
              <w:t>,</w:t>
            </w:r>
            <w:r w:rsidRPr="000C7171">
              <w:rPr>
                <w:rFonts w:cs="Arial"/>
                <w:szCs w:val="22"/>
                <w:lang w:eastAsia="en-US"/>
              </w:rPr>
              <w:t>138</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17</w:t>
            </w:r>
            <w:r w:rsidR="007319D1" w:rsidRPr="000C7171">
              <w:rPr>
                <w:rFonts w:cs="Arial"/>
                <w:szCs w:val="22"/>
                <w:lang w:eastAsia="en-US"/>
              </w:rPr>
              <w:t>,</w:t>
            </w:r>
            <w:r w:rsidRPr="000C7171">
              <w:rPr>
                <w:rFonts w:cs="Arial"/>
                <w:szCs w:val="22"/>
                <w:lang w:eastAsia="en-US"/>
              </w:rPr>
              <w:t>798</w:t>
            </w:r>
            <w:r w:rsidR="007319D1" w:rsidRPr="000C7171">
              <w:rPr>
                <w:rFonts w:cs="Arial"/>
                <w:szCs w:val="22"/>
                <w:lang w:eastAsia="en-US"/>
              </w:rPr>
              <w:t>,</w:t>
            </w:r>
            <w:r w:rsidRPr="000C7171">
              <w:rPr>
                <w:rFonts w:cs="Arial"/>
                <w:szCs w:val="22"/>
                <w:lang w:eastAsia="en-US"/>
              </w:rPr>
              <w:t>095</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695</w:t>
            </w:r>
            <w:r w:rsidR="007319D1" w:rsidRPr="000C7171">
              <w:rPr>
                <w:rFonts w:cs="Arial"/>
                <w:szCs w:val="22"/>
                <w:lang w:eastAsia="en-US"/>
              </w:rPr>
              <w:t>,</w:t>
            </w:r>
            <w:r w:rsidRPr="000C7171">
              <w:rPr>
                <w:rFonts w:cs="Arial"/>
                <w:szCs w:val="22"/>
                <w:lang w:eastAsia="en-US"/>
              </w:rPr>
              <w:t>957</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104</w:t>
            </w:r>
            <w:r w:rsidR="007319D1" w:rsidRPr="000C7171">
              <w:rPr>
                <w:rFonts w:cs="Arial"/>
                <w:szCs w:val="22"/>
                <w:lang w:eastAsia="en-US"/>
              </w:rPr>
              <w:t>.</w:t>
            </w:r>
            <w:r w:rsidRPr="000C7171">
              <w:rPr>
                <w:rFonts w:cs="Arial"/>
                <w:szCs w:val="22"/>
                <w:lang w:eastAsia="en-US"/>
              </w:rPr>
              <w:t>07%</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Special levy</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669</w:t>
            </w:r>
            <w:r w:rsidR="007319D1" w:rsidRPr="000C7171">
              <w:rPr>
                <w:rFonts w:cs="Arial"/>
                <w:szCs w:val="22"/>
                <w:lang w:eastAsia="en-US"/>
              </w:rPr>
              <w:t>,</w:t>
            </w:r>
            <w:r w:rsidRPr="000C7171">
              <w:rPr>
                <w:rFonts w:cs="Arial"/>
                <w:szCs w:val="22"/>
                <w:lang w:eastAsia="en-US"/>
              </w:rPr>
              <w:t>135</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880</w:t>
            </w:r>
            <w:r w:rsidR="007319D1" w:rsidRPr="000C7171">
              <w:rPr>
                <w:rFonts w:cs="Arial"/>
                <w:szCs w:val="22"/>
                <w:lang w:eastAsia="en-US"/>
              </w:rPr>
              <w:t>,</w:t>
            </w:r>
            <w:r w:rsidRPr="000C7171">
              <w:rPr>
                <w:rFonts w:cs="Arial"/>
                <w:szCs w:val="22"/>
                <w:lang w:eastAsia="en-US"/>
              </w:rPr>
              <w:t>404</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788</w:t>
            </w:r>
            <w:r w:rsidR="007319D1" w:rsidRPr="000C7171">
              <w:rPr>
                <w:rFonts w:cs="Arial"/>
                <w:szCs w:val="22"/>
                <w:lang w:eastAsia="en-US"/>
              </w:rPr>
              <w:t>,</w:t>
            </w:r>
            <w:r w:rsidRPr="000C7171">
              <w:rPr>
                <w:rFonts w:cs="Arial"/>
                <w:szCs w:val="22"/>
                <w:lang w:eastAsia="en-US"/>
              </w:rPr>
              <w:t>617</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-91</w:t>
            </w:r>
            <w:r w:rsidR="007319D1" w:rsidRPr="000C7171">
              <w:rPr>
                <w:rFonts w:cs="Arial"/>
                <w:szCs w:val="22"/>
                <w:lang w:eastAsia="en-US"/>
              </w:rPr>
              <w:t>,</w:t>
            </w:r>
            <w:r w:rsidRPr="000C7171">
              <w:rPr>
                <w:rFonts w:cs="Arial"/>
                <w:szCs w:val="22"/>
                <w:lang w:eastAsia="en-US"/>
              </w:rPr>
              <w:t>787</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96</w:t>
            </w:r>
            <w:r w:rsidR="007319D1" w:rsidRPr="000C7171">
              <w:rPr>
                <w:rFonts w:cs="Arial"/>
                <w:szCs w:val="22"/>
                <w:lang w:eastAsia="en-US"/>
              </w:rPr>
              <w:t>.</w:t>
            </w:r>
            <w:r w:rsidRPr="000C7171">
              <w:rPr>
                <w:rFonts w:cs="Arial"/>
                <w:szCs w:val="22"/>
                <w:lang w:eastAsia="en-US"/>
              </w:rPr>
              <w:t>81%</w:t>
            </w:r>
          </w:p>
        </w:tc>
      </w:tr>
      <w:tr w:rsidR="000E0A9A" w:rsidRPr="000C7171" w:rsidTr="00F52689">
        <w:trPr>
          <w:trHeight w:val="315"/>
        </w:trPr>
        <w:tc>
          <w:tcPr>
            <w:tcW w:w="1770" w:type="dxa"/>
            <w:tcBorders>
              <w:top w:val="nil"/>
              <w:left w:val="single" w:sz="4" w:space="0" w:color="000000"/>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Last year's surplus</w:t>
            </w:r>
          </w:p>
        </w:tc>
        <w:tc>
          <w:tcPr>
            <w:tcW w:w="1440" w:type="dxa"/>
            <w:tcBorders>
              <w:top w:val="nil"/>
              <w:left w:val="nil"/>
              <w:bottom w:val="single" w:sz="4" w:space="0" w:color="000000"/>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4</w:t>
            </w:r>
            <w:r w:rsidR="007319D1" w:rsidRPr="000C7171">
              <w:rPr>
                <w:rFonts w:cs="Arial"/>
                <w:szCs w:val="22"/>
                <w:lang w:eastAsia="en-US"/>
              </w:rPr>
              <w:t>,</w:t>
            </w:r>
            <w:r w:rsidRPr="000C7171">
              <w:rPr>
                <w:rFonts w:cs="Arial"/>
                <w:szCs w:val="22"/>
                <w:lang w:eastAsia="en-US"/>
              </w:rPr>
              <w:t>118</w:t>
            </w:r>
            <w:r w:rsidR="007319D1" w:rsidRPr="000C7171">
              <w:rPr>
                <w:rFonts w:cs="Arial"/>
                <w:szCs w:val="22"/>
                <w:lang w:eastAsia="en-US"/>
              </w:rPr>
              <w:t>,</w:t>
            </w:r>
            <w:r w:rsidRPr="000C7171">
              <w:rPr>
                <w:rFonts w:cs="Arial"/>
                <w:szCs w:val="22"/>
                <w:lang w:eastAsia="en-US"/>
              </w:rPr>
              <w:t>119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w:t>
            </w:r>
          </w:p>
        </w:tc>
        <w:tc>
          <w:tcPr>
            <w:tcW w:w="1440"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0</w:t>
            </w:r>
          </w:p>
        </w:tc>
        <w:tc>
          <w:tcPr>
            <w:tcW w:w="1513"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0</w:t>
            </w:r>
          </w:p>
        </w:tc>
        <w:tc>
          <w:tcPr>
            <w:tcW w:w="1292"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0</w:t>
            </w:r>
          </w:p>
        </w:tc>
        <w:tc>
          <w:tcPr>
            <w:tcW w:w="1085" w:type="dxa"/>
            <w:tcBorders>
              <w:top w:val="nil"/>
              <w:left w:val="nil"/>
              <w:bottom w:val="single" w:sz="4" w:space="0" w:color="000000"/>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0</w:t>
            </w:r>
            <w:r w:rsidR="007319D1" w:rsidRPr="000C7171">
              <w:rPr>
                <w:rFonts w:cs="Arial"/>
                <w:szCs w:val="22"/>
                <w:lang w:eastAsia="en-US"/>
              </w:rPr>
              <w:t>.</w:t>
            </w:r>
            <w:r w:rsidRPr="000C7171">
              <w:rPr>
                <w:rFonts w:cs="Arial"/>
                <w:szCs w:val="22"/>
                <w:lang w:eastAsia="en-US"/>
              </w:rPr>
              <w:t>00%</w:t>
            </w:r>
          </w:p>
        </w:tc>
      </w:tr>
      <w:tr w:rsidR="000E0A9A" w:rsidRPr="000C7171" w:rsidTr="00F52689">
        <w:trPr>
          <w:trHeight w:val="330"/>
        </w:trPr>
        <w:tc>
          <w:tcPr>
            <w:tcW w:w="1770" w:type="dxa"/>
            <w:tcBorders>
              <w:top w:val="nil"/>
              <w:left w:val="single" w:sz="4" w:space="0" w:color="000000"/>
              <w:bottom w:val="nil"/>
              <w:right w:val="single" w:sz="4" w:space="0" w:color="000000"/>
            </w:tcBorders>
            <w:shd w:val="clear" w:color="auto" w:fill="auto"/>
            <w:vAlign w:val="bottom"/>
            <w:hideMark/>
          </w:tcPr>
          <w:p w:rsidR="000E0A9A" w:rsidRPr="000C7171" w:rsidRDefault="000E0A9A" w:rsidP="000E0A9A">
            <w:pPr>
              <w:spacing w:before="0" w:after="0"/>
              <w:jc w:val="left"/>
              <w:rPr>
                <w:rFonts w:cs="Arial"/>
                <w:szCs w:val="22"/>
                <w:lang w:eastAsia="en-US"/>
              </w:rPr>
            </w:pPr>
            <w:r w:rsidRPr="000C7171">
              <w:rPr>
                <w:rFonts w:cs="Arial"/>
                <w:szCs w:val="22"/>
                <w:lang w:eastAsia="en-US"/>
              </w:rPr>
              <w:t>Other revenue</w:t>
            </w:r>
          </w:p>
        </w:tc>
        <w:tc>
          <w:tcPr>
            <w:tcW w:w="1440" w:type="dxa"/>
            <w:tcBorders>
              <w:top w:val="nil"/>
              <w:left w:val="nil"/>
              <w:bottom w:val="nil"/>
              <w:right w:val="nil"/>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677</w:t>
            </w:r>
            <w:r w:rsidR="007319D1" w:rsidRPr="000C7171">
              <w:rPr>
                <w:rFonts w:cs="Arial"/>
                <w:szCs w:val="22"/>
                <w:lang w:eastAsia="en-US"/>
              </w:rPr>
              <w:t>,</w:t>
            </w:r>
            <w:r w:rsidRPr="000C7171">
              <w:rPr>
                <w:rFonts w:cs="Arial"/>
                <w:szCs w:val="22"/>
                <w:lang w:eastAsia="en-US"/>
              </w:rPr>
              <w:t>297</w:t>
            </w:r>
          </w:p>
        </w:tc>
        <w:tc>
          <w:tcPr>
            <w:tcW w:w="1300" w:type="dxa"/>
            <w:tcBorders>
              <w:top w:val="nil"/>
              <w:left w:val="single" w:sz="4" w:space="0" w:color="auto"/>
              <w:bottom w:val="nil"/>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w:t>
            </w:r>
          </w:p>
        </w:tc>
        <w:tc>
          <w:tcPr>
            <w:tcW w:w="1440" w:type="dxa"/>
            <w:tcBorders>
              <w:top w:val="nil"/>
              <w:left w:val="nil"/>
              <w:bottom w:val="nil"/>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649</w:t>
            </w:r>
            <w:r w:rsidR="007319D1" w:rsidRPr="000C7171">
              <w:rPr>
                <w:rFonts w:cs="Arial"/>
                <w:szCs w:val="22"/>
                <w:lang w:eastAsia="en-US"/>
              </w:rPr>
              <w:t>,</w:t>
            </w:r>
            <w:r w:rsidRPr="000C7171">
              <w:rPr>
                <w:rFonts w:cs="Arial"/>
                <w:szCs w:val="22"/>
                <w:lang w:eastAsia="en-US"/>
              </w:rPr>
              <w:t>766</w:t>
            </w:r>
          </w:p>
        </w:tc>
        <w:tc>
          <w:tcPr>
            <w:tcW w:w="1513" w:type="dxa"/>
            <w:tcBorders>
              <w:top w:val="nil"/>
              <w:left w:val="nil"/>
              <w:bottom w:val="nil"/>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2</w:t>
            </w:r>
            <w:r w:rsidR="007319D1" w:rsidRPr="000C7171">
              <w:rPr>
                <w:rFonts w:cs="Arial"/>
                <w:szCs w:val="22"/>
                <w:lang w:eastAsia="en-US"/>
              </w:rPr>
              <w:t>,</w:t>
            </w:r>
            <w:r w:rsidRPr="000C7171">
              <w:rPr>
                <w:rFonts w:cs="Arial"/>
                <w:szCs w:val="22"/>
                <w:lang w:eastAsia="en-US"/>
              </w:rPr>
              <w:t>651</w:t>
            </w:r>
            <w:r w:rsidR="007319D1" w:rsidRPr="000C7171">
              <w:rPr>
                <w:rFonts w:cs="Arial"/>
                <w:szCs w:val="22"/>
                <w:lang w:eastAsia="en-US"/>
              </w:rPr>
              <w:t>,</w:t>
            </w:r>
            <w:r w:rsidRPr="000C7171">
              <w:rPr>
                <w:rFonts w:cs="Arial"/>
                <w:szCs w:val="22"/>
                <w:lang w:eastAsia="en-US"/>
              </w:rPr>
              <w:t>033</w:t>
            </w:r>
          </w:p>
        </w:tc>
        <w:tc>
          <w:tcPr>
            <w:tcW w:w="1292" w:type="dxa"/>
            <w:tcBorders>
              <w:top w:val="nil"/>
              <w:left w:val="nil"/>
              <w:bottom w:val="nil"/>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w:t>
            </w:r>
            <w:r w:rsidR="007319D1" w:rsidRPr="000C7171">
              <w:rPr>
                <w:rFonts w:cs="Arial"/>
                <w:szCs w:val="22"/>
                <w:lang w:eastAsia="en-US"/>
              </w:rPr>
              <w:t>,</w:t>
            </w:r>
            <w:r w:rsidRPr="000C7171">
              <w:rPr>
                <w:rFonts w:cs="Arial"/>
                <w:szCs w:val="22"/>
                <w:lang w:eastAsia="en-US"/>
              </w:rPr>
              <w:t>267</w:t>
            </w:r>
          </w:p>
        </w:tc>
        <w:tc>
          <w:tcPr>
            <w:tcW w:w="1085" w:type="dxa"/>
            <w:tcBorders>
              <w:top w:val="nil"/>
              <w:left w:val="nil"/>
              <w:bottom w:val="nil"/>
              <w:right w:val="single" w:sz="4" w:space="0" w:color="000000"/>
            </w:tcBorders>
            <w:shd w:val="clear" w:color="auto" w:fill="auto"/>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100</w:t>
            </w:r>
            <w:r w:rsidR="007319D1" w:rsidRPr="000C7171">
              <w:rPr>
                <w:rFonts w:cs="Arial"/>
                <w:szCs w:val="22"/>
                <w:lang w:eastAsia="en-US"/>
              </w:rPr>
              <w:t>.</w:t>
            </w:r>
            <w:r w:rsidRPr="000C7171">
              <w:rPr>
                <w:rFonts w:cs="Arial"/>
                <w:szCs w:val="22"/>
                <w:lang w:eastAsia="en-US"/>
              </w:rPr>
              <w:t>05%</w:t>
            </w:r>
          </w:p>
        </w:tc>
      </w:tr>
      <w:tr w:rsidR="000E0A9A" w:rsidRPr="000C7171" w:rsidTr="00F52689">
        <w:trPr>
          <w:trHeight w:val="330"/>
        </w:trPr>
        <w:tc>
          <w:tcPr>
            <w:tcW w:w="177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E0A9A" w:rsidRPr="000C7171" w:rsidRDefault="000E0A9A" w:rsidP="000E0A9A">
            <w:pPr>
              <w:spacing w:before="0" w:after="0"/>
              <w:jc w:val="left"/>
              <w:rPr>
                <w:rFonts w:cs="Arial"/>
                <w:b/>
                <w:bCs/>
                <w:szCs w:val="22"/>
                <w:lang w:eastAsia="en-US"/>
              </w:rPr>
            </w:pPr>
            <w:r w:rsidRPr="000C7171">
              <w:rPr>
                <w:rFonts w:cs="Arial"/>
                <w:b/>
                <w:bCs/>
                <w:szCs w:val="22"/>
                <w:lang w:eastAsia="en-US"/>
              </w:rPr>
              <w:t>Total</w:t>
            </w:r>
          </w:p>
        </w:tc>
        <w:tc>
          <w:tcPr>
            <w:tcW w:w="1440" w:type="dxa"/>
            <w:tcBorders>
              <w:top w:val="single" w:sz="8" w:space="0" w:color="auto"/>
              <w:left w:val="nil"/>
              <w:bottom w:val="single" w:sz="8" w:space="0" w:color="auto"/>
              <w:right w:val="single" w:sz="4" w:space="0" w:color="auto"/>
            </w:tcBorders>
            <w:shd w:val="clear" w:color="auto" w:fill="auto"/>
            <w:vAlign w:val="bottom"/>
            <w:hideMark/>
          </w:tcPr>
          <w:p w:rsidR="000E0A9A" w:rsidRPr="000C7171" w:rsidRDefault="000E0A9A" w:rsidP="000E0A9A">
            <w:pPr>
              <w:spacing w:before="0" w:after="0"/>
              <w:jc w:val="right"/>
              <w:rPr>
                <w:rFonts w:cs="Arial"/>
                <w:b/>
                <w:bCs/>
                <w:szCs w:val="22"/>
                <w:lang w:eastAsia="en-US"/>
              </w:rPr>
            </w:pPr>
            <w:r w:rsidRPr="000C7171">
              <w:rPr>
                <w:rFonts w:cs="Arial"/>
                <w:b/>
                <w:bCs/>
                <w:szCs w:val="22"/>
                <w:lang w:eastAsia="en-US"/>
              </w:rPr>
              <w:t>277</w:t>
            </w:r>
            <w:r w:rsidR="007319D1" w:rsidRPr="000C7171">
              <w:rPr>
                <w:rFonts w:cs="Arial"/>
                <w:b/>
                <w:bCs/>
                <w:szCs w:val="22"/>
                <w:lang w:eastAsia="en-US"/>
              </w:rPr>
              <w:t>,</w:t>
            </w:r>
            <w:r w:rsidRPr="000C7171">
              <w:rPr>
                <w:rFonts w:cs="Arial"/>
                <w:b/>
                <w:bCs/>
                <w:szCs w:val="22"/>
                <w:lang w:eastAsia="en-US"/>
              </w:rPr>
              <w:t>981</w:t>
            </w:r>
            <w:r w:rsidR="007319D1" w:rsidRPr="000C7171">
              <w:rPr>
                <w:rFonts w:cs="Arial"/>
                <w:b/>
                <w:bCs/>
                <w:szCs w:val="22"/>
                <w:lang w:eastAsia="en-US"/>
              </w:rPr>
              <w:t>,</w:t>
            </w:r>
            <w:r w:rsidRPr="000C7171">
              <w:rPr>
                <w:rFonts w:cs="Arial"/>
                <w:b/>
                <w:bCs/>
                <w:szCs w:val="22"/>
                <w:lang w:eastAsia="en-US"/>
              </w:rPr>
              <w:t>055</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E0A9A" w:rsidRPr="000C7171" w:rsidRDefault="000E0A9A" w:rsidP="000E0A9A">
            <w:pPr>
              <w:spacing w:before="0" w:after="0"/>
              <w:jc w:val="right"/>
              <w:rPr>
                <w:rFonts w:cs="Arial"/>
                <w:szCs w:val="22"/>
                <w:lang w:eastAsia="en-US"/>
              </w:rPr>
            </w:pPr>
            <w:r w:rsidRPr="000C7171">
              <w:rPr>
                <w:rFonts w:cs="Arial"/>
                <w:szCs w:val="22"/>
                <w:lang w:eastAsia="en-US"/>
              </w:rPr>
              <w:t>100%</w:t>
            </w:r>
          </w:p>
        </w:tc>
        <w:tc>
          <w:tcPr>
            <w:tcW w:w="1440" w:type="dxa"/>
            <w:tcBorders>
              <w:top w:val="single" w:sz="8" w:space="0" w:color="auto"/>
              <w:left w:val="nil"/>
              <w:bottom w:val="single" w:sz="8" w:space="0" w:color="auto"/>
              <w:right w:val="single" w:sz="4" w:space="0" w:color="auto"/>
            </w:tcBorders>
            <w:shd w:val="clear" w:color="auto" w:fill="auto"/>
            <w:vAlign w:val="bottom"/>
            <w:hideMark/>
          </w:tcPr>
          <w:p w:rsidR="000E0A9A" w:rsidRPr="000C7171" w:rsidRDefault="000E0A9A" w:rsidP="000E0A9A">
            <w:pPr>
              <w:spacing w:before="0" w:after="0"/>
              <w:jc w:val="right"/>
              <w:rPr>
                <w:rFonts w:cs="Arial"/>
                <w:b/>
                <w:bCs/>
                <w:szCs w:val="22"/>
                <w:lang w:eastAsia="en-US"/>
              </w:rPr>
            </w:pPr>
            <w:r w:rsidRPr="000C7171">
              <w:rPr>
                <w:rFonts w:cs="Arial"/>
                <w:b/>
                <w:bCs/>
                <w:szCs w:val="22"/>
                <w:lang w:eastAsia="en-US"/>
              </w:rPr>
              <w:t>285</w:t>
            </w:r>
            <w:r w:rsidR="007319D1" w:rsidRPr="000C7171">
              <w:rPr>
                <w:rFonts w:cs="Arial"/>
                <w:b/>
                <w:bCs/>
                <w:szCs w:val="22"/>
                <w:lang w:eastAsia="en-US"/>
              </w:rPr>
              <w:t>,</w:t>
            </w:r>
            <w:r w:rsidRPr="000C7171">
              <w:rPr>
                <w:rFonts w:cs="Arial"/>
                <w:b/>
                <w:bCs/>
                <w:szCs w:val="22"/>
                <w:lang w:eastAsia="en-US"/>
              </w:rPr>
              <w:t>996</w:t>
            </w:r>
            <w:r w:rsidR="007319D1" w:rsidRPr="000C7171">
              <w:rPr>
                <w:rFonts w:cs="Arial"/>
                <w:b/>
                <w:bCs/>
                <w:szCs w:val="22"/>
                <w:lang w:eastAsia="en-US"/>
              </w:rPr>
              <w:t>,</w:t>
            </w:r>
            <w:r w:rsidRPr="000C7171">
              <w:rPr>
                <w:rFonts w:cs="Arial"/>
                <w:b/>
                <w:bCs/>
                <w:szCs w:val="22"/>
                <w:lang w:eastAsia="en-US"/>
              </w:rPr>
              <w:t>699</w:t>
            </w:r>
          </w:p>
        </w:tc>
        <w:tc>
          <w:tcPr>
            <w:tcW w:w="1513" w:type="dxa"/>
            <w:tcBorders>
              <w:top w:val="single" w:sz="8" w:space="0" w:color="auto"/>
              <w:left w:val="nil"/>
              <w:bottom w:val="single" w:sz="8" w:space="0" w:color="auto"/>
              <w:right w:val="single" w:sz="4" w:space="0" w:color="auto"/>
            </w:tcBorders>
            <w:shd w:val="clear" w:color="auto" w:fill="auto"/>
            <w:vAlign w:val="bottom"/>
            <w:hideMark/>
          </w:tcPr>
          <w:p w:rsidR="000E0A9A" w:rsidRPr="000C7171" w:rsidRDefault="000E0A9A" w:rsidP="000E0A9A">
            <w:pPr>
              <w:spacing w:before="0" w:after="0"/>
              <w:jc w:val="right"/>
              <w:rPr>
                <w:rFonts w:cs="Arial"/>
                <w:b/>
                <w:bCs/>
                <w:szCs w:val="22"/>
                <w:lang w:eastAsia="en-US"/>
              </w:rPr>
            </w:pPr>
            <w:r w:rsidRPr="000C7171">
              <w:rPr>
                <w:rFonts w:cs="Arial"/>
                <w:b/>
                <w:bCs/>
                <w:szCs w:val="22"/>
                <w:lang w:eastAsia="en-US"/>
              </w:rPr>
              <w:t>285</w:t>
            </w:r>
            <w:r w:rsidR="007319D1" w:rsidRPr="000C7171">
              <w:rPr>
                <w:rFonts w:cs="Arial"/>
                <w:b/>
                <w:bCs/>
                <w:szCs w:val="22"/>
                <w:lang w:eastAsia="en-US"/>
              </w:rPr>
              <w:t>,</w:t>
            </w:r>
            <w:r w:rsidRPr="000C7171">
              <w:rPr>
                <w:rFonts w:cs="Arial"/>
                <w:b/>
                <w:bCs/>
                <w:szCs w:val="22"/>
                <w:lang w:eastAsia="en-US"/>
              </w:rPr>
              <w:t>547</w:t>
            </w:r>
            <w:r w:rsidR="007319D1" w:rsidRPr="000C7171">
              <w:rPr>
                <w:rFonts w:cs="Arial"/>
                <w:b/>
                <w:bCs/>
                <w:szCs w:val="22"/>
                <w:lang w:eastAsia="en-US"/>
              </w:rPr>
              <w:t>,</w:t>
            </w:r>
            <w:r w:rsidRPr="000C7171">
              <w:rPr>
                <w:rFonts w:cs="Arial"/>
                <w:b/>
                <w:bCs/>
                <w:szCs w:val="22"/>
                <w:lang w:eastAsia="en-US"/>
              </w:rPr>
              <w:t>148</w:t>
            </w:r>
          </w:p>
        </w:tc>
        <w:tc>
          <w:tcPr>
            <w:tcW w:w="1292" w:type="dxa"/>
            <w:tcBorders>
              <w:top w:val="single" w:sz="8" w:space="0" w:color="auto"/>
              <w:left w:val="nil"/>
              <w:bottom w:val="single" w:sz="8" w:space="0" w:color="auto"/>
              <w:right w:val="single" w:sz="4" w:space="0" w:color="auto"/>
            </w:tcBorders>
            <w:shd w:val="clear" w:color="auto" w:fill="auto"/>
            <w:vAlign w:val="bottom"/>
            <w:hideMark/>
          </w:tcPr>
          <w:p w:rsidR="000E0A9A" w:rsidRPr="000C7171" w:rsidRDefault="000E0A9A" w:rsidP="000E0A9A">
            <w:pPr>
              <w:spacing w:before="0" w:after="0"/>
              <w:jc w:val="right"/>
              <w:rPr>
                <w:rFonts w:cs="Arial"/>
                <w:b/>
                <w:bCs/>
                <w:szCs w:val="22"/>
                <w:lang w:eastAsia="en-US"/>
              </w:rPr>
            </w:pPr>
            <w:r w:rsidRPr="000C7171">
              <w:rPr>
                <w:rFonts w:cs="Arial"/>
                <w:b/>
                <w:bCs/>
                <w:szCs w:val="22"/>
                <w:lang w:eastAsia="en-US"/>
              </w:rPr>
              <w:t>-449</w:t>
            </w:r>
            <w:r w:rsidR="007319D1" w:rsidRPr="000C7171">
              <w:rPr>
                <w:rFonts w:cs="Arial"/>
                <w:b/>
                <w:bCs/>
                <w:szCs w:val="22"/>
                <w:lang w:eastAsia="en-US"/>
              </w:rPr>
              <w:t>,</w:t>
            </w:r>
            <w:r w:rsidRPr="000C7171">
              <w:rPr>
                <w:rFonts w:cs="Arial"/>
                <w:b/>
                <w:bCs/>
                <w:szCs w:val="22"/>
                <w:lang w:eastAsia="en-US"/>
              </w:rPr>
              <w:t>551</w:t>
            </w:r>
          </w:p>
        </w:tc>
        <w:tc>
          <w:tcPr>
            <w:tcW w:w="1085" w:type="dxa"/>
            <w:tcBorders>
              <w:top w:val="single" w:sz="8" w:space="0" w:color="auto"/>
              <w:left w:val="nil"/>
              <w:bottom w:val="single" w:sz="8" w:space="0" w:color="auto"/>
              <w:right w:val="single" w:sz="8" w:space="0" w:color="auto"/>
            </w:tcBorders>
            <w:shd w:val="clear" w:color="auto" w:fill="auto"/>
            <w:vAlign w:val="bottom"/>
            <w:hideMark/>
          </w:tcPr>
          <w:p w:rsidR="000E0A9A" w:rsidRPr="000C7171" w:rsidRDefault="000E0A9A" w:rsidP="000E0A9A">
            <w:pPr>
              <w:spacing w:before="0" w:after="0"/>
              <w:jc w:val="right"/>
              <w:rPr>
                <w:rFonts w:cs="Arial"/>
                <w:b/>
                <w:bCs/>
                <w:szCs w:val="22"/>
                <w:lang w:eastAsia="en-US"/>
              </w:rPr>
            </w:pPr>
            <w:r w:rsidRPr="000C7171">
              <w:rPr>
                <w:rFonts w:cs="Arial"/>
                <w:b/>
                <w:bCs/>
                <w:szCs w:val="22"/>
                <w:lang w:eastAsia="en-US"/>
              </w:rPr>
              <w:t>99</w:t>
            </w:r>
            <w:r w:rsidR="007319D1" w:rsidRPr="000C7171">
              <w:rPr>
                <w:rFonts w:cs="Arial"/>
                <w:b/>
                <w:bCs/>
                <w:szCs w:val="22"/>
                <w:lang w:eastAsia="en-US"/>
              </w:rPr>
              <w:t>.</w:t>
            </w:r>
            <w:r w:rsidRPr="000C7171">
              <w:rPr>
                <w:rFonts w:cs="Arial"/>
                <w:b/>
                <w:bCs/>
                <w:szCs w:val="22"/>
                <w:lang w:eastAsia="en-US"/>
              </w:rPr>
              <w:t>84%</w:t>
            </w:r>
          </w:p>
        </w:tc>
      </w:tr>
    </w:tbl>
    <w:p w:rsidR="00B8008B" w:rsidRDefault="00B8008B">
      <w:pPr>
        <w:rPr>
          <w:rFonts w:cs="Arial"/>
          <w:szCs w:val="22"/>
        </w:rPr>
      </w:pPr>
    </w:p>
    <w:p w:rsidR="00F52689" w:rsidRPr="000C7171" w:rsidRDefault="00F52689">
      <w:pPr>
        <w:rPr>
          <w:rFonts w:cs="Arial"/>
          <w:szCs w:val="22"/>
        </w:rPr>
      </w:pPr>
    </w:p>
    <w:p w:rsidR="00EB3C36" w:rsidRPr="000C7171" w:rsidRDefault="00013D4B" w:rsidP="00F52689">
      <w:pPr>
        <w:pStyle w:val="ListParagraph"/>
        <w:spacing w:before="0" w:after="0"/>
        <w:rPr>
          <w:rFonts w:cs="Arial"/>
          <w:b/>
          <w:sz w:val="24"/>
          <w:szCs w:val="24"/>
        </w:rPr>
      </w:pPr>
      <w:r w:rsidRPr="000C7171">
        <w:rPr>
          <w:rFonts w:cs="Arial"/>
          <w:b/>
          <w:sz w:val="24"/>
          <w:szCs w:val="24"/>
        </w:rPr>
        <w:t xml:space="preserve">3. </w:t>
      </w:r>
      <w:r w:rsidR="00F52689">
        <w:rPr>
          <w:rFonts w:cs="Arial"/>
          <w:b/>
          <w:sz w:val="24"/>
          <w:szCs w:val="24"/>
        </w:rPr>
        <w:t xml:space="preserve"> </w:t>
      </w:r>
      <w:r w:rsidR="00EB3C36" w:rsidRPr="000C7171">
        <w:rPr>
          <w:rFonts w:cs="Arial"/>
          <w:b/>
          <w:sz w:val="24"/>
          <w:szCs w:val="24"/>
        </w:rPr>
        <w:t>COST SHARING DECISIONS</w:t>
      </w:r>
    </w:p>
    <w:p w:rsidR="00B8008B" w:rsidRPr="000C7171" w:rsidRDefault="00B8008B" w:rsidP="00B8008B">
      <w:pPr>
        <w:pStyle w:val="ListParagraph"/>
        <w:spacing w:before="0" w:after="0"/>
        <w:ind w:left="714"/>
        <w:rPr>
          <w:rFonts w:cs="Arial"/>
          <w:b/>
          <w:sz w:val="24"/>
          <w:szCs w:val="24"/>
        </w:rPr>
      </w:pPr>
    </w:p>
    <w:p w:rsidR="00EB3C36" w:rsidRPr="000C7171" w:rsidRDefault="00A1474C" w:rsidP="007319D1">
      <w:pPr>
        <w:pStyle w:val="PlainText"/>
        <w:jc w:val="both"/>
        <w:rPr>
          <w:rFonts w:cs="Arial"/>
          <w:sz w:val="22"/>
          <w:szCs w:val="22"/>
        </w:rPr>
      </w:pPr>
      <w:r w:rsidRPr="000C7171">
        <w:rPr>
          <w:rFonts w:cs="Arial"/>
          <w:sz w:val="22"/>
          <w:szCs w:val="22"/>
        </w:rPr>
        <w:t>The principle of the structural approach (and not a financial method) was agreed by the Board of Governors in April 2008.</w:t>
      </w:r>
      <w:r w:rsidR="00EB3C36" w:rsidRPr="000C7171">
        <w:rPr>
          <w:rFonts w:cs="Arial"/>
          <w:sz w:val="22"/>
          <w:szCs w:val="22"/>
        </w:rPr>
        <w:t>This structural approach opened up the possibility of teaching by non-native speaker</w:t>
      </w:r>
      <w:r w:rsidR="007319D1" w:rsidRPr="000C7171">
        <w:rPr>
          <w:rFonts w:cs="Arial"/>
          <w:sz w:val="22"/>
          <w:szCs w:val="22"/>
        </w:rPr>
        <w:t xml:space="preserve">s in certain limited cases and </w:t>
      </w:r>
      <w:r w:rsidR="00EB3C36" w:rsidRPr="000C7171">
        <w:rPr>
          <w:rFonts w:cs="Arial"/>
          <w:sz w:val="22"/>
          <w:szCs w:val="22"/>
        </w:rPr>
        <w:t>with quality contr</w:t>
      </w:r>
      <w:r w:rsidR="007319D1" w:rsidRPr="000C7171">
        <w:rPr>
          <w:rFonts w:cs="Arial"/>
          <w:sz w:val="22"/>
          <w:szCs w:val="22"/>
        </w:rPr>
        <w:t>ol of linguistic competence to</w:t>
      </w:r>
      <w:r w:rsidR="00EB3C36" w:rsidRPr="000C7171">
        <w:rPr>
          <w:rFonts w:cs="Arial"/>
          <w:sz w:val="22"/>
          <w:szCs w:val="22"/>
        </w:rPr>
        <w:t xml:space="preserve"> be carried out prior to recruitment and </w:t>
      </w:r>
      <w:r w:rsidR="007319D1" w:rsidRPr="000C7171">
        <w:rPr>
          <w:rFonts w:cs="Arial"/>
          <w:sz w:val="22"/>
          <w:szCs w:val="22"/>
        </w:rPr>
        <w:t>by establishing criteria for that</w:t>
      </w:r>
      <w:r w:rsidR="00EB3C36" w:rsidRPr="000C7171">
        <w:rPr>
          <w:rFonts w:cs="Arial"/>
          <w:sz w:val="22"/>
          <w:szCs w:val="22"/>
        </w:rPr>
        <w:t xml:space="preserve"> purpose.</w:t>
      </w:r>
    </w:p>
    <w:p w:rsidR="00B8008B" w:rsidRPr="000C7171" w:rsidRDefault="00B8008B" w:rsidP="007319D1">
      <w:pPr>
        <w:pStyle w:val="PlainText"/>
        <w:jc w:val="both"/>
        <w:rPr>
          <w:rFonts w:cs="Arial"/>
          <w:sz w:val="22"/>
          <w:szCs w:val="22"/>
        </w:rPr>
      </w:pPr>
    </w:p>
    <w:p w:rsidR="00EB3C36" w:rsidRPr="000C7171" w:rsidRDefault="00AB3BD7" w:rsidP="00B8008B">
      <w:pPr>
        <w:spacing w:before="0" w:after="0"/>
        <w:rPr>
          <w:rFonts w:cs="Arial"/>
          <w:szCs w:val="22"/>
        </w:rPr>
      </w:pPr>
      <w:r w:rsidRPr="000C7171">
        <w:rPr>
          <w:rFonts w:cs="Arial"/>
          <w:szCs w:val="22"/>
        </w:rPr>
        <w:t xml:space="preserve">Basic principles were </w:t>
      </w:r>
      <w:r w:rsidR="00D07F58" w:rsidRPr="000C7171">
        <w:rPr>
          <w:rFonts w:cs="Arial"/>
          <w:szCs w:val="22"/>
        </w:rPr>
        <w:t xml:space="preserve">finally confirmed </w:t>
      </w:r>
      <w:r w:rsidRPr="000C7171">
        <w:rPr>
          <w:rFonts w:cs="Arial"/>
          <w:szCs w:val="22"/>
        </w:rPr>
        <w:t>i</w:t>
      </w:r>
      <w:r w:rsidR="00EB3C36" w:rsidRPr="000C7171">
        <w:rPr>
          <w:rFonts w:cs="Arial"/>
          <w:szCs w:val="22"/>
        </w:rPr>
        <w:t xml:space="preserve">n </w:t>
      </w:r>
      <w:r w:rsidR="00E34073" w:rsidRPr="000C7171">
        <w:rPr>
          <w:rFonts w:cs="Arial"/>
          <w:szCs w:val="22"/>
        </w:rPr>
        <w:t xml:space="preserve">April </w:t>
      </w:r>
      <w:r w:rsidR="007319D1" w:rsidRPr="000C7171">
        <w:rPr>
          <w:rFonts w:cs="Arial"/>
          <w:szCs w:val="22"/>
        </w:rPr>
        <w:t xml:space="preserve">2009 </w:t>
      </w:r>
      <w:r w:rsidRPr="000C7171">
        <w:rPr>
          <w:rFonts w:cs="Arial"/>
          <w:szCs w:val="22"/>
        </w:rPr>
        <w:t xml:space="preserve">and </w:t>
      </w:r>
      <w:r w:rsidR="007319D1" w:rsidRPr="000C7171">
        <w:rPr>
          <w:rFonts w:cs="Arial"/>
          <w:szCs w:val="22"/>
        </w:rPr>
        <w:t xml:space="preserve">the Board of Governors took an important </w:t>
      </w:r>
      <w:r w:rsidR="00EB3C36" w:rsidRPr="000C7171">
        <w:rPr>
          <w:rFonts w:cs="Arial"/>
          <w:szCs w:val="22"/>
        </w:rPr>
        <w:t xml:space="preserve">decision concerning the </w:t>
      </w:r>
      <w:r w:rsidR="00E34073" w:rsidRPr="000C7171">
        <w:rPr>
          <w:rFonts w:cs="Arial"/>
          <w:szCs w:val="22"/>
        </w:rPr>
        <w:t xml:space="preserve">implementation of the </w:t>
      </w:r>
      <w:r w:rsidR="009F7928" w:rsidRPr="000C7171">
        <w:rPr>
          <w:rFonts w:cs="Arial"/>
          <w:szCs w:val="22"/>
        </w:rPr>
        <w:t>structural approach</w:t>
      </w:r>
      <w:r w:rsidR="00395803" w:rsidRPr="000C7171">
        <w:rPr>
          <w:rFonts w:cs="Arial"/>
          <w:szCs w:val="22"/>
        </w:rPr>
        <w:t xml:space="preserve"> </w:t>
      </w:r>
      <w:r w:rsidR="009F7928" w:rsidRPr="000C7171">
        <w:rPr>
          <w:rFonts w:cs="Arial"/>
          <w:szCs w:val="22"/>
        </w:rPr>
        <w:t xml:space="preserve">and </w:t>
      </w:r>
      <w:r w:rsidR="00E34073" w:rsidRPr="000C7171">
        <w:rPr>
          <w:rFonts w:cs="Arial"/>
          <w:szCs w:val="22"/>
        </w:rPr>
        <w:t xml:space="preserve">the </w:t>
      </w:r>
      <w:r w:rsidR="00EB3C36" w:rsidRPr="000C7171">
        <w:rPr>
          <w:rFonts w:cs="Arial"/>
          <w:szCs w:val="22"/>
        </w:rPr>
        <w:t xml:space="preserve">sharing of the </w:t>
      </w:r>
      <w:r w:rsidR="00013D4B" w:rsidRPr="000C7171">
        <w:rPr>
          <w:rFonts w:cs="Arial"/>
          <w:szCs w:val="22"/>
        </w:rPr>
        <w:t>posts</w:t>
      </w:r>
      <w:r w:rsidR="00395803" w:rsidRPr="000C7171">
        <w:rPr>
          <w:rFonts w:cs="Arial"/>
          <w:szCs w:val="22"/>
        </w:rPr>
        <w:t xml:space="preserve"> </w:t>
      </w:r>
      <w:r w:rsidR="00EB3C36" w:rsidRPr="000C7171">
        <w:rPr>
          <w:rFonts w:cs="Arial"/>
          <w:szCs w:val="22"/>
        </w:rPr>
        <w:t>of seconded staff amongst Member States</w:t>
      </w:r>
      <w:r w:rsidR="007319D1" w:rsidRPr="000C7171">
        <w:rPr>
          <w:rFonts w:cs="Arial"/>
          <w:szCs w:val="22"/>
        </w:rPr>
        <w:t xml:space="preserve"> (see A</w:t>
      </w:r>
      <w:r w:rsidR="00026407" w:rsidRPr="000C7171">
        <w:rPr>
          <w:rFonts w:cs="Arial"/>
          <w:szCs w:val="22"/>
        </w:rPr>
        <w:t>nnex I</w:t>
      </w:r>
      <w:r w:rsidR="00E11DA1" w:rsidRPr="000C7171">
        <w:rPr>
          <w:rFonts w:cs="Arial"/>
          <w:szCs w:val="22"/>
        </w:rPr>
        <w:t>)</w:t>
      </w:r>
      <w:r w:rsidR="00EB3C36" w:rsidRPr="000C7171">
        <w:rPr>
          <w:rFonts w:cs="Arial"/>
          <w:szCs w:val="22"/>
        </w:rPr>
        <w:t xml:space="preserve">.  </w:t>
      </w:r>
    </w:p>
    <w:p w:rsidR="00B8008B" w:rsidRPr="000C7171" w:rsidRDefault="00B8008B" w:rsidP="00B8008B">
      <w:pPr>
        <w:spacing w:before="0" w:after="0"/>
        <w:rPr>
          <w:rFonts w:cs="Arial"/>
          <w:szCs w:val="22"/>
        </w:rPr>
      </w:pPr>
    </w:p>
    <w:p w:rsidR="00EB3C36" w:rsidRPr="000C7171" w:rsidRDefault="00EB3C36" w:rsidP="007319D1">
      <w:pPr>
        <w:pStyle w:val="PlainText"/>
        <w:jc w:val="both"/>
        <w:rPr>
          <w:rFonts w:cs="Arial"/>
          <w:sz w:val="22"/>
          <w:szCs w:val="22"/>
        </w:rPr>
      </w:pPr>
      <w:r w:rsidRPr="000C7171">
        <w:rPr>
          <w:rFonts w:cs="Arial"/>
          <w:sz w:val="22"/>
          <w:szCs w:val="22"/>
        </w:rPr>
        <w:t>A</w:t>
      </w:r>
      <w:r w:rsidR="00050740" w:rsidRPr="000C7171">
        <w:rPr>
          <w:rFonts w:cs="Arial"/>
          <w:sz w:val="22"/>
          <w:szCs w:val="22"/>
        </w:rPr>
        <w:t xml:space="preserve">ccording to the decision, an </w:t>
      </w:r>
      <w:r w:rsidR="007319D1" w:rsidRPr="000C7171">
        <w:rPr>
          <w:rFonts w:cs="Arial"/>
          <w:sz w:val="22"/>
          <w:szCs w:val="22"/>
        </w:rPr>
        <w:t xml:space="preserve">indicative reference </w:t>
      </w:r>
      <w:r w:rsidR="00013D4B" w:rsidRPr="000C7171">
        <w:rPr>
          <w:rFonts w:cs="Arial"/>
          <w:sz w:val="22"/>
          <w:szCs w:val="22"/>
        </w:rPr>
        <w:t xml:space="preserve">for determining the number of seconded teachers </w:t>
      </w:r>
      <w:r w:rsidR="007319D1" w:rsidRPr="000C7171">
        <w:rPr>
          <w:rFonts w:cs="Arial"/>
          <w:sz w:val="22"/>
          <w:szCs w:val="22"/>
        </w:rPr>
        <w:t xml:space="preserve">is </w:t>
      </w:r>
      <w:r w:rsidR="00013D4B" w:rsidRPr="000C7171">
        <w:rPr>
          <w:rFonts w:cs="Arial"/>
          <w:sz w:val="22"/>
          <w:szCs w:val="22"/>
        </w:rPr>
        <w:t xml:space="preserve">calculated </w:t>
      </w:r>
      <w:r w:rsidRPr="000C7171">
        <w:rPr>
          <w:rFonts w:cs="Arial"/>
          <w:sz w:val="22"/>
          <w:szCs w:val="22"/>
        </w:rPr>
        <w:t xml:space="preserve">for each Member State on the basis of the percentage of all categories of pupils who are nationals. </w:t>
      </w:r>
    </w:p>
    <w:p w:rsidR="00EB3C36" w:rsidRPr="000C7171" w:rsidRDefault="00EB3C36" w:rsidP="007319D1">
      <w:pPr>
        <w:pStyle w:val="PlainText"/>
        <w:jc w:val="both"/>
        <w:rPr>
          <w:rFonts w:cs="Arial"/>
          <w:sz w:val="22"/>
          <w:szCs w:val="22"/>
        </w:rPr>
      </w:pPr>
    </w:p>
    <w:p w:rsidR="00EB3C36" w:rsidRPr="000C7171" w:rsidRDefault="00EB3C36" w:rsidP="007319D1">
      <w:pPr>
        <w:pStyle w:val="PlainText"/>
        <w:jc w:val="both"/>
        <w:rPr>
          <w:rFonts w:cs="Arial"/>
          <w:sz w:val="22"/>
          <w:szCs w:val="22"/>
        </w:rPr>
      </w:pPr>
      <w:r w:rsidRPr="000C7171">
        <w:rPr>
          <w:rFonts w:cs="Arial"/>
          <w:sz w:val="22"/>
          <w:szCs w:val="22"/>
        </w:rPr>
        <w:t>It was agreed that Member States are free to exceed this indicative reference on a voluntary basis and second more staff.</w:t>
      </w:r>
    </w:p>
    <w:p w:rsidR="00EB3C36" w:rsidRPr="000C7171" w:rsidRDefault="00EB3C36" w:rsidP="007319D1">
      <w:pPr>
        <w:pStyle w:val="PlainText"/>
        <w:jc w:val="both"/>
        <w:rPr>
          <w:rFonts w:cs="Arial"/>
          <w:sz w:val="22"/>
          <w:szCs w:val="22"/>
        </w:rPr>
      </w:pPr>
    </w:p>
    <w:p w:rsidR="00EB3C36" w:rsidRPr="000C7171" w:rsidRDefault="00EB3C36" w:rsidP="007319D1">
      <w:pPr>
        <w:pStyle w:val="PlainText"/>
        <w:jc w:val="both"/>
        <w:rPr>
          <w:rFonts w:cs="Arial"/>
          <w:sz w:val="22"/>
          <w:szCs w:val="22"/>
        </w:rPr>
      </w:pPr>
      <w:r w:rsidRPr="000C7171">
        <w:rPr>
          <w:rFonts w:cs="Arial"/>
          <w:sz w:val="22"/>
          <w:szCs w:val="22"/>
        </w:rPr>
        <w:t>These in</w:t>
      </w:r>
      <w:r w:rsidR="003D19EB" w:rsidRPr="000C7171">
        <w:rPr>
          <w:rFonts w:cs="Arial"/>
          <w:sz w:val="22"/>
          <w:szCs w:val="22"/>
        </w:rPr>
        <w:t xml:space="preserve">dicative objectives were </w:t>
      </w:r>
      <w:r w:rsidR="00B8008B" w:rsidRPr="000C7171">
        <w:rPr>
          <w:rFonts w:cs="Arial"/>
          <w:sz w:val="22"/>
          <w:szCs w:val="22"/>
        </w:rPr>
        <w:t xml:space="preserve">supposed </w:t>
      </w:r>
      <w:r w:rsidRPr="000C7171">
        <w:rPr>
          <w:rFonts w:cs="Arial"/>
          <w:sz w:val="22"/>
          <w:szCs w:val="22"/>
        </w:rPr>
        <w:t>to be used to start a dialogue with Member States in order to facilitate the process designed to ensure that all Member States contribute to the system.</w:t>
      </w:r>
    </w:p>
    <w:p w:rsidR="00EB3C36" w:rsidRPr="000C7171" w:rsidRDefault="00EB3C36" w:rsidP="007319D1">
      <w:pPr>
        <w:pStyle w:val="PlainText"/>
        <w:jc w:val="both"/>
        <w:rPr>
          <w:rFonts w:cs="Arial"/>
          <w:sz w:val="22"/>
          <w:szCs w:val="22"/>
        </w:rPr>
      </w:pPr>
    </w:p>
    <w:p w:rsidR="001F5B3C" w:rsidRPr="00F52689" w:rsidRDefault="00EB3C36" w:rsidP="001F5B3C">
      <w:pPr>
        <w:pStyle w:val="PlainText"/>
        <w:jc w:val="both"/>
        <w:rPr>
          <w:rFonts w:cs="Arial"/>
          <w:i/>
          <w:sz w:val="22"/>
          <w:szCs w:val="22"/>
        </w:rPr>
      </w:pPr>
      <w:r w:rsidRPr="000C7171">
        <w:rPr>
          <w:rFonts w:cs="Arial"/>
          <w:sz w:val="22"/>
          <w:szCs w:val="22"/>
        </w:rPr>
        <w:t>According to the decision,</w:t>
      </w:r>
      <w:r w:rsidR="001F5B3C" w:rsidRPr="000C7171">
        <w:rPr>
          <w:rFonts w:cs="Arial"/>
          <w:sz w:val="22"/>
          <w:szCs w:val="22"/>
        </w:rPr>
        <w:t xml:space="preserve"> </w:t>
      </w:r>
      <w:r w:rsidR="001F5B3C" w:rsidRPr="00F52689">
        <w:rPr>
          <w:rFonts w:cs="Arial"/>
          <w:i/>
          <w:sz w:val="22"/>
          <w:szCs w:val="22"/>
        </w:rPr>
        <w:t>“</w:t>
      </w:r>
      <w:r w:rsidR="005845CC" w:rsidRPr="00F52689">
        <w:rPr>
          <w:rFonts w:cs="Arial"/>
          <w:i/>
          <w:sz w:val="22"/>
          <w:szCs w:val="22"/>
        </w:rPr>
        <w:t>in</w:t>
      </w:r>
      <w:r w:rsidR="001F5B3C" w:rsidRPr="00F52689">
        <w:rPr>
          <w:rFonts w:cs="Arial"/>
          <w:i/>
          <w:sz w:val="22"/>
          <w:szCs w:val="22"/>
        </w:rPr>
        <w:t xml:space="preserve"> the case where there is a need to call on the EU budget to cover a possible deficit at the end of this process, this community contribution by means of the financing of locally recruited teachers shall be clearly identified and shall be subject to annual monitoring.”</w:t>
      </w:r>
    </w:p>
    <w:p w:rsidR="001E0BC3" w:rsidRPr="000C7171" w:rsidRDefault="00B8008B" w:rsidP="001E0BC3">
      <w:pPr>
        <w:pStyle w:val="PlainText"/>
        <w:jc w:val="both"/>
        <w:rPr>
          <w:rFonts w:cs="Arial"/>
          <w:szCs w:val="22"/>
        </w:rPr>
      </w:pPr>
      <w:r w:rsidRPr="000C7171">
        <w:rPr>
          <w:rFonts w:cs="Arial"/>
          <w:sz w:val="22"/>
          <w:szCs w:val="22"/>
        </w:rPr>
        <w:t>I</w:t>
      </w:r>
      <w:r w:rsidR="00050740" w:rsidRPr="000C7171">
        <w:rPr>
          <w:rFonts w:cs="Arial"/>
          <w:sz w:val="22"/>
          <w:szCs w:val="22"/>
        </w:rPr>
        <w:t xml:space="preserve">f the structural approach table is used to balance the financial contributions made by various Member States, </w:t>
      </w:r>
      <w:r w:rsidR="001F5B3C" w:rsidRPr="000C7171">
        <w:rPr>
          <w:rFonts w:cs="Arial"/>
          <w:sz w:val="22"/>
          <w:szCs w:val="22"/>
        </w:rPr>
        <w:t xml:space="preserve">Member States’ </w:t>
      </w:r>
      <w:r w:rsidR="00050740" w:rsidRPr="000C7171">
        <w:rPr>
          <w:rFonts w:cs="Arial"/>
          <w:sz w:val="22"/>
          <w:szCs w:val="22"/>
        </w:rPr>
        <w:t xml:space="preserve">contributions to </w:t>
      </w:r>
      <w:r w:rsidR="001F5B3C" w:rsidRPr="000C7171">
        <w:rPr>
          <w:rFonts w:cs="Arial"/>
          <w:sz w:val="22"/>
          <w:szCs w:val="22"/>
        </w:rPr>
        <w:t>the Munich S</w:t>
      </w:r>
      <w:r w:rsidR="00050740" w:rsidRPr="000C7171">
        <w:rPr>
          <w:rFonts w:cs="Arial"/>
          <w:sz w:val="22"/>
          <w:szCs w:val="22"/>
        </w:rPr>
        <w:t>chool</w:t>
      </w:r>
      <w:r w:rsidR="001F5B3C" w:rsidRPr="000C7171">
        <w:rPr>
          <w:rFonts w:cs="Arial"/>
          <w:sz w:val="22"/>
          <w:szCs w:val="22"/>
        </w:rPr>
        <w:t xml:space="preserve"> have to be excluded, because the school reimburses the full secondment costs. This means that</w:t>
      </w:r>
      <w:r w:rsidR="00050740" w:rsidRPr="000C7171">
        <w:rPr>
          <w:rFonts w:cs="Arial"/>
          <w:sz w:val="22"/>
          <w:szCs w:val="22"/>
        </w:rPr>
        <w:t xml:space="preserve"> the table should be corrected if it is used for any</w:t>
      </w:r>
      <w:r w:rsidR="001F5B3C" w:rsidRPr="000C7171">
        <w:rPr>
          <w:rFonts w:cs="Arial"/>
          <w:sz w:val="22"/>
          <w:szCs w:val="22"/>
        </w:rPr>
        <w:t>thing</w:t>
      </w:r>
      <w:r w:rsidR="00050740" w:rsidRPr="000C7171">
        <w:rPr>
          <w:rFonts w:cs="Arial"/>
          <w:sz w:val="22"/>
          <w:szCs w:val="22"/>
        </w:rPr>
        <w:t xml:space="preserve"> other than structural purposes.</w:t>
      </w:r>
      <w:r w:rsidR="001E0BC3" w:rsidRPr="000C7171">
        <w:rPr>
          <w:rFonts w:cs="Arial"/>
          <w:sz w:val="22"/>
          <w:szCs w:val="22"/>
        </w:rPr>
        <w:br w:type="page"/>
      </w:r>
    </w:p>
    <w:p w:rsidR="00B84558" w:rsidRPr="000C7171" w:rsidRDefault="00EB7ED7" w:rsidP="00F52689">
      <w:pPr>
        <w:pStyle w:val="ListParagraph"/>
        <w:spacing w:before="0" w:after="0"/>
        <w:rPr>
          <w:rFonts w:cs="Arial"/>
          <w:b/>
          <w:sz w:val="24"/>
          <w:szCs w:val="24"/>
        </w:rPr>
      </w:pPr>
      <w:r w:rsidRPr="000C7171">
        <w:rPr>
          <w:rFonts w:cs="Arial"/>
          <w:b/>
          <w:sz w:val="24"/>
          <w:szCs w:val="24"/>
        </w:rPr>
        <w:t xml:space="preserve">4. </w:t>
      </w:r>
      <w:r w:rsidR="00F52689">
        <w:rPr>
          <w:rFonts w:cs="Arial"/>
          <w:b/>
          <w:sz w:val="24"/>
          <w:szCs w:val="24"/>
        </w:rPr>
        <w:t xml:space="preserve"> </w:t>
      </w:r>
      <w:r w:rsidR="00DC60DB" w:rsidRPr="000C7171">
        <w:rPr>
          <w:rFonts w:cs="Arial"/>
          <w:b/>
          <w:sz w:val="24"/>
          <w:szCs w:val="24"/>
        </w:rPr>
        <w:t>UK POSITION</w:t>
      </w:r>
    </w:p>
    <w:p w:rsidR="00B8008B" w:rsidRPr="000C7171" w:rsidRDefault="00B8008B" w:rsidP="00B8008B">
      <w:pPr>
        <w:pStyle w:val="ListParagraph"/>
        <w:spacing w:before="0" w:after="0"/>
        <w:ind w:left="714"/>
        <w:rPr>
          <w:rFonts w:cs="Arial"/>
          <w:b/>
          <w:sz w:val="24"/>
          <w:szCs w:val="24"/>
        </w:rPr>
      </w:pPr>
    </w:p>
    <w:p w:rsidR="00B84558" w:rsidRPr="000C7171" w:rsidRDefault="00B84558" w:rsidP="007319D1">
      <w:pPr>
        <w:pStyle w:val="PlainText"/>
        <w:jc w:val="both"/>
        <w:rPr>
          <w:rFonts w:cs="Arial"/>
          <w:sz w:val="22"/>
          <w:szCs w:val="22"/>
        </w:rPr>
      </w:pPr>
      <w:r w:rsidRPr="000C7171">
        <w:rPr>
          <w:rFonts w:cs="Arial"/>
          <w:sz w:val="22"/>
          <w:szCs w:val="22"/>
        </w:rPr>
        <w:t>The UK delegation formally no</w:t>
      </w:r>
      <w:r w:rsidR="001F5B3C" w:rsidRPr="000C7171">
        <w:rPr>
          <w:rFonts w:cs="Arial"/>
          <w:sz w:val="22"/>
          <w:szCs w:val="22"/>
        </w:rPr>
        <w:t>tified the Board of Governors at</w:t>
      </w:r>
      <w:r w:rsidRPr="000C7171">
        <w:rPr>
          <w:rFonts w:cs="Arial"/>
          <w:sz w:val="22"/>
          <w:szCs w:val="22"/>
        </w:rPr>
        <w:t xml:space="preserve"> the Ap</w:t>
      </w:r>
      <w:r w:rsidR="00B8008B" w:rsidRPr="000C7171">
        <w:rPr>
          <w:rFonts w:cs="Arial"/>
          <w:sz w:val="22"/>
          <w:szCs w:val="22"/>
        </w:rPr>
        <w:t>ril 2013 meeting</w:t>
      </w:r>
      <w:r w:rsidR="001F5B3C" w:rsidRPr="000C7171">
        <w:rPr>
          <w:rFonts w:cs="Arial"/>
          <w:sz w:val="22"/>
          <w:szCs w:val="22"/>
        </w:rPr>
        <w:t xml:space="preserve"> that they would</w:t>
      </w:r>
      <w:r w:rsidR="00395803" w:rsidRPr="000C7171">
        <w:rPr>
          <w:rFonts w:cs="Arial"/>
          <w:sz w:val="22"/>
          <w:szCs w:val="22"/>
        </w:rPr>
        <w:t xml:space="preserve"> </w:t>
      </w:r>
      <w:r w:rsidR="001F5B3C" w:rsidRPr="000C7171">
        <w:rPr>
          <w:rFonts w:cs="Arial"/>
          <w:sz w:val="22"/>
          <w:szCs w:val="22"/>
        </w:rPr>
        <w:t>not replace any teachers who were</w:t>
      </w:r>
      <w:r w:rsidRPr="000C7171">
        <w:rPr>
          <w:rFonts w:cs="Arial"/>
          <w:sz w:val="22"/>
          <w:szCs w:val="22"/>
        </w:rPr>
        <w:t xml:space="preserve"> leaving the </w:t>
      </w:r>
      <w:r w:rsidR="001E7CF4" w:rsidRPr="000C7171">
        <w:rPr>
          <w:rFonts w:cs="Arial"/>
          <w:sz w:val="22"/>
          <w:szCs w:val="22"/>
        </w:rPr>
        <w:t>European School system</w:t>
      </w:r>
      <w:r w:rsidRPr="000C7171">
        <w:rPr>
          <w:rFonts w:cs="Arial"/>
          <w:sz w:val="22"/>
          <w:szCs w:val="22"/>
        </w:rPr>
        <w:t xml:space="preserve"> in August 2013.  Furthermore, the Board was also informed of the UK delegation</w:t>
      </w:r>
      <w:r w:rsidR="001F5B3C" w:rsidRPr="000C7171">
        <w:rPr>
          <w:rFonts w:cs="Arial"/>
          <w:sz w:val="22"/>
          <w:szCs w:val="22"/>
        </w:rPr>
        <w:t>’s long-</w:t>
      </w:r>
      <w:r w:rsidRPr="000C7171">
        <w:rPr>
          <w:rFonts w:cs="Arial"/>
          <w:sz w:val="22"/>
          <w:szCs w:val="22"/>
        </w:rPr>
        <w:t>standing position regarding new Anglophone teaching posts.</w:t>
      </w:r>
    </w:p>
    <w:p w:rsidR="00DC60DB" w:rsidRPr="000C7171" w:rsidRDefault="00DC60DB" w:rsidP="007319D1">
      <w:pPr>
        <w:pStyle w:val="PlainText"/>
        <w:jc w:val="both"/>
        <w:rPr>
          <w:rFonts w:cs="Arial"/>
          <w:sz w:val="22"/>
          <w:szCs w:val="22"/>
        </w:rPr>
      </w:pPr>
    </w:p>
    <w:p w:rsidR="00B84558" w:rsidRPr="000C7171" w:rsidRDefault="00B84558" w:rsidP="007319D1">
      <w:pPr>
        <w:pStyle w:val="PlainText"/>
        <w:jc w:val="both"/>
        <w:rPr>
          <w:rFonts w:cs="Arial"/>
          <w:sz w:val="22"/>
          <w:szCs w:val="22"/>
        </w:rPr>
      </w:pPr>
      <w:r w:rsidRPr="000C7171">
        <w:rPr>
          <w:rFonts w:cs="Arial"/>
          <w:sz w:val="22"/>
          <w:szCs w:val="22"/>
        </w:rPr>
        <w:t>This statement came as no surprise to the Board of Governors.  A</w:t>
      </w:r>
      <w:r w:rsidR="001F5B3C" w:rsidRPr="000C7171">
        <w:rPr>
          <w:rFonts w:cs="Arial"/>
          <w:sz w:val="22"/>
          <w:szCs w:val="22"/>
        </w:rPr>
        <w:t xml:space="preserve">s the UK made clear during its </w:t>
      </w:r>
      <w:r w:rsidRPr="000C7171">
        <w:rPr>
          <w:rFonts w:cs="Arial"/>
          <w:sz w:val="22"/>
          <w:szCs w:val="22"/>
        </w:rPr>
        <w:t>Preside</w:t>
      </w:r>
      <w:r w:rsidR="001F5B3C" w:rsidRPr="000C7171">
        <w:rPr>
          <w:rFonts w:cs="Arial"/>
          <w:sz w:val="22"/>
          <w:szCs w:val="22"/>
        </w:rPr>
        <w:t>ncy of the European Schools in 2011-20</w:t>
      </w:r>
      <w:r w:rsidRPr="000C7171">
        <w:rPr>
          <w:rFonts w:cs="Arial"/>
          <w:sz w:val="22"/>
          <w:szCs w:val="22"/>
        </w:rPr>
        <w:t xml:space="preserve">12, the current cost sharing system is unfair, places a disproportionate burden on a few Member States contrary to Article 12.4 of the European Schools Convention, and requires fundamental reform.  The UK position on the urgent need for reform has not changed for a number of years and remains consistent with the </w:t>
      </w:r>
      <w:r w:rsidR="001F5B3C" w:rsidRPr="000C7171">
        <w:rPr>
          <w:rFonts w:cs="Arial"/>
          <w:sz w:val="22"/>
          <w:szCs w:val="22"/>
        </w:rPr>
        <w:t>discussions conducted during its</w:t>
      </w:r>
      <w:r w:rsidRPr="000C7171">
        <w:rPr>
          <w:rFonts w:cs="Arial"/>
          <w:sz w:val="22"/>
          <w:szCs w:val="22"/>
        </w:rPr>
        <w:t xml:space="preserve"> Presidency.</w:t>
      </w:r>
    </w:p>
    <w:p w:rsidR="00B84558" w:rsidRPr="000C7171" w:rsidRDefault="00B84558" w:rsidP="007319D1">
      <w:pPr>
        <w:pStyle w:val="PlainText"/>
        <w:jc w:val="both"/>
        <w:rPr>
          <w:rFonts w:cs="Arial"/>
          <w:sz w:val="22"/>
          <w:szCs w:val="22"/>
        </w:rPr>
      </w:pPr>
    </w:p>
    <w:p w:rsidR="00B84558" w:rsidRPr="000C7171" w:rsidRDefault="001F5B3C" w:rsidP="007319D1">
      <w:pPr>
        <w:pStyle w:val="PlainText"/>
        <w:jc w:val="both"/>
        <w:rPr>
          <w:rFonts w:cs="Arial"/>
          <w:sz w:val="22"/>
          <w:szCs w:val="22"/>
        </w:rPr>
      </w:pPr>
      <w:r w:rsidRPr="000C7171">
        <w:rPr>
          <w:rFonts w:cs="Arial"/>
          <w:sz w:val="22"/>
          <w:szCs w:val="22"/>
        </w:rPr>
        <w:t xml:space="preserve">The </w:t>
      </w:r>
      <w:r w:rsidR="00B84558" w:rsidRPr="000C7171">
        <w:rPr>
          <w:rFonts w:cs="Arial"/>
          <w:sz w:val="22"/>
          <w:szCs w:val="22"/>
        </w:rPr>
        <w:t>Board of Governors passed a non-binding resolution in Stockholm in 2009 which linked the number of teachers seconded by a Member State propor</w:t>
      </w:r>
      <w:r w:rsidRPr="000C7171">
        <w:rPr>
          <w:rFonts w:cs="Arial"/>
          <w:sz w:val="22"/>
          <w:szCs w:val="22"/>
        </w:rPr>
        <w:t>tionately to the number of its</w:t>
      </w:r>
      <w:r w:rsidR="00B84558" w:rsidRPr="000C7171">
        <w:rPr>
          <w:rFonts w:cs="Arial"/>
          <w:sz w:val="22"/>
          <w:szCs w:val="22"/>
        </w:rPr>
        <w:t xml:space="preserve"> pupils.  Under this system the UK would currently assign only 114 teachers (for 1760 pupils)</w:t>
      </w:r>
      <w:r w:rsidRPr="000C7171">
        <w:rPr>
          <w:rFonts w:cs="Arial"/>
          <w:sz w:val="22"/>
          <w:szCs w:val="22"/>
        </w:rPr>
        <w:t>, as opposed to its</w:t>
      </w:r>
      <w:r w:rsidR="00B84558" w:rsidRPr="000C7171">
        <w:rPr>
          <w:rFonts w:cs="Arial"/>
          <w:sz w:val="22"/>
          <w:szCs w:val="22"/>
        </w:rPr>
        <w:t xml:space="preserve"> existing level of 217</w:t>
      </w:r>
      <w:r w:rsidR="00F52689">
        <w:rPr>
          <w:rFonts w:cs="Arial"/>
          <w:sz w:val="22"/>
          <w:szCs w:val="22"/>
        </w:rPr>
        <w:t xml:space="preserve"> </w:t>
      </w:r>
      <w:r w:rsidR="00944BC8" w:rsidRPr="000C7171">
        <w:rPr>
          <w:rFonts w:cs="Arial"/>
          <w:sz w:val="22"/>
          <w:szCs w:val="22"/>
        </w:rPr>
        <w:t>teachers</w:t>
      </w:r>
      <w:r w:rsidR="00B84558" w:rsidRPr="000C7171">
        <w:rPr>
          <w:rFonts w:cs="Arial"/>
          <w:sz w:val="22"/>
          <w:szCs w:val="22"/>
        </w:rPr>
        <w:t>.  According to the UK delegation</w:t>
      </w:r>
      <w:r w:rsidR="001379D4">
        <w:rPr>
          <w:rFonts w:cs="Arial"/>
          <w:sz w:val="22"/>
          <w:szCs w:val="22"/>
        </w:rPr>
        <w:t>,</w:t>
      </w:r>
      <w:r w:rsidR="00B84558" w:rsidRPr="000C7171">
        <w:rPr>
          <w:rFonts w:cs="Arial"/>
          <w:sz w:val="22"/>
          <w:szCs w:val="22"/>
        </w:rPr>
        <w:t xml:space="preserve"> very little progress has been made in respect of </w:t>
      </w:r>
      <w:r w:rsidR="00B8008B" w:rsidRPr="000C7171">
        <w:rPr>
          <w:rFonts w:cs="Arial"/>
          <w:sz w:val="22"/>
          <w:szCs w:val="22"/>
        </w:rPr>
        <w:t xml:space="preserve">implementing this </w:t>
      </w:r>
      <w:r w:rsidR="001379D4">
        <w:rPr>
          <w:rFonts w:cs="Arial"/>
          <w:sz w:val="22"/>
          <w:szCs w:val="22"/>
        </w:rPr>
        <w:t>resolution – c</w:t>
      </w:r>
      <w:r w:rsidR="00B84558" w:rsidRPr="000C7171">
        <w:rPr>
          <w:rFonts w:cs="Arial"/>
          <w:sz w:val="22"/>
          <w:szCs w:val="22"/>
        </w:rPr>
        <w:t>urrently only eight Member States meet this agreed threshold.</w:t>
      </w:r>
    </w:p>
    <w:p w:rsidR="00DC60DB" w:rsidRPr="000C7171" w:rsidRDefault="00DC60DB" w:rsidP="007319D1">
      <w:pPr>
        <w:pStyle w:val="PlainText"/>
        <w:jc w:val="both"/>
        <w:rPr>
          <w:rFonts w:cs="Arial"/>
          <w:sz w:val="22"/>
          <w:szCs w:val="22"/>
        </w:rPr>
      </w:pPr>
    </w:p>
    <w:p w:rsidR="00B84558" w:rsidRPr="000C7171" w:rsidRDefault="001F5B3C" w:rsidP="007319D1">
      <w:pPr>
        <w:pStyle w:val="PlainText"/>
        <w:jc w:val="both"/>
        <w:rPr>
          <w:rFonts w:cs="Arial"/>
          <w:sz w:val="22"/>
          <w:szCs w:val="22"/>
        </w:rPr>
      </w:pPr>
      <w:r w:rsidRPr="000C7171">
        <w:rPr>
          <w:rFonts w:cs="Arial"/>
          <w:sz w:val="22"/>
          <w:szCs w:val="22"/>
        </w:rPr>
        <w:t>The</w:t>
      </w:r>
      <w:r w:rsidR="00B84558" w:rsidRPr="000C7171">
        <w:rPr>
          <w:rFonts w:cs="Arial"/>
          <w:sz w:val="22"/>
          <w:szCs w:val="22"/>
        </w:rPr>
        <w:t xml:space="preserve"> UK delegation </w:t>
      </w:r>
      <w:r w:rsidRPr="000C7171">
        <w:rPr>
          <w:rFonts w:cs="Arial"/>
          <w:sz w:val="22"/>
          <w:szCs w:val="22"/>
        </w:rPr>
        <w:t xml:space="preserve">also maintains that </w:t>
      </w:r>
      <w:r w:rsidR="00B84558" w:rsidRPr="000C7171">
        <w:rPr>
          <w:rFonts w:cs="Arial"/>
          <w:sz w:val="22"/>
          <w:szCs w:val="22"/>
        </w:rPr>
        <w:t>the disproportionate financial burden is neither acceptable nor sustainable.  Consequently, the UK has no option but to adhere to th</w:t>
      </w:r>
      <w:r w:rsidRPr="000C7171">
        <w:rPr>
          <w:rFonts w:cs="Arial"/>
          <w:sz w:val="22"/>
          <w:szCs w:val="22"/>
        </w:rPr>
        <w:t xml:space="preserve">e 2009 </w:t>
      </w:r>
      <w:r w:rsidR="00944BC8" w:rsidRPr="000C7171">
        <w:rPr>
          <w:rFonts w:cs="Arial"/>
          <w:sz w:val="22"/>
          <w:szCs w:val="22"/>
        </w:rPr>
        <w:t xml:space="preserve">Board of Governors’ </w:t>
      </w:r>
      <w:r w:rsidRPr="000C7171">
        <w:rPr>
          <w:rFonts w:cs="Arial"/>
          <w:sz w:val="22"/>
          <w:szCs w:val="22"/>
        </w:rPr>
        <w:t>resolution and is</w:t>
      </w:r>
      <w:r w:rsidR="00B84558" w:rsidRPr="000C7171">
        <w:rPr>
          <w:rFonts w:cs="Arial"/>
          <w:sz w:val="22"/>
          <w:szCs w:val="22"/>
        </w:rPr>
        <w:t xml:space="preserve"> therefore not planning to assign any additional teachers to the </w:t>
      </w:r>
      <w:r w:rsidR="001E7CF4" w:rsidRPr="000C7171">
        <w:rPr>
          <w:rFonts w:cs="Arial"/>
          <w:sz w:val="22"/>
          <w:szCs w:val="22"/>
        </w:rPr>
        <w:t>European School system</w:t>
      </w:r>
      <w:r w:rsidR="00B84558" w:rsidRPr="000C7171">
        <w:rPr>
          <w:rFonts w:cs="Arial"/>
          <w:sz w:val="22"/>
          <w:szCs w:val="22"/>
        </w:rPr>
        <w:t xml:space="preserve"> until substantial progress has been made towards proportionality.</w:t>
      </w:r>
    </w:p>
    <w:p w:rsidR="00B84558" w:rsidRPr="000C7171" w:rsidRDefault="00B84558" w:rsidP="007319D1">
      <w:pPr>
        <w:pStyle w:val="PlainText"/>
        <w:jc w:val="both"/>
        <w:rPr>
          <w:rFonts w:cs="Arial"/>
          <w:sz w:val="22"/>
          <w:szCs w:val="22"/>
        </w:rPr>
      </w:pPr>
    </w:p>
    <w:p w:rsidR="00B84558" w:rsidRPr="000C7171" w:rsidRDefault="001F5B3C" w:rsidP="007319D1">
      <w:pPr>
        <w:pStyle w:val="PlainText"/>
        <w:jc w:val="both"/>
        <w:rPr>
          <w:rFonts w:cs="Arial"/>
          <w:sz w:val="22"/>
          <w:szCs w:val="22"/>
        </w:rPr>
      </w:pPr>
      <w:r w:rsidRPr="000C7171">
        <w:rPr>
          <w:rFonts w:cs="Arial"/>
          <w:sz w:val="22"/>
          <w:szCs w:val="22"/>
        </w:rPr>
        <w:t>However, t</w:t>
      </w:r>
      <w:r w:rsidR="00B84558" w:rsidRPr="000C7171">
        <w:rPr>
          <w:rFonts w:cs="Arial"/>
          <w:sz w:val="22"/>
          <w:szCs w:val="22"/>
        </w:rPr>
        <w:t xml:space="preserve">he UK delegation assured the members of the </w:t>
      </w:r>
      <w:r w:rsidR="00E11DA1" w:rsidRPr="000C7171">
        <w:rPr>
          <w:rFonts w:cs="Arial"/>
          <w:sz w:val="22"/>
          <w:szCs w:val="22"/>
        </w:rPr>
        <w:t>Board</w:t>
      </w:r>
      <w:r w:rsidR="00B84558" w:rsidRPr="000C7171">
        <w:rPr>
          <w:rFonts w:cs="Arial"/>
          <w:sz w:val="22"/>
          <w:szCs w:val="22"/>
        </w:rPr>
        <w:t xml:space="preserve"> of </w:t>
      </w:r>
      <w:r w:rsidR="00E11DA1" w:rsidRPr="000C7171">
        <w:rPr>
          <w:rFonts w:cs="Arial"/>
          <w:sz w:val="22"/>
          <w:szCs w:val="22"/>
        </w:rPr>
        <w:t>Governors</w:t>
      </w:r>
      <w:r w:rsidR="00B84558" w:rsidRPr="000C7171">
        <w:rPr>
          <w:rFonts w:cs="Arial"/>
          <w:sz w:val="22"/>
          <w:szCs w:val="22"/>
        </w:rPr>
        <w:t xml:space="preserve"> that </w:t>
      </w:r>
      <w:r w:rsidRPr="000C7171">
        <w:rPr>
          <w:rFonts w:cs="Arial"/>
          <w:sz w:val="22"/>
          <w:szCs w:val="22"/>
        </w:rPr>
        <w:t xml:space="preserve">the </w:t>
      </w:r>
      <w:r w:rsidR="00B84558" w:rsidRPr="000C7171">
        <w:rPr>
          <w:rFonts w:cs="Arial"/>
          <w:sz w:val="22"/>
          <w:szCs w:val="22"/>
        </w:rPr>
        <w:t>UK intends to work closely with the Office of the Secretary-General and individual schools to facilitate the recruitment of suitably qualified and locally-engaged teachers, including from the UK, by assisting with advertising campaigns and the provision of whatever support is necessary during this exercise.</w:t>
      </w:r>
    </w:p>
    <w:p w:rsidR="00B84558" w:rsidRPr="000C7171" w:rsidRDefault="00B84558" w:rsidP="007319D1">
      <w:pPr>
        <w:pStyle w:val="PlainText"/>
        <w:jc w:val="both"/>
        <w:rPr>
          <w:rFonts w:cs="Arial"/>
          <w:sz w:val="22"/>
          <w:szCs w:val="22"/>
        </w:rPr>
      </w:pPr>
    </w:p>
    <w:p w:rsidR="00E31B91" w:rsidRPr="000C7171" w:rsidRDefault="00B84558" w:rsidP="007319D1">
      <w:pPr>
        <w:pStyle w:val="PlainText"/>
        <w:jc w:val="both"/>
        <w:rPr>
          <w:rFonts w:cs="Arial"/>
          <w:sz w:val="22"/>
          <w:szCs w:val="22"/>
        </w:rPr>
      </w:pPr>
      <w:r w:rsidRPr="000C7171">
        <w:rPr>
          <w:rFonts w:cs="Arial"/>
          <w:sz w:val="22"/>
          <w:szCs w:val="22"/>
        </w:rPr>
        <w:t xml:space="preserve">The UK delegation proposed to explore with the Irish EU Presidency, the European Commission and others the option of placing this issue on the agenda of a future Education Council </w:t>
      </w:r>
      <w:r w:rsidR="001F5B3C" w:rsidRPr="000C7171">
        <w:rPr>
          <w:rFonts w:cs="Arial"/>
          <w:sz w:val="22"/>
          <w:szCs w:val="22"/>
        </w:rPr>
        <w:t xml:space="preserve">meeting </w:t>
      </w:r>
      <w:r w:rsidRPr="000C7171">
        <w:rPr>
          <w:rFonts w:cs="Arial"/>
          <w:sz w:val="22"/>
          <w:szCs w:val="22"/>
        </w:rPr>
        <w:t>for discussion between Ministers, with the aim of building consensus and achieving an acceptable reso</w:t>
      </w:r>
      <w:r w:rsidR="00DC60DB" w:rsidRPr="000C7171">
        <w:rPr>
          <w:rFonts w:cs="Arial"/>
          <w:sz w:val="22"/>
          <w:szCs w:val="22"/>
        </w:rPr>
        <w:t>lution of the current situation</w:t>
      </w:r>
      <w:r w:rsidR="001F5B3C" w:rsidRPr="000C7171">
        <w:rPr>
          <w:rFonts w:cs="Arial"/>
          <w:sz w:val="22"/>
          <w:szCs w:val="22"/>
        </w:rPr>
        <w:t>.</w:t>
      </w:r>
    </w:p>
    <w:p w:rsidR="001F5B3C" w:rsidRPr="000C7171" w:rsidRDefault="001F5B3C" w:rsidP="007319D1">
      <w:pPr>
        <w:pStyle w:val="PlainText"/>
        <w:jc w:val="both"/>
        <w:rPr>
          <w:rFonts w:cs="Arial"/>
          <w:sz w:val="22"/>
          <w:szCs w:val="22"/>
        </w:rPr>
      </w:pPr>
    </w:p>
    <w:p w:rsidR="00C6240E" w:rsidRPr="000C7171" w:rsidRDefault="001F5B3C" w:rsidP="001F5B3C">
      <w:pPr>
        <w:spacing w:before="0" w:after="0"/>
        <w:rPr>
          <w:rFonts w:cs="Arial"/>
          <w:szCs w:val="22"/>
        </w:rPr>
      </w:pPr>
      <w:r w:rsidRPr="000C7171">
        <w:rPr>
          <w:rFonts w:cs="Arial"/>
          <w:szCs w:val="22"/>
        </w:rPr>
        <w:t xml:space="preserve">The UK </w:t>
      </w:r>
      <w:r w:rsidR="00E31B91" w:rsidRPr="000C7171">
        <w:rPr>
          <w:rFonts w:cs="Arial"/>
          <w:szCs w:val="22"/>
        </w:rPr>
        <w:t>made i</w:t>
      </w:r>
      <w:r w:rsidRPr="000C7171">
        <w:rPr>
          <w:rFonts w:cs="Arial"/>
          <w:szCs w:val="22"/>
        </w:rPr>
        <w:t>t a matter of priority for its</w:t>
      </w:r>
      <w:r w:rsidR="00E31B91" w:rsidRPr="000C7171">
        <w:rPr>
          <w:rFonts w:cs="Arial"/>
          <w:szCs w:val="22"/>
        </w:rPr>
        <w:t xml:space="preserve"> presidency to rethink the cost sharing mechanism and, more comprehensively, the funding mechanism of the European Schools for a new and fairer approach to the funding of European Schools [2011-07-D-8]. </w:t>
      </w:r>
      <w:r w:rsidRPr="000C7171">
        <w:rPr>
          <w:rFonts w:cs="Arial"/>
          <w:szCs w:val="22"/>
        </w:rPr>
        <w:t xml:space="preserve"> It believed that the</w:t>
      </w:r>
      <w:r w:rsidR="00E31B91" w:rsidRPr="000C7171">
        <w:rPr>
          <w:rFonts w:cs="Arial"/>
          <w:szCs w:val="22"/>
        </w:rPr>
        <w:t xml:space="preserve"> system had reached its limits and a substantive debate on the system’s future was required.</w:t>
      </w:r>
    </w:p>
    <w:p w:rsidR="00C6240E" w:rsidRPr="000C7171" w:rsidRDefault="00C6240E">
      <w:pPr>
        <w:spacing w:before="0" w:after="200" w:line="276" w:lineRule="auto"/>
        <w:jc w:val="left"/>
        <w:rPr>
          <w:rFonts w:cs="Arial"/>
          <w:szCs w:val="22"/>
        </w:rPr>
      </w:pPr>
      <w:r w:rsidRPr="000C7171">
        <w:rPr>
          <w:rFonts w:cs="Arial"/>
          <w:szCs w:val="22"/>
        </w:rPr>
        <w:br w:type="page"/>
      </w:r>
    </w:p>
    <w:p w:rsidR="00DC60DB" w:rsidRPr="000C7171" w:rsidRDefault="00944BC8" w:rsidP="001379D4">
      <w:pPr>
        <w:pStyle w:val="ListParagraph"/>
        <w:spacing w:before="0" w:after="0"/>
        <w:rPr>
          <w:rFonts w:cs="Arial"/>
          <w:b/>
          <w:sz w:val="24"/>
          <w:szCs w:val="24"/>
        </w:rPr>
      </w:pPr>
      <w:r w:rsidRPr="000C7171">
        <w:rPr>
          <w:rFonts w:cs="Arial"/>
          <w:b/>
          <w:sz w:val="24"/>
          <w:szCs w:val="24"/>
        </w:rPr>
        <w:t xml:space="preserve">5. </w:t>
      </w:r>
      <w:r w:rsidR="001379D4">
        <w:rPr>
          <w:rFonts w:cs="Arial"/>
          <w:b/>
          <w:sz w:val="24"/>
          <w:szCs w:val="24"/>
        </w:rPr>
        <w:t xml:space="preserve"> </w:t>
      </w:r>
      <w:r w:rsidR="00DC60DB" w:rsidRPr="000C7171">
        <w:rPr>
          <w:rFonts w:cs="Arial"/>
          <w:b/>
          <w:sz w:val="24"/>
          <w:szCs w:val="24"/>
        </w:rPr>
        <w:t>EDUCATION COUNCIL</w:t>
      </w:r>
      <w:r w:rsidR="001F5B3C" w:rsidRPr="000C7171">
        <w:rPr>
          <w:rFonts w:cs="Arial"/>
          <w:b/>
          <w:sz w:val="24"/>
          <w:szCs w:val="24"/>
        </w:rPr>
        <w:t xml:space="preserve"> IN MAY</w:t>
      </w:r>
      <w:r w:rsidR="00091619" w:rsidRPr="000C7171">
        <w:rPr>
          <w:rFonts w:cs="Arial"/>
          <w:b/>
          <w:sz w:val="24"/>
          <w:szCs w:val="24"/>
        </w:rPr>
        <w:t xml:space="preserve"> 2013</w:t>
      </w:r>
    </w:p>
    <w:p w:rsidR="00B8008B" w:rsidRPr="000C7171" w:rsidRDefault="00B8008B" w:rsidP="00B8008B">
      <w:pPr>
        <w:pStyle w:val="ListParagraph"/>
        <w:spacing w:before="0" w:after="0"/>
        <w:ind w:left="714"/>
        <w:rPr>
          <w:rFonts w:cs="Arial"/>
          <w:b/>
          <w:sz w:val="24"/>
          <w:szCs w:val="24"/>
        </w:rPr>
      </w:pPr>
    </w:p>
    <w:p w:rsidR="00E31B91" w:rsidRPr="000C7171" w:rsidRDefault="00DC60DB" w:rsidP="00B8008B">
      <w:pPr>
        <w:spacing w:before="0" w:after="0"/>
        <w:rPr>
          <w:rFonts w:cs="Arial"/>
          <w:szCs w:val="22"/>
        </w:rPr>
      </w:pPr>
      <w:r w:rsidRPr="000C7171">
        <w:rPr>
          <w:rFonts w:cs="Arial"/>
          <w:szCs w:val="22"/>
        </w:rPr>
        <w:t xml:space="preserve">The situation in the European Schools </w:t>
      </w:r>
      <w:r w:rsidR="00E11DA1" w:rsidRPr="000C7171">
        <w:rPr>
          <w:rFonts w:cs="Arial"/>
          <w:szCs w:val="22"/>
        </w:rPr>
        <w:t>was</w:t>
      </w:r>
      <w:r w:rsidRPr="000C7171">
        <w:rPr>
          <w:rFonts w:cs="Arial"/>
          <w:szCs w:val="22"/>
        </w:rPr>
        <w:t xml:space="preserve"> raised at the EU Education Council</w:t>
      </w:r>
      <w:r w:rsidR="008239DB" w:rsidRPr="000C7171">
        <w:rPr>
          <w:rFonts w:cs="Arial"/>
          <w:szCs w:val="22"/>
        </w:rPr>
        <w:t xml:space="preserve"> meeting</w:t>
      </w:r>
      <w:r w:rsidRPr="000C7171">
        <w:rPr>
          <w:rFonts w:cs="Arial"/>
          <w:szCs w:val="22"/>
        </w:rPr>
        <w:t xml:space="preserve"> on Thursday 16</w:t>
      </w:r>
      <w:r w:rsidR="00C2351E" w:rsidRPr="000C7171">
        <w:rPr>
          <w:rFonts w:cs="Arial"/>
          <w:szCs w:val="22"/>
        </w:rPr>
        <w:t xml:space="preserve"> </w:t>
      </w:r>
      <w:r w:rsidRPr="000C7171">
        <w:rPr>
          <w:rFonts w:cs="Arial"/>
          <w:szCs w:val="22"/>
        </w:rPr>
        <w:t xml:space="preserve">May, with an Irish Presidency Statement drawing Ministers’ attention to the crisis and making a call for political action.  The Irish Presidency made available its good offices to </w:t>
      </w:r>
      <w:r w:rsidR="001379D4">
        <w:rPr>
          <w:rFonts w:cs="Arial"/>
          <w:szCs w:val="22"/>
        </w:rPr>
        <w:t xml:space="preserve">assist </w:t>
      </w:r>
      <w:r w:rsidRPr="000C7171">
        <w:rPr>
          <w:rFonts w:cs="Arial"/>
          <w:szCs w:val="22"/>
        </w:rPr>
        <w:t>this process</w:t>
      </w:r>
      <w:r w:rsidR="00C2351E" w:rsidRPr="000C7171">
        <w:rPr>
          <w:rFonts w:cs="Arial"/>
          <w:szCs w:val="22"/>
        </w:rPr>
        <w:t xml:space="preserve"> (see Annex II</w:t>
      </w:r>
      <w:r w:rsidR="00352446" w:rsidRPr="000C7171">
        <w:rPr>
          <w:rFonts w:cs="Arial"/>
          <w:szCs w:val="22"/>
        </w:rPr>
        <w:t>).</w:t>
      </w:r>
    </w:p>
    <w:p w:rsidR="00B8008B" w:rsidRPr="000C7171" w:rsidRDefault="00B8008B" w:rsidP="00B8008B">
      <w:pPr>
        <w:spacing w:before="0" w:after="0"/>
        <w:rPr>
          <w:rFonts w:cs="Arial"/>
          <w:szCs w:val="22"/>
        </w:rPr>
      </w:pPr>
    </w:p>
    <w:p w:rsidR="00E11DA1" w:rsidRPr="000C7171" w:rsidRDefault="00C2351E" w:rsidP="00B8008B">
      <w:pPr>
        <w:spacing w:before="0" w:after="0"/>
        <w:rPr>
          <w:rFonts w:cs="Arial"/>
          <w:szCs w:val="22"/>
        </w:rPr>
      </w:pPr>
      <w:r w:rsidRPr="000C7171">
        <w:rPr>
          <w:rFonts w:cs="Arial"/>
          <w:szCs w:val="22"/>
        </w:rPr>
        <w:t>The p</w:t>
      </w:r>
      <w:r w:rsidR="008239DB" w:rsidRPr="000C7171">
        <w:rPr>
          <w:rFonts w:cs="Arial"/>
          <w:szCs w:val="22"/>
        </w:rPr>
        <w:t>ress release following</w:t>
      </w:r>
      <w:r w:rsidR="00E11DA1" w:rsidRPr="000C7171">
        <w:rPr>
          <w:rFonts w:cs="Arial"/>
          <w:szCs w:val="22"/>
        </w:rPr>
        <w:t xml:space="preserve"> the Council </w:t>
      </w:r>
      <w:r w:rsidR="008239DB" w:rsidRPr="000C7171">
        <w:rPr>
          <w:rFonts w:cs="Arial"/>
          <w:szCs w:val="22"/>
        </w:rPr>
        <w:t xml:space="preserve">meeting </w:t>
      </w:r>
      <w:r w:rsidR="00E11DA1" w:rsidRPr="000C7171">
        <w:rPr>
          <w:rFonts w:cs="Arial"/>
          <w:szCs w:val="22"/>
        </w:rPr>
        <w:t xml:space="preserve">stated </w:t>
      </w:r>
      <w:r w:rsidRPr="000C7171">
        <w:rPr>
          <w:rFonts w:cs="Arial"/>
          <w:szCs w:val="22"/>
        </w:rPr>
        <w:t xml:space="preserve">the </w:t>
      </w:r>
      <w:r w:rsidR="00E11DA1" w:rsidRPr="000C7171">
        <w:rPr>
          <w:rFonts w:cs="Arial"/>
          <w:szCs w:val="22"/>
        </w:rPr>
        <w:t>following:</w:t>
      </w:r>
    </w:p>
    <w:p w:rsidR="00C2351E" w:rsidRPr="000C7171" w:rsidRDefault="00C2351E" w:rsidP="00B8008B">
      <w:pPr>
        <w:spacing w:before="0" w:after="0"/>
        <w:rPr>
          <w:rFonts w:cs="Arial"/>
          <w:szCs w:val="22"/>
        </w:rPr>
      </w:pPr>
    </w:p>
    <w:p w:rsidR="00E11DA1" w:rsidRPr="000C7171" w:rsidRDefault="008239DB" w:rsidP="007319D1">
      <w:pPr>
        <w:pStyle w:val="Standard"/>
        <w:spacing w:after="0" w:line="100" w:lineRule="atLeast"/>
        <w:ind w:left="720"/>
        <w:jc w:val="both"/>
        <w:rPr>
          <w:rFonts w:ascii="Arial" w:hAnsi="Arial" w:cs="Arial"/>
          <w:lang w:val="en-GB"/>
        </w:rPr>
      </w:pPr>
      <w:r w:rsidRPr="000C7171">
        <w:rPr>
          <w:rFonts w:ascii="Arial" w:hAnsi="Arial" w:cs="Arial"/>
          <w:i/>
          <w:lang w:val="en-GB"/>
        </w:rPr>
        <w:t>“</w:t>
      </w:r>
      <w:r w:rsidR="00E11DA1" w:rsidRPr="000C7171">
        <w:rPr>
          <w:rFonts w:ascii="Arial" w:hAnsi="Arial" w:cs="Arial"/>
          <w:i/>
          <w:lang w:val="en-GB"/>
        </w:rPr>
        <w:t>A number of Member States are of the view that there are serious underlying problems with the European School system’s current model, particularly with respect to cost-sharing. Statistics show that some countries are currently sending a disproportionate percentage of staff in proportion to the number of pupils of their nationality.</w:t>
      </w:r>
    </w:p>
    <w:p w:rsidR="00E11DA1" w:rsidRPr="000C7171" w:rsidRDefault="00E11DA1" w:rsidP="007319D1">
      <w:pPr>
        <w:pStyle w:val="Standard"/>
        <w:spacing w:after="0" w:line="100" w:lineRule="atLeast"/>
        <w:ind w:left="720"/>
        <w:jc w:val="both"/>
        <w:rPr>
          <w:rFonts w:ascii="Arial" w:hAnsi="Arial" w:cs="Arial"/>
          <w:lang w:val="en-GB"/>
        </w:rPr>
      </w:pPr>
    </w:p>
    <w:p w:rsidR="00E11DA1" w:rsidRPr="000C7171" w:rsidRDefault="00E11DA1" w:rsidP="007319D1">
      <w:pPr>
        <w:pStyle w:val="Standard"/>
        <w:spacing w:after="0" w:line="100" w:lineRule="atLeast"/>
        <w:ind w:left="720"/>
        <w:jc w:val="both"/>
        <w:rPr>
          <w:rFonts w:ascii="Arial" w:hAnsi="Arial" w:cs="Arial"/>
          <w:lang w:val="en-GB"/>
        </w:rPr>
      </w:pPr>
      <w:r w:rsidRPr="000C7171">
        <w:rPr>
          <w:rFonts w:ascii="Arial" w:hAnsi="Arial" w:cs="Arial"/>
          <w:i/>
          <w:lang w:val="en-GB"/>
        </w:rPr>
        <w:t>It is in the interests of all Member States to find a solution which can find unanimous support and which is in the best interest of learners and their families. The Irish Presidency stands ready to use its good offices to assist in any way it can and the Commission agreed that a solution must be found to the imbalance in cost-sharing at the highest level</w:t>
      </w:r>
      <w:r w:rsidRPr="000C7171">
        <w:rPr>
          <w:rFonts w:ascii="Arial" w:hAnsi="Arial" w:cs="Arial"/>
          <w:b/>
          <w:bCs/>
          <w:i/>
          <w:lang w:val="en-GB"/>
        </w:rPr>
        <w:t>.</w:t>
      </w:r>
    </w:p>
    <w:p w:rsidR="00E11DA1" w:rsidRPr="000C7171" w:rsidRDefault="00E11DA1" w:rsidP="007319D1">
      <w:pPr>
        <w:pStyle w:val="Standard"/>
        <w:spacing w:after="0" w:line="100" w:lineRule="atLeast"/>
        <w:ind w:left="720"/>
        <w:jc w:val="both"/>
        <w:rPr>
          <w:rFonts w:ascii="Arial" w:hAnsi="Arial" w:cs="Arial"/>
          <w:lang w:val="en-GB"/>
        </w:rPr>
      </w:pPr>
    </w:p>
    <w:p w:rsidR="00E11DA1" w:rsidRPr="000C7171" w:rsidRDefault="00E11DA1" w:rsidP="007319D1">
      <w:pPr>
        <w:pStyle w:val="Standard"/>
        <w:spacing w:after="0" w:line="100" w:lineRule="atLeast"/>
        <w:ind w:left="720"/>
        <w:jc w:val="both"/>
        <w:rPr>
          <w:rFonts w:ascii="Arial" w:hAnsi="Arial" w:cs="Arial"/>
          <w:lang w:val="en-GB"/>
        </w:rPr>
      </w:pPr>
      <w:r w:rsidRPr="000C7171">
        <w:rPr>
          <w:rFonts w:ascii="Arial" w:hAnsi="Arial" w:cs="Arial"/>
          <w:i/>
          <w:lang w:val="en-GB"/>
        </w:rPr>
        <w:t>The Commission underlined the importance of the European schools who have more than 25 000 pupils throughout Europe and proposed that an extraordinary meeting of EU Education ministers should be convened as soon as possible in order to discuss the current crisis.</w:t>
      </w:r>
      <w:r w:rsidR="008239DB" w:rsidRPr="000C7171">
        <w:rPr>
          <w:rFonts w:ascii="Arial" w:hAnsi="Arial" w:cs="Arial"/>
          <w:i/>
          <w:lang w:val="en-GB"/>
        </w:rPr>
        <w:t>”</w:t>
      </w:r>
    </w:p>
    <w:p w:rsidR="00DC60DB" w:rsidRPr="000C7171" w:rsidRDefault="00DC60DB" w:rsidP="007319D1">
      <w:pPr>
        <w:rPr>
          <w:rFonts w:cs="Arial"/>
          <w:sz w:val="24"/>
          <w:szCs w:val="24"/>
        </w:rPr>
      </w:pPr>
    </w:p>
    <w:p w:rsidR="00A500F2" w:rsidRPr="000C7171" w:rsidRDefault="00C1303D" w:rsidP="001379D4">
      <w:pPr>
        <w:spacing w:before="0" w:after="0"/>
        <w:ind w:left="720"/>
        <w:rPr>
          <w:rFonts w:cs="Arial"/>
          <w:b/>
          <w:sz w:val="24"/>
          <w:szCs w:val="24"/>
        </w:rPr>
      </w:pPr>
      <w:r w:rsidRPr="000C7171">
        <w:rPr>
          <w:rFonts w:cs="Arial"/>
          <w:b/>
          <w:sz w:val="24"/>
          <w:szCs w:val="24"/>
        </w:rPr>
        <w:t xml:space="preserve">6. </w:t>
      </w:r>
      <w:r w:rsidR="001379D4">
        <w:rPr>
          <w:rFonts w:cs="Arial"/>
          <w:b/>
          <w:sz w:val="24"/>
          <w:szCs w:val="24"/>
        </w:rPr>
        <w:t xml:space="preserve"> </w:t>
      </w:r>
      <w:r w:rsidR="00A500F2" w:rsidRPr="000C7171">
        <w:rPr>
          <w:rFonts w:cs="Arial"/>
          <w:b/>
          <w:sz w:val="24"/>
          <w:szCs w:val="24"/>
        </w:rPr>
        <w:t>TROIKA</w:t>
      </w:r>
    </w:p>
    <w:p w:rsidR="00B8008B" w:rsidRPr="000C7171" w:rsidRDefault="00B8008B" w:rsidP="00B8008B">
      <w:pPr>
        <w:spacing w:before="0" w:after="0"/>
        <w:ind w:left="357"/>
        <w:rPr>
          <w:rFonts w:cs="Arial"/>
          <w:b/>
          <w:sz w:val="24"/>
          <w:szCs w:val="24"/>
        </w:rPr>
      </w:pPr>
    </w:p>
    <w:p w:rsidR="008239DB" w:rsidRPr="000C7171" w:rsidRDefault="00A500F2" w:rsidP="008239DB">
      <w:pPr>
        <w:pStyle w:val="Standard"/>
        <w:spacing w:after="0" w:line="240" w:lineRule="auto"/>
        <w:jc w:val="both"/>
        <w:rPr>
          <w:rFonts w:ascii="Arial" w:hAnsi="Arial" w:cs="Arial"/>
          <w:lang w:val="en-GB"/>
        </w:rPr>
      </w:pPr>
      <w:r w:rsidRPr="000C7171">
        <w:rPr>
          <w:rFonts w:ascii="Arial" w:hAnsi="Arial" w:cs="Arial"/>
          <w:lang w:val="en-GB"/>
        </w:rPr>
        <w:t>Based on the outcome of the Council</w:t>
      </w:r>
      <w:r w:rsidR="008239DB" w:rsidRPr="000C7171">
        <w:rPr>
          <w:rFonts w:ascii="Arial" w:hAnsi="Arial" w:cs="Arial"/>
          <w:lang w:val="en-GB"/>
        </w:rPr>
        <w:t xml:space="preserve"> meeting,</w:t>
      </w:r>
      <w:r w:rsidRPr="000C7171">
        <w:rPr>
          <w:rFonts w:ascii="Arial" w:hAnsi="Arial" w:cs="Arial"/>
          <w:lang w:val="en-GB"/>
        </w:rPr>
        <w:t xml:space="preserve"> the Belgian European School Presidency decided to organise an enlarged Troika meeting on 24 June to plan and prepare the future cost sharing discussion. The Troika was reinforced by the Irish EU presidency, as well as by the representation of the future Lithuanian EU presidency and the Commission, in order to guarantee the </w:t>
      </w:r>
      <w:r w:rsidR="00287987" w:rsidRPr="000C7171">
        <w:rPr>
          <w:rFonts w:ascii="Arial" w:hAnsi="Arial" w:cs="Arial"/>
          <w:lang w:val="en-GB"/>
        </w:rPr>
        <w:t>matter’s smooth development</w:t>
      </w:r>
      <w:r w:rsidRPr="000C7171">
        <w:rPr>
          <w:rFonts w:ascii="Arial" w:hAnsi="Arial" w:cs="Arial"/>
          <w:lang w:val="en-GB"/>
        </w:rPr>
        <w:t>.</w:t>
      </w:r>
    </w:p>
    <w:p w:rsidR="00EE152D" w:rsidRPr="000C7171" w:rsidRDefault="00EE152D" w:rsidP="008239DB">
      <w:pPr>
        <w:pStyle w:val="Standard"/>
        <w:spacing w:after="0" w:line="240" w:lineRule="auto"/>
        <w:jc w:val="both"/>
        <w:rPr>
          <w:rFonts w:ascii="Arial" w:hAnsi="Arial" w:cs="Arial"/>
          <w:lang w:val="en-GB"/>
        </w:rPr>
      </w:pPr>
    </w:p>
    <w:p w:rsidR="00EE152D" w:rsidRPr="000C7171" w:rsidRDefault="00C2351E" w:rsidP="00EE152D">
      <w:pPr>
        <w:rPr>
          <w:rFonts w:cs="Arial"/>
          <w:szCs w:val="22"/>
        </w:rPr>
      </w:pPr>
      <w:r w:rsidRPr="000C7171">
        <w:rPr>
          <w:rFonts w:cs="Arial"/>
          <w:szCs w:val="22"/>
        </w:rPr>
        <w:t>The Office of the Secretary-</w:t>
      </w:r>
      <w:r w:rsidR="00EE152D" w:rsidRPr="000C7171">
        <w:rPr>
          <w:rFonts w:cs="Arial"/>
          <w:szCs w:val="22"/>
        </w:rPr>
        <w:t xml:space="preserve">General of the European Schools was mandated to prepare an options paper, premised on the fundamental principle that the costs </w:t>
      </w:r>
      <w:r w:rsidR="00E34073" w:rsidRPr="000C7171">
        <w:rPr>
          <w:rFonts w:cs="Arial"/>
          <w:szCs w:val="22"/>
        </w:rPr>
        <w:t xml:space="preserve">of seconded staff </w:t>
      </w:r>
      <w:r w:rsidR="00EE152D" w:rsidRPr="000C7171">
        <w:rPr>
          <w:rFonts w:cs="Arial"/>
          <w:szCs w:val="22"/>
        </w:rPr>
        <w:t>associated with the European Schools must be shared fairly among</w:t>
      </w:r>
      <w:r w:rsidR="001379D4">
        <w:rPr>
          <w:rFonts w:cs="Arial"/>
          <w:szCs w:val="22"/>
        </w:rPr>
        <w:t>st</w:t>
      </w:r>
      <w:r w:rsidR="00EE152D" w:rsidRPr="000C7171">
        <w:rPr>
          <w:rFonts w:cs="Arial"/>
          <w:szCs w:val="22"/>
        </w:rPr>
        <w:t xml:space="preserve"> all Member States</w:t>
      </w:r>
      <w:r w:rsidRPr="000C7171">
        <w:rPr>
          <w:rFonts w:cs="Arial"/>
          <w:szCs w:val="22"/>
        </w:rPr>
        <w:t xml:space="preserve"> (see Article</w:t>
      </w:r>
      <w:r w:rsidR="00E34073" w:rsidRPr="000C7171">
        <w:rPr>
          <w:rFonts w:cs="Arial"/>
          <w:szCs w:val="22"/>
        </w:rPr>
        <w:t xml:space="preserve"> 12.4.</w:t>
      </w:r>
      <w:r w:rsidRPr="000C7171">
        <w:rPr>
          <w:rFonts w:cs="Arial"/>
          <w:szCs w:val="22"/>
        </w:rPr>
        <w:t xml:space="preserve"> of the Convention</w:t>
      </w:r>
      <w:r w:rsidR="00E34073" w:rsidRPr="000C7171">
        <w:rPr>
          <w:rFonts w:cs="Arial"/>
          <w:szCs w:val="22"/>
        </w:rPr>
        <w:t>)</w:t>
      </w:r>
      <w:r w:rsidR="00EE152D" w:rsidRPr="000C7171">
        <w:rPr>
          <w:rFonts w:cs="Arial"/>
          <w:szCs w:val="22"/>
        </w:rPr>
        <w:t>.</w:t>
      </w:r>
    </w:p>
    <w:p w:rsidR="00EE152D" w:rsidRPr="000C7171" w:rsidRDefault="00EE152D" w:rsidP="008239DB">
      <w:pPr>
        <w:pStyle w:val="Standard"/>
        <w:spacing w:after="0" w:line="240" w:lineRule="auto"/>
        <w:jc w:val="both"/>
        <w:rPr>
          <w:rFonts w:ascii="Arial" w:hAnsi="Arial" w:cs="Arial"/>
          <w:lang w:val="en-GB"/>
        </w:rPr>
      </w:pPr>
    </w:p>
    <w:p w:rsidR="00775677" w:rsidRPr="000C7171" w:rsidRDefault="00EE152D" w:rsidP="00EE152D">
      <w:pPr>
        <w:pStyle w:val="Standard"/>
        <w:spacing w:after="120" w:line="240" w:lineRule="auto"/>
        <w:jc w:val="both"/>
        <w:rPr>
          <w:rFonts w:ascii="Arial" w:hAnsi="Arial" w:cs="Arial"/>
          <w:lang w:val="en-GB"/>
        </w:rPr>
      </w:pPr>
      <w:r w:rsidRPr="000C7171">
        <w:rPr>
          <w:rFonts w:ascii="Arial" w:hAnsi="Arial" w:cs="Arial"/>
          <w:lang w:val="en-GB"/>
        </w:rPr>
        <w:t>I</w:t>
      </w:r>
      <w:r w:rsidR="008239DB" w:rsidRPr="000C7171">
        <w:rPr>
          <w:rFonts w:ascii="Arial" w:hAnsi="Arial" w:cs="Arial"/>
          <w:lang w:val="en-GB"/>
        </w:rPr>
        <w:t>t was decided by the Bulgarian P</w:t>
      </w:r>
      <w:r w:rsidR="00E11DA1" w:rsidRPr="000C7171">
        <w:rPr>
          <w:rFonts w:ascii="Arial" w:hAnsi="Arial" w:cs="Arial"/>
          <w:lang w:val="en-GB"/>
        </w:rPr>
        <w:t>residency</w:t>
      </w:r>
      <w:r w:rsidR="00775677" w:rsidRPr="000C7171">
        <w:rPr>
          <w:rFonts w:ascii="Arial" w:hAnsi="Arial" w:cs="Arial"/>
          <w:lang w:val="en-GB"/>
        </w:rPr>
        <w:t xml:space="preserve"> to organise an extraordinary meeting of the Board of Governors in September 2013 with the explicit goal of agreeing a resolution on the basis of the o</w:t>
      </w:r>
      <w:r w:rsidR="00C2351E" w:rsidRPr="000C7171">
        <w:rPr>
          <w:rFonts w:ascii="Arial" w:hAnsi="Arial" w:cs="Arial"/>
          <w:lang w:val="en-GB"/>
        </w:rPr>
        <w:t>ptions set out by the Secretary-</w:t>
      </w:r>
      <w:r w:rsidR="00775677" w:rsidRPr="000C7171">
        <w:rPr>
          <w:rFonts w:ascii="Arial" w:hAnsi="Arial" w:cs="Arial"/>
          <w:lang w:val="en-GB"/>
        </w:rPr>
        <w:t>General.  If a satisfactory conclusion cannot be reached at September’s extraordinary meeting, the outstanding issues will be referred to a meeting of the Boa</w:t>
      </w:r>
      <w:r w:rsidR="00C2351E" w:rsidRPr="000C7171">
        <w:rPr>
          <w:rFonts w:ascii="Arial" w:hAnsi="Arial" w:cs="Arial"/>
          <w:lang w:val="en-GB"/>
        </w:rPr>
        <w:t>rd of Governors at m</w:t>
      </w:r>
      <w:r w:rsidR="00775677" w:rsidRPr="000C7171">
        <w:rPr>
          <w:rFonts w:ascii="Arial" w:hAnsi="Arial" w:cs="Arial"/>
          <w:lang w:val="en-GB"/>
        </w:rPr>
        <w:t xml:space="preserve">inisterial level, to be organised on the margins of the November Education Council meeting.  </w:t>
      </w:r>
    </w:p>
    <w:p w:rsidR="00FA4010" w:rsidRPr="000C7171" w:rsidRDefault="00FA4010">
      <w:pPr>
        <w:spacing w:before="0" w:after="200" w:line="276" w:lineRule="auto"/>
        <w:jc w:val="left"/>
        <w:rPr>
          <w:rFonts w:eastAsia="SimSun" w:cs="Arial"/>
          <w:szCs w:val="22"/>
          <w:lang w:eastAsia="en-US"/>
        </w:rPr>
      </w:pPr>
      <w:r w:rsidRPr="000C7171">
        <w:rPr>
          <w:rFonts w:cs="Arial"/>
        </w:rPr>
        <w:br w:type="page"/>
      </w:r>
    </w:p>
    <w:p w:rsidR="00A500F2" w:rsidRPr="000C7171" w:rsidRDefault="008239DB" w:rsidP="007319D1">
      <w:pPr>
        <w:pStyle w:val="Standard"/>
        <w:spacing w:after="0" w:line="100" w:lineRule="atLeast"/>
        <w:jc w:val="both"/>
        <w:rPr>
          <w:rFonts w:ascii="Arial" w:hAnsi="Arial" w:cs="Arial"/>
          <w:lang w:val="en-GB"/>
        </w:rPr>
      </w:pPr>
      <w:r w:rsidRPr="000C7171">
        <w:rPr>
          <w:rFonts w:ascii="Arial" w:hAnsi="Arial" w:cs="Arial"/>
          <w:lang w:val="en-GB"/>
        </w:rPr>
        <w:t xml:space="preserve">The </w:t>
      </w:r>
      <w:r w:rsidR="00A500F2" w:rsidRPr="000C7171">
        <w:rPr>
          <w:rFonts w:ascii="Arial" w:hAnsi="Arial" w:cs="Arial"/>
          <w:lang w:val="en-GB"/>
        </w:rPr>
        <w:t>Secretary-Gen</w:t>
      </w:r>
      <w:r w:rsidRPr="000C7171">
        <w:rPr>
          <w:rFonts w:ascii="Arial" w:hAnsi="Arial" w:cs="Arial"/>
          <w:lang w:val="en-GB"/>
        </w:rPr>
        <w:t>eral informed the Troika at its meeting</w:t>
      </w:r>
      <w:r w:rsidR="00A500F2" w:rsidRPr="000C7171">
        <w:rPr>
          <w:rFonts w:ascii="Arial" w:hAnsi="Arial" w:cs="Arial"/>
          <w:lang w:val="en-GB"/>
        </w:rPr>
        <w:t xml:space="preserve"> about the </w:t>
      </w:r>
      <w:r w:rsidR="00C1303D" w:rsidRPr="000C7171">
        <w:rPr>
          <w:rFonts w:ascii="Arial" w:hAnsi="Arial" w:cs="Arial"/>
          <w:lang w:val="en-GB"/>
        </w:rPr>
        <w:t xml:space="preserve">possible </w:t>
      </w:r>
      <w:r w:rsidR="00A500F2" w:rsidRPr="000C7171">
        <w:rPr>
          <w:rFonts w:ascii="Arial" w:hAnsi="Arial" w:cs="Arial"/>
          <w:lang w:val="en-GB"/>
        </w:rPr>
        <w:t xml:space="preserve">actions already taken </w:t>
      </w:r>
      <w:r w:rsidR="00C1303D" w:rsidRPr="000C7171">
        <w:rPr>
          <w:rFonts w:ascii="Arial" w:hAnsi="Arial" w:cs="Arial"/>
          <w:lang w:val="en-GB"/>
        </w:rPr>
        <w:t xml:space="preserve">or to be taken </w:t>
      </w:r>
      <w:r w:rsidR="00A500F2" w:rsidRPr="000C7171">
        <w:rPr>
          <w:rFonts w:ascii="Arial" w:hAnsi="Arial" w:cs="Arial"/>
          <w:lang w:val="en-GB"/>
        </w:rPr>
        <w:t>in four different areas:</w:t>
      </w:r>
    </w:p>
    <w:p w:rsidR="00EE152D" w:rsidRPr="000C7171" w:rsidRDefault="008046FD" w:rsidP="007319D1">
      <w:pPr>
        <w:numPr>
          <w:ilvl w:val="0"/>
          <w:numId w:val="3"/>
        </w:numPr>
        <w:rPr>
          <w:rFonts w:cs="Arial"/>
          <w:szCs w:val="22"/>
        </w:rPr>
      </w:pPr>
      <w:r w:rsidRPr="000C7171">
        <w:rPr>
          <w:rFonts w:cs="Arial"/>
          <w:szCs w:val="22"/>
        </w:rPr>
        <w:t>Seconded teachers</w:t>
      </w:r>
      <w:r w:rsidR="00EE152D" w:rsidRPr="000C7171">
        <w:rPr>
          <w:rFonts w:cs="Arial"/>
          <w:szCs w:val="22"/>
        </w:rPr>
        <w:t xml:space="preserve">, </w:t>
      </w:r>
    </w:p>
    <w:p w:rsidR="00C44553" w:rsidRPr="000C7171" w:rsidRDefault="00EE152D" w:rsidP="007319D1">
      <w:pPr>
        <w:numPr>
          <w:ilvl w:val="0"/>
          <w:numId w:val="3"/>
        </w:numPr>
        <w:rPr>
          <w:rFonts w:cs="Arial"/>
          <w:szCs w:val="22"/>
        </w:rPr>
      </w:pPr>
      <w:r w:rsidRPr="000C7171">
        <w:rPr>
          <w:rFonts w:cs="Arial"/>
          <w:szCs w:val="22"/>
        </w:rPr>
        <w:t xml:space="preserve">Alternative sources of funding, </w:t>
      </w:r>
    </w:p>
    <w:p w:rsidR="00C44553" w:rsidRPr="000C7171" w:rsidRDefault="00F82BAE" w:rsidP="007319D1">
      <w:pPr>
        <w:numPr>
          <w:ilvl w:val="0"/>
          <w:numId w:val="3"/>
        </w:numPr>
        <w:rPr>
          <w:rFonts w:cs="Arial"/>
          <w:szCs w:val="22"/>
        </w:rPr>
      </w:pPr>
      <w:r w:rsidRPr="000C7171">
        <w:rPr>
          <w:rFonts w:cs="Arial"/>
          <w:szCs w:val="22"/>
        </w:rPr>
        <w:t>Pro-rata</w:t>
      </w:r>
      <w:r w:rsidR="008046FD" w:rsidRPr="000C7171">
        <w:rPr>
          <w:rFonts w:cs="Arial"/>
          <w:szCs w:val="22"/>
        </w:rPr>
        <w:t xml:space="preserve"> models</w:t>
      </w:r>
    </w:p>
    <w:p w:rsidR="00C44553" w:rsidRPr="000C7171" w:rsidRDefault="008239DB" w:rsidP="007319D1">
      <w:pPr>
        <w:numPr>
          <w:ilvl w:val="0"/>
          <w:numId w:val="3"/>
        </w:numPr>
        <w:rPr>
          <w:rFonts w:cs="Arial"/>
          <w:szCs w:val="22"/>
        </w:rPr>
      </w:pPr>
      <w:r w:rsidRPr="000C7171">
        <w:rPr>
          <w:rFonts w:cs="Arial"/>
          <w:szCs w:val="22"/>
        </w:rPr>
        <w:t>Cost savings</w:t>
      </w:r>
    </w:p>
    <w:p w:rsidR="001235EB" w:rsidRPr="000C7171" w:rsidRDefault="001235EB" w:rsidP="007319D1">
      <w:pPr>
        <w:ind w:left="720"/>
        <w:rPr>
          <w:rFonts w:cs="Arial"/>
          <w:sz w:val="24"/>
          <w:szCs w:val="24"/>
        </w:rPr>
      </w:pPr>
    </w:p>
    <w:p w:rsidR="00091619" w:rsidRPr="000C7171" w:rsidRDefault="00C1303D" w:rsidP="00287987">
      <w:pPr>
        <w:spacing w:before="0" w:after="0"/>
        <w:ind w:firstLine="357"/>
        <w:rPr>
          <w:rFonts w:cs="Arial"/>
          <w:b/>
          <w:sz w:val="24"/>
          <w:szCs w:val="24"/>
        </w:rPr>
      </w:pPr>
      <w:r w:rsidRPr="000C7171">
        <w:rPr>
          <w:rFonts w:cs="Arial"/>
          <w:b/>
          <w:sz w:val="24"/>
          <w:szCs w:val="24"/>
        </w:rPr>
        <w:t xml:space="preserve">6.1. </w:t>
      </w:r>
      <w:r w:rsidR="00091619" w:rsidRPr="000C7171">
        <w:rPr>
          <w:rFonts w:cs="Arial"/>
          <w:b/>
          <w:sz w:val="24"/>
          <w:szCs w:val="24"/>
        </w:rPr>
        <w:t>SECONDED TEACHERS</w:t>
      </w:r>
    </w:p>
    <w:p w:rsidR="00287987" w:rsidRPr="000C7171" w:rsidRDefault="00287987" w:rsidP="00287987">
      <w:pPr>
        <w:spacing w:before="0" w:after="0"/>
        <w:ind w:firstLine="357"/>
        <w:rPr>
          <w:rFonts w:cs="Arial"/>
          <w:b/>
          <w:sz w:val="24"/>
          <w:szCs w:val="24"/>
        </w:rPr>
      </w:pPr>
    </w:p>
    <w:p w:rsidR="00091619" w:rsidRPr="000C7171" w:rsidRDefault="008239DB" w:rsidP="00287987">
      <w:pPr>
        <w:spacing w:before="0" w:after="0"/>
        <w:rPr>
          <w:rFonts w:cs="Arial"/>
          <w:szCs w:val="22"/>
        </w:rPr>
      </w:pPr>
      <w:r w:rsidRPr="000C7171">
        <w:rPr>
          <w:rFonts w:cs="Arial"/>
          <w:szCs w:val="22"/>
        </w:rPr>
        <w:t xml:space="preserve">In the </w:t>
      </w:r>
      <w:r w:rsidR="00091619" w:rsidRPr="000C7171">
        <w:rPr>
          <w:rFonts w:cs="Arial"/>
          <w:szCs w:val="22"/>
        </w:rPr>
        <w:t xml:space="preserve">2012-2013 </w:t>
      </w:r>
      <w:r w:rsidRPr="000C7171">
        <w:rPr>
          <w:rFonts w:cs="Arial"/>
          <w:szCs w:val="22"/>
        </w:rPr>
        <w:t xml:space="preserve">school year </w:t>
      </w:r>
      <w:r w:rsidR="00091619" w:rsidRPr="000C7171">
        <w:rPr>
          <w:rFonts w:cs="Arial"/>
          <w:szCs w:val="22"/>
        </w:rPr>
        <w:t>there are 1492 seconded staff members in the European Schools. In general, the Member States have created good recruitment structures and process</w:t>
      </w:r>
      <w:r w:rsidR="00E11DA1" w:rsidRPr="000C7171">
        <w:rPr>
          <w:rFonts w:cs="Arial"/>
          <w:szCs w:val="22"/>
        </w:rPr>
        <w:t>es</w:t>
      </w:r>
      <w:r w:rsidR="00091619" w:rsidRPr="000C7171">
        <w:rPr>
          <w:rFonts w:cs="Arial"/>
          <w:szCs w:val="22"/>
        </w:rPr>
        <w:t xml:space="preserve"> in order to provide the European Schools with hi</w:t>
      </w:r>
      <w:r w:rsidRPr="000C7171">
        <w:rPr>
          <w:rFonts w:cs="Arial"/>
          <w:szCs w:val="22"/>
        </w:rPr>
        <w:t>ghly qualified seconded teachers.</w:t>
      </w:r>
    </w:p>
    <w:p w:rsidR="00107660" w:rsidRPr="000C7171" w:rsidRDefault="00107660" w:rsidP="00287987">
      <w:pPr>
        <w:spacing w:before="0" w:after="0"/>
        <w:rPr>
          <w:rFonts w:cs="Arial"/>
          <w:szCs w:val="22"/>
        </w:rPr>
      </w:pPr>
    </w:p>
    <w:tbl>
      <w:tblPr>
        <w:tblW w:w="7740" w:type="dxa"/>
        <w:tblInd w:w="55" w:type="dxa"/>
        <w:tblCellMar>
          <w:left w:w="70" w:type="dxa"/>
          <w:right w:w="70" w:type="dxa"/>
        </w:tblCellMar>
        <w:tblLook w:val="04A0" w:firstRow="1" w:lastRow="0" w:firstColumn="1" w:lastColumn="0" w:noHBand="0" w:noVBand="1"/>
      </w:tblPr>
      <w:tblGrid>
        <w:gridCol w:w="3700"/>
        <w:gridCol w:w="960"/>
        <w:gridCol w:w="960"/>
        <w:gridCol w:w="960"/>
        <w:gridCol w:w="1160"/>
      </w:tblGrid>
      <w:tr w:rsidR="00107660" w:rsidRPr="000C7171" w:rsidTr="00107660">
        <w:trPr>
          <w:trHeight w:val="600"/>
        </w:trPr>
        <w:tc>
          <w:tcPr>
            <w:tcW w:w="3700" w:type="dxa"/>
            <w:tcBorders>
              <w:top w:val="single" w:sz="4" w:space="0" w:color="auto"/>
              <w:left w:val="single" w:sz="4" w:space="0" w:color="auto"/>
              <w:bottom w:val="nil"/>
              <w:right w:val="single" w:sz="4" w:space="0" w:color="auto"/>
            </w:tcBorders>
            <w:shd w:val="clear" w:color="auto" w:fill="auto"/>
            <w:noWrap/>
            <w:vAlign w:val="bottom"/>
            <w:hideMark/>
          </w:tcPr>
          <w:p w:rsidR="00107660" w:rsidRPr="000C7171" w:rsidRDefault="00107660" w:rsidP="00107660">
            <w:pPr>
              <w:spacing w:before="0" w:after="0"/>
              <w:jc w:val="left"/>
              <w:rPr>
                <w:rFonts w:cs="Arial"/>
                <w:sz w:val="20"/>
                <w:lang w:eastAsia="fi-FI"/>
              </w:rPr>
            </w:pPr>
            <w:r w:rsidRPr="000C7171">
              <w:rPr>
                <w:rFonts w:cs="Arial"/>
                <w:sz w:val="20"/>
                <w:lang w:eastAsia="fi-FI"/>
              </w:rPr>
              <w:t> </w:t>
            </w:r>
          </w:p>
        </w:tc>
        <w:tc>
          <w:tcPr>
            <w:tcW w:w="960" w:type="dxa"/>
            <w:tcBorders>
              <w:top w:val="single" w:sz="4" w:space="0" w:color="auto"/>
              <w:left w:val="nil"/>
              <w:bottom w:val="nil"/>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2010</w:t>
            </w:r>
          </w:p>
        </w:tc>
        <w:tc>
          <w:tcPr>
            <w:tcW w:w="960" w:type="dxa"/>
            <w:tcBorders>
              <w:top w:val="single" w:sz="4" w:space="0" w:color="auto"/>
              <w:left w:val="nil"/>
              <w:bottom w:val="nil"/>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2011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2012</w:t>
            </w:r>
          </w:p>
        </w:tc>
        <w:tc>
          <w:tcPr>
            <w:tcW w:w="1160" w:type="dxa"/>
            <w:tcBorders>
              <w:top w:val="single" w:sz="4" w:space="0" w:color="auto"/>
              <w:left w:val="nil"/>
              <w:bottom w:val="nil"/>
              <w:right w:val="single" w:sz="4" w:space="0" w:color="auto"/>
            </w:tcBorders>
            <w:shd w:val="clear" w:color="auto" w:fill="auto"/>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Difference 2011-2012</w:t>
            </w:r>
          </w:p>
        </w:tc>
      </w:tr>
      <w:tr w:rsidR="00107660" w:rsidRPr="000C7171" w:rsidTr="00107660">
        <w:trPr>
          <w:trHeight w:val="300"/>
        </w:trPr>
        <w:tc>
          <w:tcPr>
            <w:tcW w:w="3700" w:type="dxa"/>
            <w:tcBorders>
              <w:top w:val="single" w:sz="4" w:space="0" w:color="auto"/>
              <w:left w:val="single" w:sz="4" w:space="0" w:color="auto"/>
              <w:bottom w:val="nil"/>
              <w:right w:val="single" w:sz="4" w:space="0" w:color="auto"/>
            </w:tcBorders>
            <w:shd w:val="clear" w:color="auto" w:fill="auto"/>
            <w:noWrap/>
            <w:vAlign w:val="bottom"/>
            <w:hideMark/>
          </w:tcPr>
          <w:p w:rsidR="00107660" w:rsidRPr="000C7171" w:rsidRDefault="00107660" w:rsidP="00107660">
            <w:pPr>
              <w:spacing w:before="0" w:after="0"/>
              <w:jc w:val="left"/>
              <w:rPr>
                <w:rFonts w:cs="Arial"/>
                <w:sz w:val="20"/>
                <w:lang w:eastAsia="fi-FI"/>
              </w:rPr>
            </w:pPr>
            <w:r w:rsidRPr="000C7171">
              <w:rPr>
                <w:rFonts w:cs="Arial"/>
                <w:sz w:val="20"/>
                <w:lang w:eastAsia="fi-FI"/>
              </w:rPr>
              <w:t>Seconded</w:t>
            </w:r>
            <w:r w:rsidR="00C2351E" w:rsidRPr="000C7171">
              <w:rPr>
                <w:rFonts w:cs="Arial"/>
                <w:sz w:val="20"/>
                <w:lang w:eastAsia="fi-FI"/>
              </w:rPr>
              <w:t xml:space="preserve"> </w:t>
            </w:r>
            <w:r w:rsidRPr="000C7171">
              <w:rPr>
                <w:rFonts w:cs="Arial"/>
                <w:sz w:val="20"/>
                <w:lang w:eastAsia="fi-FI"/>
              </w:rPr>
              <w:t>teachers</w:t>
            </w:r>
          </w:p>
        </w:tc>
        <w:tc>
          <w:tcPr>
            <w:tcW w:w="960" w:type="dxa"/>
            <w:tcBorders>
              <w:top w:val="single" w:sz="4" w:space="0" w:color="auto"/>
              <w:left w:val="nil"/>
              <w:bottom w:val="nil"/>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1405</w:t>
            </w:r>
          </w:p>
        </w:tc>
        <w:tc>
          <w:tcPr>
            <w:tcW w:w="960" w:type="dxa"/>
            <w:tcBorders>
              <w:top w:val="single" w:sz="4" w:space="0" w:color="auto"/>
              <w:left w:val="nil"/>
              <w:bottom w:val="nil"/>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1394</w:t>
            </w:r>
          </w:p>
        </w:tc>
        <w:tc>
          <w:tcPr>
            <w:tcW w:w="960" w:type="dxa"/>
            <w:tcBorders>
              <w:top w:val="nil"/>
              <w:left w:val="nil"/>
              <w:bottom w:val="nil"/>
              <w:right w:val="nil"/>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1364</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-30</w:t>
            </w:r>
          </w:p>
        </w:tc>
      </w:tr>
      <w:tr w:rsidR="00107660" w:rsidRPr="000C7171" w:rsidTr="0010766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left"/>
              <w:rPr>
                <w:rFonts w:cs="Arial"/>
                <w:sz w:val="20"/>
                <w:lang w:eastAsia="fi-FI"/>
              </w:rPr>
            </w:pPr>
            <w:r w:rsidRPr="000C7171">
              <w:rPr>
                <w:rFonts w:cs="Arial"/>
                <w:sz w:val="20"/>
                <w:lang w:eastAsia="fi-FI"/>
              </w:rPr>
              <w:t>Total seconded</w:t>
            </w:r>
            <w:r w:rsidR="00C2351E" w:rsidRPr="000C7171">
              <w:rPr>
                <w:rFonts w:cs="Arial"/>
                <w:sz w:val="20"/>
                <w:lang w:eastAsia="fi-FI"/>
              </w:rPr>
              <w:t xml:space="preserve"> </w:t>
            </w:r>
            <w:r w:rsidRPr="000C7171">
              <w:rPr>
                <w:rFonts w:cs="Arial"/>
                <w:sz w:val="20"/>
                <w:lang w:eastAsia="fi-FI"/>
              </w:rPr>
              <w:t>staff</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1519</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1507</w:t>
            </w:r>
          </w:p>
        </w:tc>
        <w:tc>
          <w:tcPr>
            <w:tcW w:w="960" w:type="dxa"/>
            <w:tcBorders>
              <w:top w:val="nil"/>
              <w:left w:val="nil"/>
              <w:bottom w:val="nil"/>
              <w:right w:val="nil"/>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1473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-34</w:t>
            </w:r>
          </w:p>
        </w:tc>
      </w:tr>
      <w:tr w:rsidR="00107660" w:rsidRPr="000C7171" w:rsidTr="0010766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left"/>
              <w:rPr>
                <w:rFonts w:cs="Arial"/>
                <w:sz w:val="20"/>
                <w:lang w:eastAsia="fi-FI"/>
              </w:rPr>
            </w:pPr>
            <w:r w:rsidRPr="000C7171">
              <w:rPr>
                <w:rFonts w:cs="Arial"/>
                <w:sz w:val="20"/>
                <w:lang w:eastAsia="fi-FI"/>
              </w:rPr>
              <w:t>Locally</w:t>
            </w:r>
            <w:r w:rsidR="00C2351E" w:rsidRPr="000C7171">
              <w:rPr>
                <w:rFonts w:cs="Arial"/>
                <w:sz w:val="20"/>
                <w:lang w:eastAsia="fi-FI"/>
              </w:rPr>
              <w:t xml:space="preserve"> </w:t>
            </w:r>
            <w:r w:rsidRPr="000C7171">
              <w:rPr>
                <w:rFonts w:cs="Arial"/>
                <w:sz w:val="20"/>
                <w:lang w:eastAsia="fi-FI"/>
              </w:rPr>
              <w:t>recruited</w:t>
            </w:r>
            <w:r w:rsidR="00C2351E" w:rsidRPr="000C7171">
              <w:rPr>
                <w:rFonts w:cs="Arial"/>
                <w:sz w:val="20"/>
                <w:lang w:eastAsia="fi-FI"/>
              </w:rPr>
              <w:t xml:space="preserve"> </w:t>
            </w:r>
            <w:r w:rsidRPr="000C7171">
              <w:rPr>
                <w:rFonts w:cs="Arial"/>
                <w:sz w:val="20"/>
                <w:lang w:eastAsia="fi-FI"/>
              </w:rPr>
              <w:t>teachers</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578</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531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588</w:t>
            </w:r>
          </w:p>
        </w:tc>
        <w:tc>
          <w:tcPr>
            <w:tcW w:w="1160" w:type="dxa"/>
            <w:tcBorders>
              <w:top w:val="nil"/>
              <w:left w:val="nil"/>
              <w:bottom w:val="nil"/>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57</w:t>
            </w:r>
          </w:p>
        </w:tc>
      </w:tr>
      <w:tr w:rsidR="00107660" w:rsidRPr="000C7171" w:rsidTr="00107660">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left"/>
              <w:rPr>
                <w:rFonts w:cs="Arial"/>
                <w:sz w:val="20"/>
                <w:lang w:eastAsia="fi-FI"/>
              </w:rPr>
            </w:pPr>
            <w:r w:rsidRPr="000C7171">
              <w:rPr>
                <w:rFonts w:cs="Arial"/>
                <w:sz w:val="20"/>
                <w:lang w:eastAsia="fi-FI"/>
              </w:rPr>
              <w:t>Unfilled</w:t>
            </w:r>
            <w:r w:rsidR="00C2351E" w:rsidRPr="000C7171">
              <w:rPr>
                <w:rFonts w:cs="Arial"/>
                <w:sz w:val="20"/>
                <w:lang w:eastAsia="fi-FI"/>
              </w:rPr>
              <w:t xml:space="preserve"> </w:t>
            </w:r>
            <w:r w:rsidRPr="000C7171">
              <w:rPr>
                <w:rFonts w:cs="Arial"/>
                <w:sz w:val="20"/>
                <w:lang w:eastAsia="fi-FI"/>
              </w:rPr>
              <w:t>posts</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left"/>
              <w:rPr>
                <w:rFonts w:cs="Arial"/>
                <w:sz w:val="20"/>
                <w:lang w:eastAsia="fi-FI"/>
              </w:rPr>
            </w:pPr>
            <w:r w:rsidRPr="000C7171">
              <w:rPr>
                <w:rFonts w:cs="Arial"/>
                <w:sz w:val="20"/>
                <w:lang w:eastAsia="fi-FI"/>
              </w:rPr>
              <w:t> </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880009" w:rsidP="00107660">
            <w:pPr>
              <w:spacing w:before="0" w:after="0"/>
              <w:jc w:val="right"/>
              <w:rPr>
                <w:rFonts w:cs="Arial"/>
                <w:sz w:val="20"/>
                <w:lang w:eastAsia="fi-FI"/>
              </w:rPr>
            </w:pPr>
            <w:r w:rsidRPr="000C7171">
              <w:rPr>
                <w:rFonts w:cs="Arial"/>
                <w:sz w:val="20"/>
                <w:lang w:eastAsia="fi-FI"/>
              </w:rPr>
              <w:t>85</w:t>
            </w:r>
          </w:p>
        </w:tc>
        <w:tc>
          <w:tcPr>
            <w:tcW w:w="960" w:type="dxa"/>
            <w:tcBorders>
              <w:top w:val="nil"/>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106</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07660" w:rsidRPr="000C7171" w:rsidRDefault="00107660" w:rsidP="00107660">
            <w:pPr>
              <w:spacing w:before="0" w:after="0"/>
              <w:jc w:val="right"/>
              <w:rPr>
                <w:rFonts w:cs="Arial"/>
                <w:sz w:val="20"/>
                <w:lang w:eastAsia="fi-FI"/>
              </w:rPr>
            </w:pPr>
            <w:r w:rsidRPr="000C7171">
              <w:rPr>
                <w:rFonts w:cs="Arial"/>
                <w:sz w:val="20"/>
                <w:lang w:eastAsia="fi-FI"/>
              </w:rPr>
              <w:t> </w:t>
            </w:r>
          </w:p>
        </w:tc>
      </w:tr>
    </w:tbl>
    <w:p w:rsidR="00107660" w:rsidRPr="000C7171" w:rsidRDefault="00107660" w:rsidP="00287987">
      <w:pPr>
        <w:spacing w:before="0" w:after="0"/>
        <w:rPr>
          <w:rFonts w:cs="Arial"/>
          <w:szCs w:val="22"/>
        </w:rPr>
      </w:pPr>
    </w:p>
    <w:p w:rsidR="00C44553" w:rsidRPr="000C7171" w:rsidRDefault="00091619" w:rsidP="00287987">
      <w:pPr>
        <w:spacing w:before="0" w:after="0"/>
        <w:rPr>
          <w:rFonts w:cs="Arial"/>
          <w:szCs w:val="22"/>
        </w:rPr>
      </w:pPr>
      <w:r w:rsidRPr="000C7171">
        <w:rPr>
          <w:rFonts w:cs="Arial"/>
          <w:szCs w:val="22"/>
        </w:rPr>
        <w:t xml:space="preserve">Unfortunately, and for very different reasons, </w:t>
      </w:r>
      <w:r w:rsidR="00A500F2" w:rsidRPr="000C7171">
        <w:rPr>
          <w:rFonts w:cs="Arial"/>
          <w:szCs w:val="22"/>
        </w:rPr>
        <w:t>106 seconded posts</w:t>
      </w:r>
      <w:r w:rsidRPr="000C7171">
        <w:rPr>
          <w:rFonts w:cs="Arial"/>
          <w:szCs w:val="22"/>
        </w:rPr>
        <w:t xml:space="preserve"> were</w:t>
      </w:r>
      <w:r w:rsidR="00A500F2" w:rsidRPr="000C7171">
        <w:rPr>
          <w:rFonts w:cs="Arial"/>
          <w:szCs w:val="22"/>
        </w:rPr>
        <w:t xml:space="preserve"> not filled by any delegation</w:t>
      </w:r>
      <w:r w:rsidR="008239DB" w:rsidRPr="000C7171">
        <w:rPr>
          <w:rFonts w:cs="Arial"/>
          <w:szCs w:val="22"/>
        </w:rPr>
        <w:t xml:space="preserve"> for 2012-2013</w:t>
      </w:r>
      <w:r w:rsidR="00A500F2" w:rsidRPr="000C7171">
        <w:rPr>
          <w:rFonts w:cs="Arial"/>
          <w:szCs w:val="22"/>
        </w:rPr>
        <w:t xml:space="preserve">. </w:t>
      </w:r>
      <w:r w:rsidR="00F921FF" w:rsidRPr="000C7171">
        <w:rPr>
          <w:rFonts w:cs="Arial"/>
          <w:szCs w:val="22"/>
        </w:rPr>
        <w:t xml:space="preserve">The number of unfilled posts shows </w:t>
      </w:r>
      <w:r w:rsidR="00C2351E" w:rsidRPr="000C7171">
        <w:rPr>
          <w:rFonts w:cs="Arial"/>
          <w:szCs w:val="22"/>
        </w:rPr>
        <w:t xml:space="preserve">a </w:t>
      </w:r>
      <w:r w:rsidR="00F921FF" w:rsidRPr="000C7171">
        <w:rPr>
          <w:rFonts w:cs="Arial"/>
          <w:szCs w:val="22"/>
        </w:rPr>
        <w:t>growing trend.</w:t>
      </w:r>
      <w:r w:rsidR="00C2351E" w:rsidRPr="000C7171">
        <w:rPr>
          <w:rFonts w:cs="Arial"/>
          <w:szCs w:val="22"/>
        </w:rPr>
        <w:t xml:space="preserve"> </w:t>
      </w:r>
      <w:r w:rsidRPr="000C7171">
        <w:rPr>
          <w:rFonts w:cs="Arial"/>
          <w:szCs w:val="22"/>
        </w:rPr>
        <w:t xml:space="preserve">The Secretary-General </w:t>
      </w:r>
      <w:r w:rsidR="008239DB" w:rsidRPr="000C7171">
        <w:rPr>
          <w:rFonts w:cs="Arial"/>
          <w:szCs w:val="22"/>
        </w:rPr>
        <w:t>pointed out</w:t>
      </w:r>
      <w:r w:rsidR="005D51F9" w:rsidRPr="000C7171">
        <w:rPr>
          <w:rFonts w:cs="Arial"/>
          <w:szCs w:val="22"/>
        </w:rPr>
        <w:t xml:space="preserve"> that the </w:t>
      </w:r>
      <w:r w:rsidR="00352446" w:rsidRPr="000C7171">
        <w:rPr>
          <w:rFonts w:cs="Arial"/>
          <w:szCs w:val="22"/>
        </w:rPr>
        <w:t>Member S</w:t>
      </w:r>
      <w:r w:rsidR="008046FD" w:rsidRPr="000C7171">
        <w:rPr>
          <w:rFonts w:cs="Arial"/>
          <w:szCs w:val="22"/>
        </w:rPr>
        <w:t>tates</w:t>
      </w:r>
      <w:r w:rsidR="00C2351E" w:rsidRPr="000C7171">
        <w:rPr>
          <w:rFonts w:cs="Arial"/>
          <w:szCs w:val="22"/>
        </w:rPr>
        <w:t xml:space="preserve"> </w:t>
      </w:r>
      <w:r w:rsidR="00287987" w:rsidRPr="000C7171">
        <w:rPr>
          <w:rFonts w:cs="Arial"/>
          <w:szCs w:val="22"/>
        </w:rPr>
        <w:t xml:space="preserve">which </w:t>
      </w:r>
      <w:r w:rsidR="008239DB" w:rsidRPr="000C7171">
        <w:rPr>
          <w:rFonts w:cs="Arial"/>
          <w:szCs w:val="22"/>
        </w:rPr>
        <w:t>had acceded</w:t>
      </w:r>
      <w:r w:rsidR="005D51F9" w:rsidRPr="000C7171">
        <w:rPr>
          <w:rFonts w:cs="Arial"/>
          <w:szCs w:val="22"/>
        </w:rPr>
        <w:t xml:space="preserve"> to the Convention should fulfil</w:t>
      </w:r>
      <w:r w:rsidR="008046FD" w:rsidRPr="000C7171">
        <w:rPr>
          <w:rFonts w:cs="Arial"/>
          <w:szCs w:val="22"/>
        </w:rPr>
        <w:t xml:space="preserve"> their obligations</w:t>
      </w:r>
      <w:r w:rsidR="00352446" w:rsidRPr="000C7171">
        <w:rPr>
          <w:rFonts w:cs="Arial"/>
          <w:szCs w:val="22"/>
        </w:rPr>
        <w:t>.</w:t>
      </w:r>
    </w:p>
    <w:p w:rsidR="00287987" w:rsidRPr="000C7171" w:rsidRDefault="00287987" w:rsidP="00287987">
      <w:pPr>
        <w:spacing w:before="0" w:after="0"/>
        <w:rPr>
          <w:rFonts w:cs="Arial"/>
          <w:szCs w:val="22"/>
        </w:rPr>
      </w:pPr>
    </w:p>
    <w:p w:rsidR="005D51F9" w:rsidRPr="000C7171" w:rsidRDefault="008239DB" w:rsidP="00287987">
      <w:pPr>
        <w:spacing w:before="0" w:after="0"/>
        <w:rPr>
          <w:rFonts w:cs="Arial"/>
          <w:szCs w:val="22"/>
        </w:rPr>
      </w:pPr>
      <w:r w:rsidRPr="000C7171">
        <w:rPr>
          <w:rFonts w:cs="Arial"/>
          <w:szCs w:val="22"/>
        </w:rPr>
        <w:t xml:space="preserve">Despite </w:t>
      </w:r>
      <w:r w:rsidR="00352446" w:rsidRPr="000C7171">
        <w:rPr>
          <w:rFonts w:cs="Arial"/>
          <w:szCs w:val="22"/>
        </w:rPr>
        <w:t>the efforts of the Offic</w:t>
      </w:r>
      <w:r w:rsidR="00091619" w:rsidRPr="000C7171">
        <w:rPr>
          <w:rFonts w:cs="Arial"/>
          <w:szCs w:val="22"/>
        </w:rPr>
        <w:t xml:space="preserve">e </w:t>
      </w:r>
      <w:r w:rsidRPr="000C7171">
        <w:rPr>
          <w:rFonts w:cs="Arial"/>
          <w:szCs w:val="22"/>
        </w:rPr>
        <w:t>of the Secretary-</w:t>
      </w:r>
      <w:r w:rsidR="00091619" w:rsidRPr="000C7171">
        <w:rPr>
          <w:rFonts w:cs="Arial"/>
          <w:szCs w:val="22"/>
        </w:rPr>
        <w:t xml:space="preserve">General to promote non-native </w:t>
      </w:r>
      <w:r w:rsidRPr="000C7171">
        <w:rPr>
          <w:rFonts w:cs="Arial"/>
          <w:szCs w:val="22"/>
        </w:rPr>
        <w:t xml:space="preserve">speaker </w:t>
      </w:r>
      <w:r w:rsidR="00091619" w:rsidRPr="000C7171">
        <w:rPr>
          <w:rFonts w:cs="Arial"/>
          <w:szCs w:val="22"/>
        </w:rPr>
        <w:t>teaching</w:t>
      </w:r>
      <w:r w:rsidR="00352446" w:rsidRPr="000C7171">
        <w:rPr>
          <w:rFonts w:cs="Arial"/>
          <w:szCs w:val="22"/>
        </w:rPr>
        <w:t xml:space="preserve"> posts, only </w:t>
      </w:r>
      <w:r w:rsidR="00091619" w:rsidRPr="000C7171">
        <w:rPr>
          <w:rFonts w:cs="Arial"/>
          <w:szCs w:val="22"/>
        </w:rPr>
        <w:t>about 20 non-native</w:t>
      </w:r>
      <w:r w:rsidRPr="000C7171">
        <w:rPr>
          <w:rFonts w:cs="Arial"/>
          <w:szCs w:val="22"/>
        </w:rPr>
        <w:t xml:space="preserve"> speaker</w:t>
      </w:r>
      <w:r w:rsidR="00091619" w:rsidRPr="000C7171">
        <w:rPr>
          <w:rFonts w:cs="Arial"/>
          <w:szCs w:val="22"/>
        </w:rPr>
        <w:t xml:space="preserve"> teachers</w:t>
      </w:r>
      <w:r w:rsidR="00352446" w:rsidRPr="000C7171">
        <w:rPr>
          <w:rFonts w:cs="Arial"/>
          <w:szCs w:val="22"/>
        </w:rPr>
        <w:t xml:space="preserve"> have been provided</w:t>
      </w:r>
      <w:r w:rsidR="00091619" w:rsidRPr="000C7171">
        <w:rPr>
          <w:rFonts w:cs="Arial"/>
          <w:szCs w:val="22"/>
        </w:rPr>
        <w:t xml:space="preserve"> so far</w:t>
      </w:r>
      <w:r w:rsidR="00352446" w:rsidRPr="000C7171">
        <w:rPr>
          <w:rFonts w:cs="Arial"/>
          <w:szCs w:val="22"/>
        </w:rPr>
        <w:t>.</w:t>
      </w:r>
      <w:r w:rsidR="00C2351E" w:rsidRPr="000C7171">
        <w:rPr>
          <w:rFonts w:cs="Arial"/>
          <w:szCs w:val="22"/>
        </w:rPr>
        <w:t xml:space="preserve"> </w:t>
      </w:r>
      <w:r w:rsidR="0087017C" w:rsidRPr="000C7171">
        <w:rPr>
          <w:rFonts w:cs="Arial"/>
          <w:szCs w:val="22"/>
        </w:rPr>
        <w:t xml:space="preserve">For the </w:t>
      </w:r>
      <w:r w:rsidRPr="000C7171">
        <w:rPr>
          <w:rFonts w:cs="Arial"/>
          <w:szCs w:val="22"/>
        </w:rPr>
        <w:t xml:space="preserve">2013-2014 </w:t>
      </w:r>
      <w:r w:rsidR="0087017C" w:rsidRPr="000C7171">
        <w:rPr>
          <w:rFonts w:cs="Arial"/>
          <w:szCs w:val="22"/>
        </w:rPr>
        <w:t xml:space="preserve">school year </w:t>
      </w:r>
      <w:r w:rsidRPr="000C7171">
        <w:rPr>
          <w:rFonts w:cs="Arial"/>
          <w:szCs w:val="22"/>
        </w:rPr>
        <w:t xml:space="preserve">the Member </w:t>
      </w:r>
      <w:r w:rsidR="00D121D0">
        <w:rPr>
          <w:rFonts w:cs="Arial"/>
          <w:szCs w:val="22"/>
        </w:rPr>
        <w:t>States will fill</w:t>
      </w:r>
      <w:r w:rsidR="00C2351E" w:rsidRPr="000C7171">
        <w:rPr>
          <w:rFonts w:cs="Arial"/>
          <w:szCs w:val="22"/>
        </w:rPr>
        <w:t xml:space="preserve"> </w:t>
      </w:r>
      <w:r w:rsidR="00EB2139" w:rsidRPr="000C7171">
        <w:rPr>
          <w:rFonts w:cs="Arial"/>
          <w:szCs w:val="22"/>
        </w:rPr>
        <w:t>10 to</w:t>
      </w:r>
      <w:r w:rsidR="0087017C" w:rsidRPr="000C7171">
        <w:rPr>
          <w:rFonts w:cs="Arial"/>
          <w:szCs w:val="22"/>
        </w:rPr>
        <w:t xml:space="preserve"> 15</w:t>
      </w:r>
      <w:r w:rsidR="00C2351E" w:rsidRPr="000C7171">
        <w:rPr>
          <w:rFonts w:cs="Arial"/>
          <w:szCs w:val="22"/>
        </w:rPr>
        <w:t xml:space="preserve"> </w:t>
      </w:r>
      <w:r w:rsidR="006764C6" w:rsidRPr="000C7171">
        <w:rPr>
          <w:rFonts w:cs="Arial"/>
          <w:szCs w:val="22"/>
        </w:rPr>
        <w:t>additional</w:t>
      </w:r>
      <w:r w:rsidR="0087017C" w:rsidRPr="000C7171">
        <w:rPr>
          <w:rFonts w:cs="Arial"/>
          <w:szCs w:val="22"/>
        </w:rPr>
        <w:t xml:space="preserve"> seconded non-native</w:t>
      </w:r>
      <w:r w:rsidRPr="000C7171">
        <w:rPr>
          <w:rFonts w:cs="Arial"/>
          <w:szCs w:val="22"/>
        </w:rPr>
        <w:t xml:space="preserve"> speaker</w:t>
      </w:r>
      <w:r w:rsidR="0087017C" w:rsidRPr="000C7171">
        <w:rPr>
          <w:rFonts w:cs="Arial"/>
          <w:szCs w:val="22"/>
        </w:rPr>
        <w:t xml:space="preserve"> posts.</w:t>
      </w:r>
    </w:p>
    <w:p w:rsidR="00287987" w:rsidRPr="000C7171" w:rsidRDefault="00287987" w:rsidP="00287987">
      <w:pPr>
        <w:spacing w:before="0" w:after="0"/>
        <w:rPr>
          <w:rFonts w:cs="Arial"/>
          <w:szCs w:val="22"/>
        </w:rPr>
      </w:pPr>
    </w:p>
    <w:p w:rsidR="009C35B6" w:rsidRDefault="0087017C" w:rsidP="00287987">
      <w:pPr>
        <w:spacing w:before="0" w:after="0"/>
        <w:rPr>
          <w:rFonts w:cs="Arial"/>
          <w:szCs w:val="22"/>
        </w:rPr>
      </w:pPr>
      <w:r w:rsidRPr="000C7171">
        <w:rPr>
          <w:rFonts w:cs="Arial"/>
          <w:szCs w:val="22"/>
        </w:rPr>
        <w:t>The</w:t>
      </w:r>
      <w:r w:rsidR="00091619" w:rsidRPr="000C7171">
        <w:rPr>
          <w:rFonts w:cs="Arial"/>
          <w:szCs w:val="22"/>
        </w:rPr>
        <w:t xml:space="preserve"> increasing</w:t>
      </w:r>
      <w:r w:rsidRPr="000C7171">
        <w:rPr>
          <w:rFonts w:cs="Arial"/>
          <w:szCs w:val="22"/>
        </w:rPr>
        <w:t xml:space="preserve"> need for Anglophone teachers is due to </w:t>
      </w:r>
      <w:r w:rsidR="008239DB" w:rsidRPr="000C7171">
        <w:rPr>
          <w:rFonts w:cs="Arial"/>
          <w:szCs w:val="22"/>
        </w:rPr>
        <w:t xml:space="preserve">large </w:t>
      </w:r>
      <w:r w:rsidRPr="000C7171">
        <w:rPr>
          <w:rFonts w:cs="Arial"/>
          <w:szCs w:val="22"/>
        </w:rPr>
        <w:t xml:space="preserve">number of SWALS in the </w:t>
      </w:r>
      <w:r w:rsidR="00237EC2" w:rsidRPr="000C7171">
        <w:rPr>
          <w:rFonts w:cs="Arial"/>
          <w:szCs w:val="22"/>
        </w:rPr>
        <w:t xml:space="preserve">Anglophone </w:t>
      </w:r>
      <w:r w:rsidRPr="000C7171">
        <w:rPr>
          <w:rFonts w:cs="Arial"/>
          <w:szCs w:val="22"/>
        </w:rPr>
        <w:t>section</w:t>
      </w:r>
      <w:r w:rsidR="008239DB" w:rsidRPr="000C7171">
        <w:rPr>
          <w:rFonts w:cs="Arial"/>
          <w:szCs w:val="22"/>
        </w:rPr>
        <w:t xml:space="preserve"> and the popularity of</w:t>
      </w:r>
      <w:r w:rsidR="00E11DA1" w:rsidRPr="000C7171">
        <w:rPr>
          <w:rFonts w:cs="Arial"/>
          <w:szCs w:val="22"/>
        </w:rPr>
        <w:t xml:space="preserve"> English as L2, L3 and L4</w:t>
      </w:r>
      <w:r w:rsidR="00091619" w:rsidRPr="000C7171">
        <w:rPr>
          <w:rFonts w:cs="Arial"/>
          <w:szCs w:val="22"/>
        </w:rPr>
        <w:t xml:space="preserve">. </w:t>
      </w:r>
      <w:r w:rsidR="00880009" w:rsidRPr="000C7171">
        <w:rPr>
          <w:rFonts w:cs="Arial"/>
          <w:szCs w:val="22"/>
        </w:rPr>
        <w:t xml:space="preserve"> At present over 50% of SWALS are in the Anglophone section.</w:t>
      </w:r>
    </w:p>
    <w:p w:rsidR="00D121D0" w:rsidRPr="000C7171" w:rsidRDefault="00D121D0" w:rsidP="00287987">
      <w:pPr>
        <w:spacing w:before="0" w:after="0"/>
        <w:rPr>
          <w:rFonts w:cs="Arial"/>
          <w:szCs w:val="22"/>
        </w:rPr>
      </w:pPr>
    </w:p>
    <w:p w:rsidR="00107660" w:rsidRDefault="00C91802" w:rsidP="00D121D0">
      <w:pPr>
        <w:spacing w:before="0" w:after="0"/>
        <w:rPr>
          <w:rFonts w:cs="Arial"/>
          <w:szCs w:val="22"/>
        </w:rPr>
      </w:pPr>
      <w:r w:rsidRPr="000C7171">
        <w:rPr>
          <w:rFonts w:cs="Arial"/>
          <w:szCs w:val="22"/>
        </w:rPr>
        <w:t>One way to reduce this overload is to create new language sections for SWALS</w:t>
      </w:r>
      <w:r w:rsidR="00107660" w:rsidRPr="000C7171">
        <w:rPr>
          <w:rFonts w:cs="Arial"/>
          <w:szCs w:val="22"/>
        </w:rPr>
        <w:t xml:space="preserve">. This will reduce the number of SWALS </w:t>
      </w:r>
      <w:r w:rsidR="003724BD" w:rsidRPr="000C7171">
        <w:rPr>
          <w:rFonts w:cs="Arial"/>
          <w:szCs w:val="22"/>
        </w:rPr>
        <w:t>gradually</w:t>
      </w:r>
      <w:r w:rsidR="00D121D0">
        <w:rPr>
          <w:rFonts w:cs="Arial"/>
          <w:szCs w:val="22"/>
        </w:rPr>
        <w:t>,</w:t>
      </w:r>
      <w:r w:rsidR="003724BD" w:rsidRPr="000C7171">
        <w:rPr>
          <w:rFonts w:cs="Arial"/>
          <w:szCs w:val="22"/>
        </w:rPr>
        <w:t xml:space="preserve"> </w:t>
      </w:r>
      <w:r w:rsidR="00107660" w:rsidRPr="000C7171">
        <w:rPr>
          <w:rFonts w:cs="Arial"/>
          <w:szCs w:val="22"/>
        </w:rPr>
        <w:t xml:space="preserve">starting from </w:t>
      </w:r>
      <w:r w:rsidR="005144B7">
        <w:rPr>
          <w:rFonts w:cs="Arial"/>
          <w:szCs w:val="22"/>
        </w:rPr>
        <w:t xml:space="preserve">the </w:t>
      </w:r>
      <w:r w:rsidR="003724BD" w:rsidRPr="000C7171">
        <w:rPr>
          <w:rFonts w:cs="Arial"/>
          <w:szCs w:val="22"/>
        </w:rPr>
        <w:t>lower levels</w:t>
      </w:r>
      <w:r w:rsidR="00107660" w:rsidRPr="000C7171">
        <w:rPr>
          <w:rFonts w:cs="Arial"/>
          <w:szCs w:val="22"/>
        </w:rPr>
        <w:t xml:space="preserve">.  </w:t>
      </w:r>
    </w:p>
    <w:p w:rsidR="00D121D0" w:rsidRPr="000C7171" w:rsidRDefault="00D121D0" w:rsidP="00D121D0">
      <w:pPr>
        <w:spacing w:before="0" w:after="0"/>
        <w:rPr>
          <w:rFonts w:cs="Arial"/>
          <w:szCs w:val="22"/>
        </w:rPr>
      </w:pPr>
    </w:p>
    <w:p w:rsidR="00C91802" w:rsidRPr="000C7171" w:rsidRDefault="00C91802" w:rsidP="00D121D0">
      <w:pPr>
        <w:spacing w:before="0"/>
        <w:rPr>
          <w:rFonts w:cs="Arial"/>
          <w:szCs w:val="22"/>
        </w:rPr>
      </w:pPr>
      <w:r w:rsidRPr="000C7171">
        <w:rPr>
          <w:rFonts w:cs="Arial"/>
          <w:szCs w:val="22"/>
        </w:rPr>
        <w:t>The Board of Governors has already taken several decisions in this field:</w:t>
      </w:r>
    </w:p>
    <w:p w:rsidR="00C91802" w:rsidRPr="000C7171" w:rsidRDefault="00C91802" w:rsidP="00C91802">
      <w:pPr>
        <w:rPr>
          <w:rFonts w:cs="Arial"/>
          <w:szCs w:val="22"/>
        </w:rPr>
      </w:pPr>
      <w:r w:rsidRPr="000C7171">
        <w:rPr>
          <w:rFonts w:cs="Arial"/>
          <w:szCs w:val="22"/>
        </w:rPr>
        <w:t>•        A Bulgarian section was created at Brussels IV in September 2012</w:t>
      </w:r>
    </w:p>
    <w:p w:rsidR="00C91802" w:rsidRDefault="00C91802" w:rsidP="00D121D0">
      <w:pPr>
        <w:spacing w:after="0"/>
        <w:rPr>
          <w:rFonts w:cs="Arial"/>
          <w:szCs w:val="22"/>
        </w:rPr>
      </w:pPr>
      <w:r w:rsidRPr="000C7171">
        <w:rPr>
          <w:rFonts w:cs="Arial"/>
          <w:szCs w:val="22"/>
        </w:rPr>
        <w:t>•        A Romanian section will open at Brussels IV in September 2013</w:t>
      </w:r>
    </w:p>
    <w:p w:rsidR="00D121D0" w:rsidRPr="000C7171" w:rsidRDefault="00D121D0" w:rsidP="00D121D0">
      <w:pPr>
        <w:spacing w:after="0"/>
        <w:rPr>
          <w:rFonts w:cs="Arial"/>
          <w:szCs w:val="22"/>
        </w:rPr>
      </w:pPr>
    </w:p>
    <w:p w:rsidR="00287987" w:rsidRPr="000C7171" w:rsidRDefault="00C91802" w:rsidP="00D121D0">
      <w:pPr>
        <w:spacing w:before="0"/>
        <w:rPr>
          <w:rFonts w:cs="Arial"/>
          <w:szCs w:val="22"/>
        </w:rPr>
      </w:pPr>
      <w:r w:rsidRPr="000C7171">
        <w:rPr>
          <w:rFonts w:cs="Arial"/>
          <w:szCs w:val="22"/>
        </w:rPr>
        <w:t xml:space="preserve">However, it </w:t>
      </w:r>
      <w:r w:rsidR="00C2351E" w:rsidRPr="000C7171">
        <w:rPr>
          <w:rFonts w:cs="Arial"/>
          <w:szCs w:val="22"/>
        </w:rPr>
        <w:t>must be pointed out</w:t>
      </w:r>
      <w:r w:rsidRPr="000C7171">
        <w:rPr>
          <w:rFonts w:cs="Arial"/>
          <w:szCs w:val="22"/>
        </w:rPr>
        <w:t xml:space="preserve"> that any creation of new language sections in Brussels remains subj</w:t>
      </w:r>
      <w:r w:rsidR="00C2351E" w:rsidRPr="000C7171">
        <w:rPr>
          <w:rFonts w:cs="Arial"/>
          <w:szCs w:val="22"/>
        </w:rPr>
        <w:t>ect to the availability of a fifth</w:t>
      </w:r>
      <w:r w:rsidRPr="000C7171">
        <w:rPr>
          <w:rFonts w:cs="Arial"/>
          <w:szCs w:val="22"/>
        </w:rPr>
        <w:t xml:space="preserve"> school. At the same time the Member States would</w:t>
      </w:r>
      <w:r w:rsidR="00D121D0">
        <w:rPr>
          <w:rFonts w:cs="Arial"/>
          <w:szCs w:val="22"/>
        </w:rPr>
        <w:t xml:space="preserve"> naturally have the</w:t>
      </w:r>
      <w:r w:rsidRPr="000C7171">
        <w:rPr>
          <w:rFonts w:cs="Arial"/>
          <w:szCs w:val="22"/>
        </w:rPr>
        <w:t xml:space="preserve"> possibility of providing the European Schools with seconded teachers.</w:t>
      </w:r>
    </w:p>
    <w:p w:rsidR="00091619" w:rsidRPr="000C7171" w:rsidRDefault="00C1303D" w:rsidP="00D121D0">
      <w:pPr>
        <w:pStyle w:val="ListParagraph"/>
        <w:spacing w:after="0"/>
        <w:ind w:left="357"/>
        <w:rPr>
          <w:rFonts w:cs="Arial"/>
          <w:b/>
          <w:sz w:val="24"/>
          <w:szCs w:val="24"/>
        </w:rPr>
      </w:pPr>
      <w:r w:rsidRPr="000C7171">
        <w:rPr>
          <w:rFonts w:cs="Arial"/>
          <w:b/>
          <w:sz w:val="24"/>
          <w:szCs w:val="24"/>
        </w:rPr>
        <w:t xml:space="preserve">6.2. </w:t>
      </w:r>
      <w:r w:rsidR="00091619" w:rsidRPr="000C7171">
        <w:rPr>
          <w:rFonts w:cs="Arial"/>
          <w:b/>
          <w:sz w:val="24"/>
          <w:szCs w:val="24"/>
        </w:rPr>
        <w:t>ALTERNATIVE SOURCE</w:t>
      </w:r>
      <w:r w:rsidR="001235EB" w:rsidRPr="000C7171">
        <w:rPr>
          <w:rFonts w:cs="Arial"/>
          <w:b/>
          <w:sz w:val="24"/>
          <w:szCs w:val="24"/>
        </w:rPr>
        <w:t>S</w:t>
      </w:r>
      <w:r w:rsidR="00AD1B99" w:rsidRPr="000C7171">
        <w:rPr>
          <w:rFonts w:cs="Arial"/>
          <w:b/>
          <w:sz w:val="24"/>
          <w:szCs w:val="24"/>
        </w:rPr>
        <w:t xml:space="preserve"> OF FUNDING</w:t>
      </w:r>
    </w:p>
    <w:p w:rsidR="00C1303D" w:rsidRPr="000C7171" w:rsidRDefault="00C1303D" w:rsidP="007319D1">
      <w:pPr>
        <w:pStyle w:val="ListParagraph"/>
        <w:rPr>
          <w:rFonts w:cs="Arial"/>
          <w:b/>
          <w:sz w:val="24"/>
          <w:szCs w:val="24"/>
        </w:rPr>
      </w:pPr>
    </w:p>
    <w:p w:rsidR="00E11DA1" w:rsidRPr="000C7171" w:rsidRDefault="00AD1B99" w:rsidP="00026407">
      <w:pPr>
        <w:spacing w:before="0" w:after="0"/>
        <w:rPr>
          <w:rFonts w:cs="Arial"/>
          <w:szCs w:val="22"/>
        </w:rPr>
      </w:pPr>
      <w:r w:rsidRPr="000C7171">
        <w:rPr>
          <w:rFonts w:cs="Arial"/>
          <w:szCs w:val="22"/>
        </w:rPr>
        <w:t>The Board of Governors took an important decision</w:t>
      </w:r>
      <w:r w:rsidR="00C2351E" w:rsidRPr="000C7171">
        <w:rPr>
          <w:rFonts w:cs="Arial"/>
          <w:szCs w:val="22"/>
        </w:rPr>
        <w:t xml:space="preserve"> </w:t>
      </w:r>
      <w:r w:rsidRPr="000C7171">
        <w:rPr>
          <w:rFonts w:cs="Arial"/>
          <w:szCs w:val="22"/>
        </w:rPr>
        <w:t>to increase revenue in December 2012.</w:t>
      </w:r>
      <w:r w:rsidR="00050740" w:rsidRPr="000C7171">
        <w:rPr>
          <w:rFonts w:cs="Arial"/>
          <w:szCs w:val="22"/>
        </w:rPr>
        <w:t xml:space="preserve"> It was decided to increase category II</w:t>
      </w:r>
      <w:r w:rsidR="00E11DA1" w:rsidRPr="000C7171">
        <w:rPr>
          <w:rFonts w:cs="Arial"/>
          <w:szCs w:val="22"/>
        </w:rPr>
        <w:t>I</w:t>
      </w:r>
      <w:r w:rsidRPr="000C7171">
        <w:rPr>
          <w:rFonts w:cs="Arial"/>
          <w:szCs w:val="22"/>
        </w:rPr>
        <w:t xml:space="preserve"> school fees by</w:t>
      </w:r>
      <w:r w:rsidR="00E11DA1" w:rsidRPr="000C7171">
        <w:rPr>
          <w:rFonts w:cs="Arial"/>
          <w:szCs w:val="22"/>
        </w:rPr>
        <w:t xml:space="preserve"> 25%</w:t>
      </w:r>
      <w:r w:rsidR="00050740" w:rsidRPr="000C7171">
        <w:rPr>
          <w:rFonts w:cs="Arial"/>
          <w:szCs w:val="22"/>
        </w:rPr>
        <w:t xml:space="preserve"> and to reduce the</w:t>
      </w:r>
      <w:r w:rsidR="00E11DA1" w:rsidRPr="000C7171">
        <w:rPr>
          <w:rFonts w:cs="Arial"/>
          <w:szCs w:val="22"/>
        </w:rPr>
        <w:t xml:space="preserve"> reduction</w:t>
      </w:r>
      <w:r w:rsidR="00C2351E" w:rsidRPr="000C7171">
        <w:rPr>
          <w:rFonts w:cs="Arial"/>
          <w:szCs w:val="22"/>
        </w:rPr>
        <w:t xml:space="preserve"> in</w:t>
      </w:r>
      <w:r w:rsidR="00E34073" w:rsidRPr="000C7171">
        <w:rPr>
          <w:rFonts w:cs="Arial"/>
          <w:szCs w:val="22"/>
        </w:rPr>
        <w:t xml:space="preserve"> fees</w:t>
      </w:r>
      <w:r w:rsidR="005144B7">
        <w:rPr>
          <w:rFonts w:cs="Arial"/>
          <w:szCs w:val="22"/>
        </w:rPr>
        <w:t xml:space="preserve"> granted</w:t>
      </w:r>
      <w:r w:rsidR="00E11DA1" w:rsidRPr="000C7171">
        <w:rPr>
          <w:rFonts w:cs="Arial"/>
          <w:szCs w:val="22"/>
        </w:rPr>
        <w:t xml:space="preserve"> for siblings</w:t>
      </w:r>
      <w:r w:rsidR="00050740" w:rsidRPr="000C7171">
        <w:rPr>
          <w:rFonts w:cs="Arial"/>
          <w:szCs w:val="22"/>
        </w:rPr>
        <w:t>. The possi</w:t>
      </w:r>
      <w:r w:rsidRPr="000C7171">
        <w:rPr>
          <w:rFonts w:cs="Arial"/>
          <w:szCs w:val="22"/>
        </w:rPr>
        <w:t xml:space="preserve">ble impact of this action </w:t>
      </w:r>
      <w:r w:rsidR="00C2351E" w:rsidRPr="000C7171">
        <w:rPr>
          <w:rFonts w:cs="Arial"/>
          <w:szCs w:val="22"/>
        </w:rPr>
        <w:t>on revenue</w:t>
      </w:r>
      <w:r w:rsidR="00E34073" w:rsidRPr="000C7171">
        <w:rPr>
          <w:rFonts w:cs="Arial"/>
          <w:szCs w:val="22"/>
        </w:rPr>
        <w:t xml:space="preserve"> </w:t>
      </w:r>
      <w:r w:rsidRPr="000C7171">
        <w:rPr>
          <w:rFonts w:cs="Arial"/>
          <w:szCs w:val="22"/>
        </w:rPr>
        <w:t>is unknown as yet.</w:t>
      </w:r>
    </w:p>
    <w:p w:rsidR="00026407" w:rsidRPr="000C7171" w:rsidRDefault="00026407" w:rsidP="00026407">
      <w:pPr>
        <w:spacing w:before="0" w:after="0"/>
        <w:rPr>
          <w:rFonts w:cs="Arial"/>
          <w:szCs w:val="22"/>
        </w:rPr>
      </w:pPr>
    </w:p>
    <w:p w:rsidR="00ED0C6E" w:rsidRPr="000C7171" w:rsidRDefault="00050740" w:rsidP="00AD1B99">
      <w:pPr>
        <w:spacing w:before="0" w:after="0"/>
        <w:rPr>
          <w:rFonts w:cs="Arial"/>
          <w:szCs w:val="22"/>
        </w:rPr>
      </w:pPr>
      <w:r w:rsidRPr="000C7171">
        <w:rPr>
          <w:rFonts w:cs="Arial"/>
          <w:szCs w:val="22"/>
        </w:rPr>
        <w:t xml:space="preserve">Inspired by the positive co-funding of </w:t>
      </w:r>
      <w:r w:rsidR="00AD1B99" w:rsidRPr="000C7171">
        <w:rPr>
          <w:rFonts w:cs="Arial"/>
          <w:szCs w:val="22"/>
        </w:rPr>
        <w:t>the Karlsruhe S</w:t>
      </w:r>
      <w:r w:rsidRPr="000C7171">
        <w:rPr>
          <w:rFonts w:cs="Arial"/>
          <w:szCs w:val="22"/>
        </w:rPr>
        <w:t>chool, the Secretary-</w:t>
      </w:r>
      <w:r w:rsidR="00AD1B99" w:rsidRPr="000C7171">
        <w:rPr>
          <w:rFonts w:cs="Arial"/>
          <w:szCs w:val="22"/>
        </w:rPr>
        <w:t>General has contacted in writing</w:t>
      </w:r>
      <w:r w:rsidR="00EE152D" w:rsidRPr="000C7171">
        <w:rPr>
          <w:rFonts w:cs="Arial"/>
          <w:szCs w:val="22"/>
        </w:rPr>
        <w:t xml:space="preserve"> </w:t>
      </w:r>
      <w:r w:rsidR="00D121D0">
        <w:rPr>
          <w:rFonts w:cs="Arial"/>
          <w:szCs w:val="22"/>
        </w:rPr>
        <w:t xml:space="preserve">the </w:t>
      </w:r>
      <w:r w:rsidR="00EE152D" w:rsidRPr="000C7171">
        <w:rPr>
          <w:rFonts w:cs="Arial"/>
          <w:szCs w:val="22"/>
        </w:rPr>
        <w:t>Dutch, Italian and Spanish</w:t>
      </w:r>
      <w:r w:rsidRPr="000C7171">
        <w:rPr>
          <w:rFonts w:cs="Arial"/>
          <w:szCs w:val="22"/>
        </w:rPr>
        <w:t xml:space="preserve"> Member States</w:t>
      </w:r>
      <w:r w:rsidR="00D121D0">
        <w:rPr>
          <w:rFonts w:cs="Arial"/>
          <w:szCs w:val="22"/>
        </w:rPr>
        <w:t>, which</w:t>
      </w:r>
      <w:r w:rsidRPr="000C7171">
        <w:rPr>
          <w:rFonts w:cs="Arial"/>
          <w:szCs w:val="22"/>
        </w:rPr>
        <w:t xml:space="preserve"> </w:t>
      </w:r>
      <w:r w:rsidR="00C2351E" w:rsidRPr="000C7171">
        <w:rPr>
          <w:rFonts w:cs="Arial"/>
          <w:szCs w:val="22"/>
        </w:rPr>
        <w:t xml:space="preserve">host a </w:t>
      </w:r>
      <w:r w:rsidRPr="000C7171">
        <w:rPr>
          <w:rFonts w:cs="Arial"/>
          <w:szCs w:val="22"/>
        </w:rPr>
        <w:t>European School in th</w:t>
      </w:r>
      <w:r w:rsidR="00AD1B99" w:rsidRPr="000C7171">
        <w:rPr>
          <w:rFonts w:cs="Arial"/>
          <w:szCs w:val="22"/>
        </w:rPr>
        <w:t>eir territory</w:t>
      </w:r>
      <w:r w:rsidR="00D121D0">
        <w:rPr>
          <w:rFonts w:cs="Arial"/>
          <w:szCs w:val="22"/>
        </w:rPr>
        <w:t>,</w:t>
      </w:r>
      <w:r w:rsidR="00AD1B99" w:rsidRPr="000C7171">
        <w:rPr>
          <w:rFonts w:cs="Arial"/>
          <w:szCs w:val="22"/>
        </w:rPr>
        <w:t xml:space="preserve"> in order to initiate</w:t>
      </w:r>
      <w:r w:rsidRPr="000C7171">
        <w:rPr>
          <w:rFonts w:cs="Arial"/>
          <w:szCs w:val="22"/>
        </w:rPr>
        <w:t xml:space="preserve"> a search for</w:t>
      </w:r>
      <w:r w:rsidR="00E11DA1" w:rsidRPr="000C7171">
        <w:rPr>
          <w:rFonts w:cs="Arial"/>
          <w:szCs w:val="22"/>
        </w:rPr>
        <w:t xml:space="preserve"> local partners</w:t>
      </w:r>
      <w:r w:rsidR="00AD1B99" w:rsidRPr="000C7171">
        <w:rPr>
          <w:rFonts w:cs="Arial"/>
          <w:szCs w:val="22"/>
        </w:rPr>
        <w:t xml:space="preserve"> in accordance with the possibilities allowed by A</w:t>
      </w:r>
      <w:r w:rsidRPr="000C7171">
        <w:rPr>
          <w:rFonts w:cs="Arial"/>
          <w:szCs w:val="22"/>
        </w:rPr>
        <w:t xml:space="preserve">rticles </w:t>
      </w:r>
      <w:r w:rsidR="00E11DA1" w:rsidRPr="000C7171">
        <w:rPr>
          <w:rFonts w:cs="Arial"/>
          <w:szCs w:val="22"/>
        </w:rPr>
        <w:t>28 and 29 of</w:t>
      </w:r>
      <w:r w:rsidRPr="000C7171">
        <w:rPr>
          <w:rFonts w:cs="Arial"/>
          <w:szCs w:val="22"/>
        </w:rPr>
        <w:t xml:space="preserve"> the Convention</w:t>
      </w:r>
      <w:r w:rsidR="00E11DA1" w:rsidRPr="000C7171">
        <w:rPr>
          <w:rFonts w:cs="Arial"/>
          <w:szCs w:val="22"/>
        </w:rPr>
        <w:t>.</w:t>
      </w:r>
    </w:p>
    <w:p w:rsidR="00AD1B99" w:rsidRPr="000C7171" w:rsidRDefault="00AD1B99" w:rsidP="00AD1B99">
      <w:pPr>
        <w:spacing w:before="0" w:after="0"/>
        <w:rPr>
          <w:rFonts w:cs="Arial"/>
          <w:szCs w:val="22"/>
        </w:rPr>
      </w:pPr>
    </w:p>
    <w:p w:rsidR="00AD1B99" w:rsidRPr="000C7171" w:rsidRDefault="00AD1B99" w:rsidP="00AD1B99">
      <w:pPr>
        <w:spacing w:before="0" w:after="0"/>
        <w:rPr>
          <w:rFonts w:cs="Arial"/>
          <w:szCs w:val="22"/>
        </w:rPr>
      </w:pPr>
      <w:r w:rsidRPr="000C7171">
        <w:rPr>
          <w:rFonts w:cs="Arial"/>
          <w:szCs w:val="22"/>
        </w:rPr>
        <w:t>A meeting with the D</w:t>
      </w:r>
      <w:r w:rsidR="00ED0C6E" w:rsidRPr="000C7171">
        <w:rPr>
          <w:rFonts w:cs="Arial"/>
          <w:szCs w:val="22"/>
        </w:rPr>
        <w:t>irector of the European S</w:t>
      </w:r>
      <w:r w:rsidRPr="000C7171">
        <w:rPr>
          <w:rFonts w:cs="Arial"/>
          <w:szCs w:val="22"/>
        </w:rPr>
        <w:t>chool</w:t>
      </w:r>
      <w:r w:rsidR="00C2351E" w:rsidRPr="000C7171">
        <w:rPr>
          <w:rFonts w:cs="Arial"/>
          <w:szCs w:val="22"/>
        </w:rPr>
        <w:t>,</w:t>
      </w:r>
      <w:r w:rsidRPr="000C7171">
        <w:rPr>
          <w:rFonts w:cs="Arial"/>
          <w:szCs w:val="22"/>
        </w:rPr>
        <w:t xml:space="preserve"> Bergen, NOB from </w:t>
      </w:r>
      <w:r w:rsidR="00ED0C6E" w:rsidRPr="000C7171">
        <w:rPr>
          <w:rFonts w:cs="Arial"/>
          <w:i/>
          <w:szCs w:val="22"/>
        </w:rPr>
        <w:t>Noord Holland</w:t>
      </w:r>
      <w:r w:rsidR="00C2351E" w:rsidRPr="000C7171">
        <w:rPr>
          <w:rFonts w:cs="Arial"/>
          <w:i/>
          <w:szCs w:val="22"/>
        </w:rPr>
        <w:t xml:space="preserve"> </w:t>
      </w:r>
      <w:r w:rsidRPr="000C7171">
        <w:rPr>
          <w:rFonts w:cs="Arial"/>
          <w:szCs w:val="22"/>
        </w:rPr>
        <w:t>Province, the Municipality of</w:t>
      </w:r>
      <w:r w:rsidR="00ED0C6E" w:rsidRPr="000C7171">
        <w:rPr>
          <w:rFonts w:cs="Arial"/>
          <w:szCs w:val="22"/>
        </w:rPr>
        <w:t xml:space="preserve"> Bergen, the Dutch Foreign Ministry, JRC Petten, NOB and the Min</w:t>
      </w:r>
      <w:r w:rsidRPr="000C7171">
        <w:rPr>
          <w:rFonts w:cs="Arial"/>
          <w:szCs w:val="22"/>
        </w:rPr>
        <w:t>istry of Education took place at</w:t>
      </w:r>
      <w:r w:rsidR="00ED0C6E" w:rsidRPr="000C7171">
        <w:rPr>
          <w:rFonts w:cs="Arial"/>
          <w:szCs w:val="22"/>
        </w:rPr>
        <w:t xml:space="preserve"> the beginning of July. </w:t>
      </w:r>
    </w:p>
    <w:p w:rsidR="001235EB" w:rsidRPr="000C7171" w:rsidRDefault="001235EB" w:rsidP="00EE152D">
      <w:pPr>
        <w:spacing w:before="0" w:after="0"/>
        <w:rPr>
          <w:rFonts w:cs="Arial"/>
          <w:sz w:val="24"/>
          <w:szCs w:val="24"/>
        </w:rPr>
      </w:pPr>
    </w:p>
    <w:p w:rsidR="005B5186" w:rsidRPr="000C7171" w:rsidRDefault="005B5186" w:rsidP="00AD1B99">
      <w:pPr>
        <w:autoSpaceDE w:val="0"/>
        <w:autoSpaceDN w:val="0"/>
        <w:adjustRightInd w:val="0"/>
        <w:spacing w:before="0" w:after="0"/>
        <w:rPr>
          <w:rFonts w:cs="Arial"/>
          <w:sz w:val="24"/>
          <w:szCs w:val="24"/>
        </w:rPr>
      </w:pPr>
    </w:p>
    <w:p w:rsidR="00EE152D" w:rsidRPr="000C7171" w:rsidRDefault="00C2351E" w:rsidP="00076ED7">
      <w:pPr>
        <w:spacing w:before="0" w:after="0"/>
        <w:ind w:left="357"/>
        <w:rPr>
          <w:rFonts w:cs="Arial"/>
          <w:b/>
          <w:sz w:val="24"/>
          <w:szCs w:val="24"/>
        </w:rPr>
      </w:pPr>
      <w:r w:rsidRPr="000C7171">
        <w:rPr>
          <w:rFonts w:cs="Arial"/>
          <w:b/>
          <w:sz w:val="24"/>
          <w:szCs w:val="24"/>
        </w:rPr>
        <w:t xml:space="preserve">6.3. </w:t>
      </w:r>
      <w:r w:rsidR="00F82BAE" w:rsidRPr="000C7171">
        <w:rPr>
          <w:rFonts w:cs="Arial"/>
          <w:b/>
          <w:sz w:val="24"/>
          <w:szCs w:val="24"/>
        </w:rPr>
        <w:t>PRO-RATA</w:t>
      </w:r>
      <w:r w:rsidR="00C1303D" w:rsidRPr="000C7171">
        <w:rPr>
          <w:rFonts w:cs="Arial"/>
          <w:b/>
          <w:sz w:val="24"/>
          <w:szCs w:val="24"/>
        </w:rPr>
        <w:t xml:space="preserve"> MODELS </w:t>
      </w:r>
    </w:p>
    <w:p w:rsidR="00EE152D" w:rsidRPr="000C7171" w:rsidRDefault="00EE152D" w:rsidP="00076ED7">
      <w:pPr>
        <w:spacing w:before="0" w:after="0"/>
        <w:ind w:left="357"/>
        <w:rPr>
          <w:rFonts w:cs="Arial"/>
          <w:b/>
          <w:sz w:val="24"/>
          <w:szCs w:val="24"/>
        </w:rPr>
      </w:pPr>
    </w:p>
    <w:p w:rsidR="00EE152D" w:rsidRPr="000C7171" w:rsidRDefault="00EE152D" w:rsidP="00EE152D">
      <w:pPr>
        <w:spacing w:before="0" w:after="0"/>
        <w:rPr>
          <w:rFonts w:cs="Arial"/>
          <w:szCs w:val="22"/>
        </w:rPr>
      </w:pPr>
      <w:r w:rsidRPr="000C7171">
        <w:rPr>
          <w:rFonts w:cs="Arial"/>
          <w:szCs w:val="22"/>
        </w:rPr>
        <w:t xml:space="preserve">There is </w:t>
      </w:r>
      <w:r w:rsidR="00C2351E" w:rsidRPr="000C7171">
        <w:rPr>
          <w:rFonts w:cs="Arial"/>
          <w:szCs w:val="22"/>
        </w:rPr>
        <w:t xml:space="preserve">a </w:t>
      </w:r>
      <w:r w:rsidRPr="000C7171">
        <w:rPr>
          <w:rFonts w:cs="Arial"/>
          <w:szCs w:val="22"/>
        </w:rPr>
        <w:t>wid</w:t>
      </w:r>
      <w:r w:rsidR="00C2351E" w:rsidRPr="000C7171">
        <w:rPr>
          <w:rFonts w:cs="Arial"/>
          <w:szCs w:val="22"/>
        </w:rPr>
        <w:t xml:space="preserve">e range of various types of </w:t>
      </w:r>
      <w:r w:rsidR="00F82BAE" w:rsidRPr="000C7171">
        <w:rPr>
          <w:rFonts w:cs="Arial"/>
          <w:szCs w:val="22"/>
        </w:rPr>
        <w:t>pro-rata</w:t>
      </w:r>
      <w:r w:rsidRPr="000C7171">
        <w:rPr>
          <w:rFonts w:cs="Arial"/>
          <w:szCs w:val="22"/>
        </w:rPr>
        <w:t xml:space="preserve"> models which have been discussed </w:t>
      </w:r>
      <w:r w:rsidR="00C2351E" w:rsidRPr="000C7171">
        <w:rPr>
          <w:rFonts w:cs="Arial"/>
          <w:szCs w:val="22"/>
        </w:rPr>
        <w:t>by</w:t>
      </w:r>
      <w:r w:rsidRPr="000C7171">
        <w:rPr>
          <w:rFonts w:cs="Arial"/>
          <w:szCs w:val="22"/>
        </w:rPr>
        <w:t xml:space="preserve"> </w:t>
      </w:r>
      <w:r w:rsidR="00C2351E" w:rsidRPr="000C7171">
        <w:rPr>
          <w:rFonts w:cs="Arial"/>
          <w:szCs w:val="22"/>
        </w:rPr>
        <w:t>the Cost Sharing Working Group at its meetings.</w:t>
      </w:r>
      <w:r w:rsidR="00BF3B80" w:rsidRPr="000C7171">
        <w:rPr>
          <w:rFonts w:cs="Arial"/>
          <w:szCs w:val="22"/>
        </w:rPr>
        <w:t xml:space="preserve"> </w:t>
      </w:r>
      <w:r w:rsidR="00D121D0">
        <w:rPr>
          <w:rFonts w:cs="Arial"/>
          <w:szCs w:val="22"/>
        </w:rPr>
        <w:t xml:space="preserve">The models based on </w:t>
      </w:r>
      <w:r w:rsidR="00F82BAE" w:rsidRPr="000C7171">
        <w:rPr>
          <w:rFonts w:cs="Arial"/>
          <w:szCs w:val="22"/>
        </w:rPr>
        <w:t>GNP</w:t>
      </w:r>
      <w:r w:rsidR="009F7928" w:rsidRPr="000C7171">
        <w:rPr>
          <w:rFonts w:cs="Arial"/>
          <w:szCs w:val="22"/>
        </w:rPr>
        <w:t>, or models based on</w:t>
      </w:r>
      <w:r w:rsidR="00F82BAE" w:rsidRPr="000C7171">
        <w:rPr>
          <w:rFonts w:cs="Arial"/>
          <w:szCs w:val="22"/>
        </w:rPr>
        <w:t xml:space="preserve"> the percentage </w:t>
      </w:r>
      <w:r w:rsidR="00107660" w:rsidRPr="000C7171">
        <w:rPr>
          <w:rFonts w:cs="Arial"/>
          <w:szCs w:val="22"/>
        </w:rPr>
        <w:t xml:space="preserve">of pupils and </w:t>
      </w:r>
      <w:r w:rsidR="00D121D0">
        <w:rPr>
          <w:rFonts w:cs="Arial"/>
          <w:szCs w:val="22"/>
        </w:rPr>
        <w:t xml:space="preserve">average cost per pupil, </w:t>
      </w:r>
      <w:r w:rsidR="009F7928" w:rsidRPr="000C7171">
        <w:rPr>
          <w:rFonts w:cs="Arial"/>
          <w:szCs w:val="22"/>
        </w:rPr>
        <w:t xml:space="preserve">requiring recalculation of </w:t>
      </w:r>
      <w:r w:rsidR="00F82BAE" w:rsidRPr="000C7171">
        <w:rPr>
          <w:rFonts w:cs="Arial"/>
          <w:szCs w:val="22"/>
        </w:rPr>
        <w:t xml:space="preserve">the </w:t>
      </w:r>
      <w:r w:rsidR="009F7928" w:rsidRPr="000C7171">
        <w:rPr>
          <w:rFonts w:cs="Arial"/>
          <w:szCs w:val="22"/>
        </w:rPr>
        <w:t>financial contributions of Member States</w:t>
      </w:r>
      <w:r w:rsidR="00D121D0">
        <w:rPr>
          <w:rFonts w:cs="Arial"/>
          <w:szCs w:val="22"/>
        </w:rPr>
        <w:t>,</w:t>
      </w:r>
      <w:r w:rsidR="009F7928" w:rsidRPr="000C7171">
        <w:rPr>
          <w:rFonts w:cs="Arial"/>
          <w:szCs w:val="22"/>
        </w:rPr>
        <w:t xml:space="preserve"> </w:t>
      </w:r>
      <w:r w:rsidR="00BF3B80" w:rsidRPr="000C7171">
        <w:rPr>
          <w:rFonts w:cs="Arial"/>
          <w:szCs w:val="22"/>
        </w:rPr>
        <w:t xml:space="preserve">have not received support from most of the Member States. </w:t>
      </w:r>
      <w:r w:rsidR="009F7928" w:rsidRPr="000C7171">
        <w:rPr>
          <w:rFonts w:cs="Arial"/>
          <w:szCs w:val="22"/>
        </w:rPr>
        <w:br/>
      </w:r>
      <w:r w:rsidR="009F7928" w:rsidRPr="000C7171">
        <w:rPr>
          <w:rFonts w:cs="Arial"/>
          <w:szCs w:val="22"/>
        </w:rPr>
        <w:br/>
      </w:r>
      <w:r w:rsidR="00F82BAE" w:rsidRPr="000C7171">
        <w:rPr>
          <w:rFonts w:cs="Arial"/>
          <w:szCs w:val="22"/>
        </w:rPr>
        <w:t>It should be pointed out</w:t>
      </w:r>
      <w:r w:rsidR="00A1474C" w:rsidRPr="000C7171">
        <w:rPr>
          <w:rFonts w:cs="Arial"/>
          <w:szCs w:val="22"/>
        </w:rPr>
        <w:t xml:space="preserve"> that the Convention </w:t>
      </w:r>
      <w:r w:rsidR="00F82BAE" w:rsidRPr="000C7171">
        <w:rPr>
          <w:rFonts w:cs="Arial"/>
          <w:szCs w:val="22"/>
        </w:rPr>
        <w:t xml:space="preserve">does not rule out </w:t>
      </w:r>
      <w:r w:rsidR="00C17C17" w:rsidRPr="000C7171">
        <w:rPr>
          <w:rFonts w:cs="Arial"/>
          <w:szCs w:val="22"/>
        </w:rPr>
        <w:t>thi</w:t>
      </w:r>
      <w:r w:rsidR="00D121D0">
        <w:rPr>
          <w:rFonts w:cs="Arial"/>
          <w:szCs w:val="22"/>
        </w:rPr>
        <w:t>s type of change to</w:t>
      </w:r>
      <w:r w:rsidR="00F82BAE" w:rsidRPr="000C7171">
        <w:rPr>
          <w:rFonts w:cs="Arial"/>
          <w:szCs w:val="22"/>
        </w:rPr>
        <w:t xml:space="preserve"> the funding </w:t>
      </w:r>
      <w:r w:rsidR="009F7928" w:rsidRPr="000C7171">
        <w:rPr>
          <w:rFonts w:cs="Arial"/>
          <w:szCs w:val="22"/>
        </w:rPr>
        <w:t xml:space="preserve">system </w:t>
      </w:r>
      <w:r w:rsidR="00F82BAE" w:rsidRPr="000C7171">
        <w:rPr>
          <w:rFonts w:cs="Arial"/>
          <w:szCs w:val="22"/>
        </w:rPr>
        <w:t>whilst</w:t>
      </w:r>
      <w:r w:rsidR="00C17C17" w:rsidRPr="000C7171">
        <w:rPr>
          <w:rFonts w:cs="Arial"/>
          <w:szCs w:val="22"/>
        </w:rPr>
        <w:t xml:space="preserve"> maintaining the </w:t>
      </w:r>
      <w:r w:rsidR="00107660" w:rsidRPr="000C7171">
        <w:rPr>
          <w:rFonts w:cs="Arial"/>
          <w:szCs w:val="22"/>
        </w:rPr>
        <w:t xml:space="preserve">system of </w:t>
      </w:r>
      <w:r w:rsidR="00C17C17" w:rsidRPr="000C7171">
        <w:rPr>
          <w:rFonts w:cs="Arial"/>
          <w:szCs w:val="22"/>
        </w:rPr>
        <w:t xml:space="preserve">seconding teachers by Member States. </w:t>
      </w:r>
    </w:p>
    <w:p w:rsidR="00026407" w:rsidRPr="000C7171" w:rsidRDefault="00026407" w:rsidP="00EE152D">
      <w:pPr>
        <w:spacing w:before="0" w:after="0"/>
        <w:rPr>
          <w:rFonts w:cs="Arial"/>
          <w:b/>
          <w:sz w:val="24"/>
          <w:szCs w:val="24"/>
        </w:rPr>
      </w:pPr>
    </w:p>
    <w:p w:rsidR="00EE152D" w:rsidRPr="000C7171" w:rsidRDefault="00EE152D" w:rsidP="00076ED7">
      <w:pPr>
        <w:spacing w:before="0" w:after="0"/>
        <w:ind w:left="357"/>
        <w:rPr>
          <w:rFonts w:cs="Arial"/>
          <w:b/>
          <w:sz w:val="24"/>
          <w:szCs w:val="24"/>
        </w:rPr>
      </w:pPr>
    </w:p>
    <w:p w:rsidR="00C1303D" w:rsidRPr="000C7171" w:rsidRDefault="000C7171" w:rsidP="00076ED7">
      <w:pPr>
        <w:spacing w:before="0" w:after="0"/>
        <w:ind w:left="357"/>
        <w:rPr>
          <w:rFonts w:cs="Arial"/>
          <w:sz w:val="24"/>
          <w:szCs w:val="24"/>
        </w:rPr>
      </w:pPr>
      <w:r w:rsidRPr="000C7171">
        <w:rPr>
          <w:rFonts w:cs="Arial"/>
          <w:b/>
          <w:sz w:val="24"/>
          <w:szCs w:val="24"/>
        </w:rPr>
        <w:t>6.4</w:t>
      </w:r>
      <w:r w:rsidR="005144B7">
        <w:rPr>
          <w:rFonts w:cs="Arial"/>
          <w:b/>
          <w:sz w:val="24"/>
          <w:szCs w:val="24"/>
        </w:rPr>
        <w:t>.</w:t>
      </w:r>
      <w:r w:rsidRPr="000C7171">
        <w:rPr>
          <w:rFonts w:cs="Arial"/>
          <w:b/>
          <w:sz w:val="24"/>
          <w:szCs w:val="24"/>
        </w:rPr>
        <w:t xml:space="preserve"> UK</w:t>
      </w:r>
      <w:r w:rsidR="00C1303D" w:rsidRPr="000C7171">
        <w:rPr>
          <w:rFonts w:cs="Arial"/>
          <w:b/>
          <w:sz w:val="24"/>
          <w:szCs w:val="24"/>
        </w:rPr>
        <w:t xml:space="preserve"> PROPOSAL</w:t>
      </w:r>
    </w:p>
    <w:p w:rsidR="009879E9" w:rsidRPr="000C7171" w:rsidRDefault="009879E9" w:rsidP="00AD1B99">
      <w:pPr>
        <w:spacing w:before="0" w:after="0"/>
        <w:rPr>
          <w:rFonts w:cs="Arial"/>
          <w:szCs w:val="22"/>
        </w:rPr>
      </w:pPr>
    </w:p>
    <w:p w:rsidR="009879E9" w:rsidRPr="000C7171" w:rsidRDefault="009879E9" w:rsidP="00AD1B99">
      <w:pPr>
        <w:spacing w:before="0" w:after="0"/>
        <w:rPr>
          <w:rFonts w:cs="Arial"/>
          <w:szCs w:val="22"/>
        </w:rPr>
      </w:pPr>
      <w:r w:rsidRPr="000C7171">
        <w:rPr>
          <w:rFonts w:cs="Arial"/>
          <w:szCs w:val="22"/>
        </w:rPr>
        <w:t>The UK delegation ha</w:t>
      </w:r>
      <w:r w:rsidR="0088271C" w:rsidRPr="000C7171">
        <w:rPr>
          <w:rFonts w:cs="Arial"/>
          <w:szCs w:val="22"/>
        </w:rPr>
        <w:t>s made a written pro-rata model</w:t>
      </w:r>
      <w:r w:rsidR="00F82BAE" w:rsidRPr="000C7171">
        <w:rPr>
          <w:rFonts w:cs="Arial"/>
          <w:szCs w:val="22"/>
        </w:rPr>
        <w:t xml:space="preserve"> proposal which was presented at</w:t>
      </w:r>
      <w:r w:rsidR="00BF3B80" w:rsidRPr="000C7171">
        <w:rPr>
          <w:rFonts w:cs="Arial"/>
          <w:szCs w:val="22"/>
        </w:rPr>
        <w:t xml:space="preserve"> the Troika meeting.</w:t>
      </w:r>
    </w:p>
    <w:p w:rsidR="0088271C" w:rsidRPr="000C7171" w:rsidRDefault="0088271C" w:rsidP="00AD1B99">
      <w:pPr>
        <w:spacing w:before="0" w:after="0"/>
        <w:rPr>
          <w:rFonts w:cs="Arial"/>
          <w:szCs w:val="22"/>
        </w:rPr>
      </w:pPr>
    </w:p>
    <w:p w:rsidR="009879E9" w:rsidRPr="000C7171" w:rsidRDefault="009879E9" w:rsidP="00F82BAE">
      <w:pPr>
        <w:spacing w:before="0"/>
        <w:rPr>
          <w:rFonts w:cs="Arial"/>
          <w:szCs w:val="22"/>
        </w:rPr>
      </w:pPr>
      <w:r w:rsidRPr="000C7171">
        <w:rPr>
          <w:rFonts w:cs="Arial"/>
          <w:szCs w:val="22"/>
        </w:rPr>
        <w:t>A</w:t>
      </w:r>
      <w:r w:rsidR="0088271C" w:rsidRPr="000C7171">
        <w:rPr>
          <w:rFonts w:cs="Arial"/>
          <w:szCs w:val="22"/>
        </w:rPr>
        <w:t xml:space="preserve">ccording to the budget figures </w:t>
      </w:r>
      <w:r w:rsidRPr="000C7171">
        <w:rPr>
          <w:rFonts w:cs="Arial"/>
          <w:szCs w:val="22"/>
        </w:rPr>
        <w:t xml:space="preserve">contained </w:t>
      </w:r>
      <w:r w:rsidR="0088271C" w:rsidRPr="000C7171">
        <w:rPr>
          <w:rFonts w:cs="Arial"/>
          <w:szCs w:val="22"/>
        </w:rPr>
        <w:t>in the</w:t>
      </w:r>
      <w:r w:rsidR="005B5186" w:rsidRPr="000C7171">
        <w:rPr>
          <w:rFonts w:cs="Arial"/>
          <w:szCs w:val="22"/>
        </w:rPr>
        <w:t xml:space="preserve"> 2012 </w:t>
      </w:r>
      <w:r w:rsidRPr="000C7171">
        <w:rPr>
          <w:rFonts w:cs="Arial"/>
          <w:szCs w:val="22"/>
        </w:rPr>
        <w:t xml:space="preserve">Annual Report </w:t>
      </w:r>
      <w:r w:rsidR="005B5186" w:rsidRPr="000C7171">
        <w:rPr>
          <w:rFonts w:cs="Arial"/>
          <w:szCs w:val="22"/>
        </w:rPr>
        <w:t xml:space="preserve">of the Secretary-General of the European Schools </w:t>
      </w:r>
      <w:r w:rsidRPr="000C7171">
        <w:rPr>
          <w:rFonts w:cs="Arial"/>
          <w:szCs w:val="22"/>
        </w:rPr>
        <w:t>(attached and highlighted for ease of reference), the total European Schools budget was €274 million.  In other words an average pupil cost in 2012 of €11,506. The report then breaks down the total as follows:</w:t>
      </w:r>
    </w:p>
    <w:p w:rsidR="009879E9" w:rsidRPr="000C7171" w:rsidRDefault="009879E9" w:rsidP="0088271C">
      <w:pPr>
        <w:spacing w:before="0"/>
        <w:rPr>
          <w:rFonts w:cs="Arial"/>
          <w:szCs w:val="22"/>
        </w:rPr>
      </w:pPr>
      <w:r w:rsidRPr="000C7171">
        <w:rPr>
          <w:rFonts w:cs="Arial"/>
          <w:szCs w:val="22"/>
        </w:rPr>
        <w:t>Member States’ contribution is 20%      </w:t>
      </w:r>
      <w:r w:rsidRPr="000C7171">
        <w:rPr>
          <w:rFonts w:cs="Arial"/>
          <w:szCs w:val="22"/>
        </w:rPr>
        <w:tab/>
      </w:r>
      <w:r w:rsidRPr="000C7171">
        <w:rPr>
          <w:rFonts w:cs="Arial"/>
          <w:szCs w:val="22"/>
        </w:rPr>
        <w:tab/>
        <w:t>€56 million</w:t>
      </w:r>
    </w:p>
    <w:p w:rsidR="009879E9" w:rsidRPr="000C7171" w:rsidRDefault="009879E9" w:rsidP="0088271C">
      <w:pPr>
        <w:spacing w:before="0"/>
        <w:rPr>
          <w:rFonts w:cs="Arial"/>
          <w:szCs w:val="22"/>
        </w:rPr>
      </w:pPr>
      <w:r w:rsidRPr="000C7171">
        <w:rPr>
          <w:rFonts w:cs="Arial"/>
          <w:szCs w:val="22"/>
        </w:rPr>
        <w:t xml:space="preserve">Commission’s contribution is 60%          </w:t>
      </w:r>
      <w:r w:rsidRPr="000C7171">
        <w:rPr>
          <w:rFonts w:cs="Arial"/>
          <w:szCs w:val="22"/>
        </w:rPr>
        <w:tab/>
      </w:r>
      <w:r w:rsidRPr="000C7171">
        <w:rPr>
          <w:rFonts w:cs="Arial"/>
          <w:szCs w:val="22"/>
        </w:rPr>
        <w:tab/>
        <w:t>€164 million</w:t>
      </w:r>
    </w:p>
    <w:p w:rsidR="009879E9" w:rsidRPr="000C7171" w:rsidRDefault="009879E9" w:rsidP="0088271C">
      <w:pPr>
        <w:spacing w:before="0"/>
        <w:rPr>
          <w:rFonts w:cs="Arial"/>
          <w:szCs w:val="22"/>
        </w:rPr>
      </w:pPr>
      <w:r w:rsidRPr="000C7171">
        <w:rPr>
          <w:rFonts w:cs="Arial"/>
          <w:szCs w:val="22"/>
        </w:rPr>
        <w:t xml:space="preserve">Other contributions (EPO, Fees) is 20% </w:t>
      </w:r>
      <w:r w:rsidRPr="000C7171">
        <w:rPr>
          <w:rFonts w:cs="Arial"/>
          <w:szCs w:val="22"/>
        </w:rPr>
        <w:tab/>
      </w:r>
      <w:r w:rsidRPr="000C7171">
        <w:rPr>
          <w:rFonts w:cs="Arial"/>
          <w:szCs w:val="22"/>
        </w:rPr>
        <w:tab/>
        <w:t>€54 million</w:t>
      </w:r>
    </w:p>
    <w:p w:rsidR="009879E9" w:rsidRPr="000C7171" w:rsidRDefault="009879E9" w:rsidP="00AD1B99">
      <w:pPr>
        <w:spacing w:before="0" w:after="0"/>
        <w:rPr>
          <w:rFonts w:cs="Arial"/>
          <w:szCs w:val="22"/>
        </w:rPr>
      </w:pPr>
      <w:r w:rsidRPr="000C7171">
        <w:rPr>
          <w:rFonts w:cs="Arial"/>
          <w:szCs w:val="22"/>
        </w:rPr>
        <w:t>Total =                            </w:t>
      </w:r>
      <w:r w:rsidR="0088271C" w:rsidRPr="000C7171">
        <w:rPr>
          <w:rFonts w:cs="Arial"/>
          <w:szCs w:val="22"/>
        </w:rPr>
        <w:t>                              </w:t>
      </w:r>
      <w:r w:rsidR="0088271C" w:rsidRPr="000C7171">
        <w:rPr>
          <w:rFonts w:cs="Arial"/>
          <w:szCs w:val="22"/>
        </w:rPr>
        <w:tab/>
      </w:r>
      <w:r w:rsidR="009F7928" w:rsidRPr="000C7171">
        <w:rPr>
          <w:rFonts w:cs="Arial"/>
          <w:szCs w:val="22"/>
        </w:rPr>
        <w:tab/>
      </w:r>
      <w:r w:rsidRPr="000C7171">
        <w:rPr>
          <w:rFonts w:cs="Arial"/>
          <w:szCs w:val="22"/>
        </w:rPr>
        <w:t>€274 million</w:t>
      </w:r>
    </w:p>
    <w:p w:rsidR="0088271C" w:rsidRPr="000C7171" w:rsidRDefault="0088271C" w:rsidP="00AD1B99">
      <w:pPr>
        <w:spacing w:before="0" w:after="0"/>
        <w:rPr>
          <w:rFonts w:cs="Arial"/>
          <w:szCs w:val="22"/>
        </w:rPr>
      </w:pPr>
    </w:p>
    <w:p w:rsidR="009879E9" w:rsidRPr="000C7171" w:rsidRDefault="009879E9" w:rsidP="00AD1B99">
      <w:pPr>
        <w:spacing w:before="0" w:after="0"/>
        <w:rPr>
          <w:rFonts w:cs="Arial"/>
          <w:szCs w:val="22"/>
        </w:rPr>
      </w:pPr>
      <w:r w:rsidRPr="000C7171">
        <w:rPr>
          <w:rFonts w:cs="Arial"/>
          <w:szCs w:val="22"/>
        </w:rPr>
        <w:t>Using these figures each Member State could pay an amount into a central fund based on the percentage of pupils they have in the system. For example</w:t>
      </w:r>
      <w:r w:rsidR="00D121D0">
        <w:rPr>
          <w:rFonts w:cs="Arial"/>
          <w:szCs w:val="22"/>
        </w:rPr>
        <w:t>,</w:t>
      </w:r>
      <w:r w:rsidRPr="000C7171">
        <w:rPr>
          <w:rFonts w:cs="Arial"/>
          <w:szCs w:val="22"/>
        </w:rPr>
        <w:t xml:space="preserve"> a Member State with a pupil percentage of 10% would pay 10% of the €56 million Member State contribution (i.e. €5.4</w:t>
      </w:r>
      <w:r w:rsidR="00F82BAE" w:rsidRPr="000C7171">
        <w:rPr>
          <w:rFonts w:cs="Arial"/>
          <w:szCs w:val="22"/>
        </w:rPr>
        <w:t xml:space="preserve"> </w:t>
      </w:r>
      <w:r w:rsidRPr="000C7171">
        <w:rPr>
          <w:rFonts w:cs="Arial"/>
          <w:szCs w:val="22"/>
        </w:rPr>
        <w:t>millio</w:t>
      </w:r>
      <w:r w:rsidR="0088271C" w:rsidRPr="000C7171">
        <w:rPr>
          <w:rFonts w:cs="Arial"/>
          <w:szCs w:val="22"/>
        </w:rPr>
        <w:t>n) and so on. According to the ‘Proportionality’</w:t>
      </w:r>
      <w:r w:rsidRPr="000C7171">
        <w:rPr>
          <w:rFonts w:cs="Arial"/>
          <w:szCs w:val="22"/>
        </w:rPr>
        <w:t xml:space="preserve"> table</w:t>
      </w:r>
      <w:r w:rsidR="0088271C" w:rsidRPr="000C7171">
        <w:rPr>
          <w:rFonts w:cs="Arial"/>
          <w:szCs w:val="22"/>
        </w:rPr>
        <w:t xml:space="preserve"> in the Annual Report,</w:t>
      </w:r>
      <w:r w:rsidR="00D121D0">
        <w:rPr>
          <w:rFonts w:cs="Arial"/>
          <w:szCs w:val="22"/>
        </w:rPr>
        <w:t xml:space="preserve"> the UK has 1760 pupils – 7</w:t>
      </w:r>
      <w:r w:rsidRPr="000C7171">
        <w:rPr>
          <w:rFonts w:cs="Arial"/>
          <w:szCs w:val="22"/>
        </w:rPr>
        <w:t>.66% of the total number. Therefore the UK would pay €4.3</w:t>
      </w:r>
      <w:r w:rsidR="00026407" w:rsidRPr="000C7171">
        <w:rPr>
          <w:rFonts w:cs="Arial"/>
          <w:szCs w:val="22"/>
        </w:rPr>
        <w:t xml:space="preserve"> </w:t>
      </w:r>
      <w:r w:rsidRPr="000C7171">
        <w:rPr>
          <w:rFonts w:cs="Arial"/>
          <w:szCs w:val="22"/>
        </w:rPr>
        <w:t>million (7.66% of €56</w:t>
      </w:r>
      <w:r w:rsidR="00F82BAE" w:rsidRPr="000C7171">
        <w:rPr>
          <w:rFonts w:cs="Arial"/>
          <w:szCs w:val="22"/>
        </w:rPr>
        <w:t xml:space="preserve"> </w:t>
      </w:r>
      <w:r w:rsidRPr="000C7171">
        <w:rPr>
          <w:rFonts w:cs="Arial"/>
          <w:szCs w:val="22"/>
        </w:rPr>
        <w:t>million).</w:t>
      </w:r>
    </w:p>
    <w:p w:rsidR="009879E9" w:rsidRPr="000C7171" w:rsidRDefault="009879E9" w:rsidP="00AD1B99">
      <w:pPr>
        <w:spacing w:before="0" w:after="0"/>
        <w:rPr>
          <w:rFonts w:cs="Arial"/>
          <w:szCs w:val="22"/>
        </w:rPr>
      </w:pPr>
    </w:p>
    <w:p w:rsidR="009879E9" w:rsidRDefault="009879E9" w:rsidP="00AD1B99">
      <w:pPr>
        <w:spacing w:before="0" w:after="0"/>
        <w:rPr>
          <w:rFonts w:cs="Arial"/>
          <w:szCs w:val="22"/>
        </w:rPr>
      </w:pPr>
      <w:r w:rsidRPr="000C7171">
        <w:rPr>
          <w:rFonts w:cs="Arial"/>
          <w:szCs w:val="22"/>
        </w:rPr>
        <w:t>After all Member States had contributed their share, the money received would then be use</w:t>
      </w:r>
      <w:r w:rsidR="0088271C" w:rsidRPr="000C7171">
        <w:rPr>
          <w:rFonts w:cs="Arial"/>
          <w:szCs w:val="22"/>
        </w:rPr>
        <w:t>d to reimburse Member States which second teachers to the s</w:t>
      </w:r>
      <w:r w:rsidRPr="000C7171">
        <w:rPr>
          <w:rFonts w:cs="Arial"/>
          <w:szCs w:val="22"/>
        </w:rPr>
        <w:t>chool system. This would mean that it would not cost a Member State any additional money irresp</w:t>
      </w:r>
      <w:r w:rsidR="005144B7">
        <w:rPr>
          <w:rFonts w:cs="Arial"/>
          <w:szCs w:val="22"/>
        </w:rPr>
        <w:t>ective of how many teachers it</w:t>
      </w:r>
      <w:r w:rsidRPr="000C7171">
        <w:rPr>
          <w:rFonts w:cs="Arial"/>
          <w:szCs w:val="22"/>
        </w:rPr>
        <w:t xml:space="preserve"> seconded. And, more importantly, every Me</w:t>
      </w:r>
      <w:r w:rsidR="005144B7">
        <w:rPr>
          <w:rFonts w:cs="Arial"/>
          <w:szCs w:val="22"/>
        </w:rPr>
        <w:t>mber State would be paying its</w:t>
      </w:r>
      <w:r w:rsidRPr="000C7171">
        <w:rPr>
          <w:rFonts w:cs="Arial"/>
          <w:szCs w:val="22"/>
        </w:rPr>
        <w:t xml:space="preserve"> fair share of the cost</w:t>
      </w:r>
      <w:r w:rsidR="00F82BAE" w:rsidRPr="000C7171">
        <w:rPr>
          <w:rFonts w:cs="Arial"/>
          <w:szCs w:val="22"/>
        </w:rPr>
        <w:t xml:space="preserve"> </w:t>
      </w:r>
      <w:r w:rsidR="003724BD" w:rsidRPr="000C7171">
        <w:rPr>
          <w:rFonts w:cs="Arial"/>
          <w:szCs w:val="22"/>
        </w:rPr>
        <w:t xml:space="preserve">of teaching </w:t>
      </w:r>
      <w:r w:rsidR="00BB5EA4" w:rsidRPr="000C7171">
        <w:rPr>
          <w:rFonts w:cs="Arial"/>
          <w:szCs w:val="22"/>
        </w:rPr>
        <w:t>(See A</w:t>
      </w:r>
      <w:r w:rsidR="00F82BAE" w:rsidRPr="000C7171">
        <w:rPr>
          <w:rFonts w:cs="Arial"/>
          <w:szCs w:val="22"/>
        </w:rPr>
        <w:t>nnex</w:t>
      </w:r>
      <w:r w:rsidR="00BB5EA4" w:rsidRPr="000C7171">
        <w:rPr>
          <w:rFonts w:cs="Arial"/>
          <w:szCs w:val="22"/>
        </w:rPr>
        <w:t xml:space="preserve"> IV)</w:t>
      </w:r>
      <w:r w:rsidRPr="000C7171">
        <w:rPr>
          <w:rFonts w:cs="Arial"/>
          <w:szCs w:val="22"/>
        </w:rPr>
        <w:t>.  </w:t>
      </w:r>
    </w:p>
    <w:p w:rsidR="00D121D0" w:rsidRDefault="00D121D0" w:rsidP="00AD1B99">
      <w:pPr>
        <w:spacing w:before="0" w:after="0"/>
        <w:rPr>
          <w:rFonts w:cs="Arial"/>
          <w:szCs w:val="22"/>
        </w:rPr>
      </w:pPr>
    </w:p>
    <w:p w:rsidR="00D121D0" w:rsidRPr="000C7171" w:rsidRDefault="00D121D0" w:rsidP="00AD1B99">
      <w:pPr>
        <w:spacing w:before="0" w:after="0"/>
        <w:rPr>
          <w:rFonts w:cs="Arial"/>
          <w:szCs w:val="22"/>
        </w:rPr>
      </w:pPr>
    </w:p>
    <w:p w:rsidR="009879E9" w:rsidRPr="000C7171" w:rsidRDefault="00A1474C" w:rsidP="00D121D0">
      <w:pPr>
        <w:spacing w:before="0" w:after="0"/>
        <w:ind w:left="357"/>
        <w:jc w:val="left"/>
        <w:rPr>
          <w:rFonts w:cs="Arial"/>
          <w:b/>
          <w:sz w:val="24"/>
          <w:szCs w:val="24"/>
        </w:rPr>
      </w:pPr>
      <w:r w:rsidRPr="000C7171">
        <w:rPr>
          <w:rFonts w:cs="Arial"/>
          <w:b/>
          <w:sz w:val="24"/>
          <w:szCs w:val="24"/>
        </w:rPr>
        <w:t xml:space="preserve">6.4.1. </w:t>
      </w:r>
      <w:r w:rsidR="0088271C" w:rsidRPr="000C7171">
        <w:rPr>
          <w:rFonts w:cs="Arial"/>
          <w:b/>
          <w:sz w:val="24"/>
          <w:szCs w:val="24"/>
        </w:rPr>
        <w:t xml:space="preserve">DISCUSSION ABOUT THE UK </w:t>
      </w:r>
      <w:r w:rsidR="009879E9" w:rsidRPr="000C7171">
        <w:rPr>
          <w:rFonts w:cs="Arial"/>
          <w:b/>
          <w:sz w:val="24"/>
          <w:szCs w:val="24"/>
        </w:rPr>
        <w:t>PROPOSAL</w:t>
      </w:r>
    </w:p>
    <w:p w:rsidR="009879E9" w:rsidRPr="000C7171" w:rsidRDefault="009879E9" w:rsidP="00AD1B99">
      <w:pPr>
        <w:spacing w:before="0" w:after="0"/>
        <w:rPr>
          <w:rFonts w:cs="Arial"/>
          <w:szCs w:val="22"/>
        </w:rPr>
      </w:pPr>
    </w:p>
    <w:p w:rsidR="009879E9" w:rsidRPr="000C7171" w:rsidRDefault="009879E9" w:rsidP="00AD1B99">
      <w:pPr>
        <w:spacing w:before="0" w:after="0"/>
        <w:rPr>
          <w:rFonts w:cs="Arial"/>
          <w:szCs w:val="22"/>
        </w:rPr>
      </w:pPr>
      <w:r w:rsidRPr="000C7171">
        <w:rPr>
          <w:rFonts w:cs="Arial"/>
          <w:szCs w:val="22"/>
        </w:rPr>
        <w:t xml:space="preserve">The UK proposal is </w:t>
      </w:r>
      <w:r w:rsidR="009C35B6" w:rsidRPr="000C7171">
        <w:rPr>
          <w:rFonts w:cs="Arial"/>
          <w:szCs w:val="22"/>
        </w:rPr>
        <w:t xml:space="preserve">very </w:t>
      </w:r>
      <w:r w:rsidRPr="000C7171">
        <w:rPr>
          <w:rFonts w:cs="Arial"/>
          <w:szCs w:val="22"/>
        </w:rPr>
        <w:t>clear</w:t>
      </w:r>
      <w:r w:rsidR="009C35B6" w:rsidRPr="000C7171">
        <w:rPr>
          <w:rFonts w:cs="Arial"/>
          <w:szCs w:val="22"/>
        </w:rPr>
        <w:t xml:space="preserve">. Unfortunately, </w:t>
      </w:r>
      <w:r w:rsidR="0088271C" w:rsidRPr="000C7171">
        <w:rPr>
          <w:rFonts w:cs="Arial"/>
          <w:szCs w:val="22"/>
        </w:rPr>
        <w:t>at</w:t>
      </w:r>
      <w:r w:rsidRPr="000C7171">
        <w:rPr>
          <w:rFonts w:cs="Arial"/>
          <w:szCs w:val="22"/>
        </w:rPr>
        <w:t xml:space="preserve"> the Troika meeting, two of the Member States, namely Lithuania and the future presidency</w:t>
      </w:r>
      <w:r w:rsidR="0088271C" w:rsidRPr="000C7171">
        <w:rPr>
          <w:rFonts w:cs="Arial"/>
          <w:szCs w:val="22"/>
        </w:rPr>
        <w:t>,</w:t>
      </w:r>
      <w:r w:rsidRPr="000C7171">
        <w:rPr>
          <w:rFonts w:cs="Arial"/>
          <w:szCs w:val="22"/>
        </w:rPr>
        <w:t xml:space="preserve"> Bulgaria</w:t>
      </w:r>
      <w:r w:rsidR="0088271C" w:rsidRPr="000C7171">
        <w:rPr>
          <w:rFonts w:cs="Arial"/>
          <w:szCs w:val="22"/>
        </w:rPr>
        <w:t xml:space="preserve">, expressed reservations about </w:t>
      </w:r>
      <w:r w:rsidRPr="000C7171">
        <w:rPr>
          <w:rFonts w:cs="Arial"/>
          <w:szCs w:val="22"/>
        </w:rPr>
        <w:t>direct funding based on the proportion of pupils and without taking in</w:t>
      </w:r>
      <w:r w:rsidR="0088271C" w:rsidRPr="000C7171">
        <w:rPr>
          <w:rFonts w:cs="Arial"/>
          <w:szCs w:val="22"/>
        </w:rPr>
        <w:t>to</w:t>
      </w:r>
      <w:r w:rsidRPr="000C7171">
        <w:rPr>
          <w:rFonts w:cs="Arial"/>
          <w:szCs w:val="22"/>
        </w:rPr>
        <w:t xml:space="preserve"> account national salary levels</w:t>
      </w:r>
      <w:r w:rsidR="009C35B6" w:rsidRPr="000C7171">
        <w:rPr>
          <w:rFonts w:cs="Arial"/>
          <w:szCs w:val="22"/>
        </w:rPr>
        <w:t xml:space="preserve">, </w:t>
      </w:r>
      <w:r w:rsidRPr="000C7171">
        <w:rPr>
          <w:rFonts w:cs="Arial"/>
          <w:szCs w:val="22"/>
        </w:rPr>
        <w:t xml:space="preserve">which </w:t>
      </w:r>
      <w:r w:rsidR="0088271C" w:rsidRPr="000C7171">
        <w:rPr>
          <w:rFonts w:cs="Arial"/>
          <w:szCs w:val="22"/>
        </w:rPr>
        <w:t>vary hugely, ranging between</w:t>
      </w:r>
      <w:r w:rsidR="00F82BAE" w:rsidRPr="000C7171">
        <w:rPr>
          <w:rFonts w:cs="Arial"/>
          <w:szCs w:val="22"/>
        </w:rPr>
        <w:t xml:space="preserve"> </w:t>
      </w:r>
      <w:r w:rsidR="0088271C" w:rsidRPr="000C7171">
        <w:rPr>
          <w:rFonts w:cs="Arial"/>
          <w:szCs w:val="22"/>
        </w:rPr>
        <w:t>€1,</w:t>
      </w:r>
      <w:r w:rsidRPr="000C7171">
        <w:rPr>
          <w:rFonts w:cs="Arial"/>
          <w:szCs w:val="22"/>
        </w:rPr>
        <w:t xml:space="preserve">394 </w:t>
      </w:r>
      <w:r w:rsidR="0088271C" w:rsidRPr="000C7171">
        <w:rPr>
          <w:rFonts w:cs="Arial"/>
          <w:szCs w:val="22"/>
        </w:rPr>
        <w:t>(BU) and</w:t>
      </w:r>
      <w:r w:rsidR="00F82BAE" w:rsidRPr="000C7171">
        <w:rPr>
          <w:rFonts w:cs="Arial"/>
          <w:szCs w:val="22"/>
        </w:rPr>
        <w:t xml:space="preserve"> </w:t>
      </w:r>
      <w:r w:rsidR="0088271C" w:rsidRPr="000C7171">
        <w:rPr>
          <w:rFonts w:cs="Arial"/>
          <w:szCs w:val="22"/>
        </w:rPr>
        <w:t>€84,</w:t>
      </w:r>
      <w:r w:rsidRPr="000C7171">
        <w:rPr>
          <w:rFonts w:cs="Arial"/>
          <w:szCs w:val="22"/>
        </w:rPr>
        <w:t xml:space="preserve">456 (LU). </w:t>
      </w:r>
    </w:p>
    <w:p w:rsidR="009879E9" w:rsidRPr="000C7171" w:rsidRDefault="009879E9" w:rsidP="00AD1B99">
      <w:pPr>
        <w:spacing w:before="0" w:after="0"/>
        <w:rPr>
          <w:rFonts w:cs="Arial"/>
          <w:szCs w:val="22"/>
        </w:rPr>
      </w:pPr>
    </w:p>
    <w:p w:rsidR="009879E9" w:rsidRPr="000C7171" w:rsidRDefault="0088271C" w:rsidP="00AD1B99">
      <w:pPr>
        <w:spacing w:before="0" w:after="0"/>
        <w:rPr>
          <w:rFonts w:cs="Arial"/>
          <w:szCs w:val="22"/>
        </w:rPr>
      </w:pPr>
      <w:r w:rsidRPr="000C7171">
        <w:rPr>
          <w:rFonts w:cs="Arial"/>
          <w:szCs w:val="22"/>
        </w:rPr>
        <w:t>The unanimous agreement on</w:t>
      </w:r>
      <w:r w:rsidR="009879E9" w:rsidRPr="000C7171">
        <w:rPr>
          <w:rFonts w:cs="Arial"/>
          <w:szCs w:val="22"/>
        </w:rPr>
        <w:t xml:space="preserve"> the non-binding structural balance would be seriously challenged by the UK </w:t>
      </w:r>
      <w:r w:rsidRPr="000C7171">
        <w:rPr>
          <w:rFonts w:cs="Arial"/>
          <w:szCs w:val="22"/>
        </w:rPr>
        <w:t>proposal</w:t>
      </w:r>
      <w:r w:rsidR="00FA034B" w:rsidRPr="000C7171">
        <w:rPr>
          <w:rFonts w:cs="Arial"/>
          <w:szCs w:val="22"/>
        </w:rPr>
        <w:t>.</w:t>
      </w:r>
      <w:r w:rsidR="00F82BAE" w:rsidRPr="000C7171">
        <w:rPr>
          <w:rFonts w:cs="Arial"/>
          <w:szCs w:val="22"/>
        </w:rPr>
        <w:t xml:space="preserve"> </w:t>
      </w:r>
      <w:r w:rsidR="00FA034B" w:rsidRPr="000C7171">
        <w:rPr>
          <w:rFonts w:cs="Arial"/>
          <w:szCs w:val="22"/>
        </w:rPr>
        <w:t xml:space="preserve">Without </w:t>
      </w:r>
      <w:r w:rsidR="00F82BAE" w:rsidRPr="000C7171">
        <w:rPr>
          <w:rFonts w:cs="Arial"/>
          <w:szCs w:val="22"/>
        </w:rPr>
        <w:t xml:space="preserve">the </w:t>
      </w:r>
      <w:r w:rsidR="00FA034B" w:rsidRPr="000C7171">
        <w:rPr>
          <w:rFonts w:cs="Arial"/>
          <w:szCs w:val="22"/>
        </w:rPr>
        <w:t>salary factor t</w:t>
      </w:r>
      <w:r w:rsidRPr="000C7171">
        <w:rPr>
          <w:rFonts w:cs="Arial"/>
          <w:szCs w:val="22"/>
        </w:rPr>
        <w:t xml:space="preserve">he </w:t>
      </w:r>
      <w:r w:rsidR="00FA034B" w:rsidRPr="000C7171">
        <w:rPr>
          <w:rFonts w:cs="Arial"/>
          <w:szCs w:val="22"/>
        </w:rPr>
        <w:t xml:space="preserve">model </w:t>
      </w:r>
      <w:r w:rsidRPr="000C7171">
        <w:rPr>
          <w:rFonts w:cs="Arial"/>
          <w:szCs w:val="22"/>
        </w:rPr>
        <w:t xml:space="preserve">would </w:t>
      </w:r>
      <w:r w:rsidR="009879E9" w:rsidRPr="000C7171">
        <w:rPr>
          <w:rFonts w:cs="Arial"/>
          <w:szCs w:val="22"/>
        </w:rPr>
        <w:t xml:space="preserve">create some </w:t>
      </w:r>
      <w:r w:rsidR="00FA034B" w:rsidRPr="000C7171">
        <w:rPr>
          <w:rFonts w:cs="Arial"/>
          <w:szCs w:val="22"/>
        </w:rPr>
        <w:t xml:space="preserve">unfair and </w:t>
      </w:r>
      <w:r w:rsidR="009879E9" w:rsidRPr="000C7171">
        <w:rPr>
          <w:rFonts w:cs="Arial"/>
          <w:szCs w:val="22"/>
        </w:rPr>
        <w:t xml:space="preserve">surprising outcomes as can be seen in </w:t>
      </w:r>
      <w:r w:rsidRPr="000C7171">
        <w:rPr>
          <w:rFonts w:cs="Arial"/>
          <w:szCs w:val="22"/>
        </w:rPr>
        <w:t>A</w:t>
      </w:r>
      <w:r w:rsidR="009879E9" w:rsidRPr="000C7171">
        <w:rPr>
          <w:rFonts w:cs="Arial"/>
          <w:szCs w:val="22"/>
        </w:rPr>
        <w:t xml:space="preserve">nnex </w:t>
      </w:r>
      <w:r w:rsidR="00FA034B" w:rsidRPr="000C7171">
        <w:rPr>
          <w:rFonts w:cs="Arial"/>
          <w:szCs w:val="22"/>
        </w:rPr>
        <w:t>IV</w:t>
      </w:r>
      <w:r w:rsidR="009C35B6" w:rsidRPr="000C7171">
        <w:rPr>
          <w:rFonts w:cs="Arial"/>
          <w:szCs w:val="22"/>
        </w:rPr>
        <w:t>,</w:t>
      </w:r>
      <w:r w:rsidR="009879E9" w:rsidRPr="000C7171">
        <w:rPr>
          <w:rFonts w:cs="Arial"/>
          <w:szCs w:val="22"/>
        </w:rPr>
        <w:t xml:space="preserve"> in which the Member States’ salary contribution</w:t>
      </w:r>
      <w:r w:rsidRPr="000C7171">
        <w:rPr>
          <w:rFonts w:cs="Arial"/>
          <w:szCs w:val="22"/>
        </w:rPr>
        <w:t>s for 2012 are shown</w:t>
      </w:r>
      <w:r w:rsidR="009879E9" w:rsidRPr="000C7171">
        <w:rPr>
          <w:rFonts w:cs="Arial"/>
          <w:szCs w:val="22"/>
        </w:rPr>
        <w:t xml:space="preserve">. </w:t>
      </w:r>
      <w:r w:rsidR="009C35B6" w:rsidRPr="000C7171">
        <w:rPr>
          <w:rFonts w:cs="Arial"/>
          <w:szCs w:val="22"/>
        </w:rPr>
        <w:t>It</w:t>
      </w:r>
      <w:r w:rsidR="009879E9" w:rsidRPr="000C7171">
        <w:rPr>
          <w:rFonts w:cs="Arial"/>
          <w:szCs w:val="22"/>
        </w:rPr>
        <w:t xml:space="preserve"> might be possible</w:t>
      </w:r>
      <w:r w:rsidRPr="000C7171">
        <w:rPr>
          <w:rFonts w:cs="Arial"/>
          <w:szCs w:val="22"/>
        </w:rPr>
        <w:t xml:space="preserve"> that</w:t>
      </w:r>
      <w:r w:rsidR="009879E9" w:rsidRPr="000C7171">
        <w:rPr>
          <w:rFonts w:cs="Arial"/>
          <w:szCs w:val="22"/>
        </w:rPr>
        <w:t xml:space="preserve"> because of relatively high national </w:t>
      </w:r>
      <w:r w:rsidRPr="000C7171">
        <w:rPr>
          <w:rFonts w:cs="Arial"/>
          <w:szCs w:val="22"/>
        </w:rPr>
        <w:t>salaries, a country sending fewer</w:t>
      </w:r>
      <w:r w:rsidR="009879E9" w:rsidRPr="000C7171">
        <w:rPr>
          <w:rFonts w:cs="Arial"/>
          <w:szCs w:val="22"/>
        </w:rPr>
        <w:t xml:space="preserve"> seconded teachers than th</w:t>
      </w:r>
      <w:r w:rsidR="00D121D0">
        <w:rPr>
          <w:rFonts w:cs="Arial"/>
          <w:szCs w:val="22"/>
        </w:rPr>
        <w:t>e official structural indicative</w:t>
      </w:r>
      <w:r w:rsidR="009879E9" w:rsidRPr="000C7171">
        <w:rPr>
          <w:rFonts w:cs="Arial"/>
          <w:szCs w:val="22"/>
        </w:rPr>
        <w:t xml:space="preserve"> table foresees</w:t>
      </w:r>
      <w:r w:rsidR="00F82BAE" w:rsidRPr="000C7171">
        <w:rPr>
          <w:rFonts w:cs="Arial"/>
          <w:szCs w:val="22"/>
        </w:rPr>
        <w:t xml:space="preserve"> </w:t>
      </w:r>
      <w:r w:rsidR="009879E9" w:rsidRPr="000C7171">
        <w:rPr>
          <w:rFonts w:cs="Arial"/>
          <w:szCs w:val="22"/>
        </w:rPr>
        <w:t>would have fulfilled its obligations and could request reimbursement of its overpayment (e.g. Denmark</w:t>
      </w:r>
      <w:r w:rsidR="00BB5EA4" w:rsidRPr="000C7171">
        <w:rPr>
          <w:rFonts w:cs="Arial"/>
          <w:szCs w:val="22"/>
        </w:rPr>
        <w:t>, see A</w:t>
      </w:r>
      <w:r w:rsidR="00FA034B" w:rsidRPr="000C7171">
        <w:rPr>
          <w:rFonts w:cs="Arial"/>
          <w:szCs w:val="22"/>
        </w:rPr>
        <w:t>nnex</w:t>
      </w:r>
      <w:r w:rsidR="00BB5EA4" w:rsidRPr="000C7171">
        <w:rPr>
          <w:rFonts w:cs="Arial"/>
          <w:szCs w:val="22"/>
        </w:rPr>
        <w:t xml:space="preserve"> IV</w:t>
      </w:r>
      <w:r w:rsidR="009879E9" w:rsidRPr="000C7171">
        <w:rPr>
          <w:rFonts w:cs="Arial"/>
          <w:szCs w:val="22"/>
        </w:rPr>
        <w:t xml:space="preserve">). </w:t>
      </w:r>
      <w:r w:rsidR="00F82BAE" w:rsidRPr="000C7171">
        <w:rPr>
          <w:rFonts w:cs="Arial"/>
          <w:szCs w:val="22"/>
        </w:rPr>
        <w:t xml:space="preserve">The model could be </w:t>
      </w:r>
      <w:r w:rsidR="00FA034B" w:rsidRPr="000C7171">
        <w:rPr>
          <w:rFonts w:cs="Arial"/>
          <w:szCs w:val="22"/>
        </w:rPr>
        <w:t>develo</w:t>
      </w:r>
      <w:r w:rsidR="00F82BAE" w:rsidRPr="000C7171">
        <w:rPr>
          <w:rFonts w:cs="Arial"/>
          <w:szCs w:val="22"/>
        </w:rPr>
        <w:t xml:space="preserve">ped further. </w:t>
      </w:r>
    </w:p>
    <w:p w:rsidR="009879E9" w:rsidRPr="000C7171" w:rsidRDefault="009879E9" w:rsidP="00AD1B99">
      <w:pPr>
        <w:spacing w:before="0" w:after="0"/>
        <w:rPr>
          <w:rFonts w:cs="Arial"/>
          <w:sz w:val="24"/>
          <w:szCs w:val="24"/>
        </w:rPr>
      </w:pPr>
    </w:p>
    <w:p w:rsidR="005B5186" w:rsidRPr="000C7171" w:rsidRDefault="005B5186" w:rsidP="00AD1B99">
      <w:pPr>
        <w:spacing w:before="0" w:after="0"/>
        <w:rPr>
          <w:rFonts w:cs="Arial"/>
          <w:sz w:val="24"/>
          <w:szCs w:val="24"/>
        </w:rPr>
      </w:pPr>
    </w:p>
    <w:p w:rsidR="009879E9" w:rsidRPr="000C7171" w:rsidRDefault="00A1474C" w:rsidP="005144B7">
      <w:pPr>
        <w:pStyle w:val="ListParagraph"/>
        <w:spacing w:before="0" w:after="0"/>
        <w:ind w:left="357"/>
        <w:rPr>
          <w:rFonts w:cs="Arial"/>
          <w:b/>
          <w:sz w:val="24"/>
          <w:szCs w:val="24"/>
        </w:rPr>
      </w:pPr>
      <w:r w:rsidRPr="000C7171">
        <w:rPr>
          <w:rFonts w:cs="Arial"/>
          <w:b/>
          <w:sz w:val="24"/>
          <w:szCs w:val="24"/>
        </w:rPr>
        <w:t>6.5</w:t>
      </w:r>
      <w:r w:rsidR="00C1303D" w:rsidRPr="000C7171">
        <w:rPr>
          <w:rFonts w:cs="Arial"/>
          <w:b/>
          <w:sz w:val="24"/>
          <w:szCs w:val="24"/>
        </w:rPr>
        <w:t xml:space="preserve">. </w:t>
      </w:r>
      <w:r w:rsidR="00487541" w:rsidRPr="000C7171">
        <w:rPr>
          <w:rFonts w:cs="Arial"/>
          <w:b/>
          <w:sz w:val="24"/>
          <w:szCs w:val="24"/>
        </w:rPr>
        <w:t>STRUCTURAL MODEL</w:t>
      </w:r>
    </w:p>
    <w:p w:rsidR="009879E9" w:rsidRPr="000C7171" w:rsidRDefault="009879E9" w:rsidP="00AD1B99">
      <w:pPr>
        <w:spacing w:before="0" w:after="0"/>
        <w:rPr>
          <w:rFonts w:cs="Arial"/>
          <w:szCs w:val="22"/>
        </w:rPr>
      </w:pPr>
    </w:p>
    <w:p w:rsidR="00BF3B80" w:rsidRPr="000C7171" w:rsidRDefault="00F82BAE" w:rsidP="00AD1B99">
      <w:pPr>
        <w:spacing w:before="0" w:after="0"/>
        <w:rPr>
          <w:rFonts w:cs="Arial"/>
          <w:szCs w:val="22"/>
        </w:rPr>
      </w:pPr>
      <w:r w:rsidRPr="000C7171">
        <w:rPr>
          <w:rFonts w:cs="Arial"/>
          <w:szCs w:val="22"/>
        </w:rPr>
        <w:t>It was proposed at the Troika meeting</w:t>
      </w:r>
      <w:r w:rsidR="00BF3B80" w:rsidRPr="000C7171">
        <w:rPr>
          <w:rFonts w:cs="Arial"/>
          <w:szCs w:val="22"/>
        </w:rPr>
        <w:t xml:space="preserve"> that an alternative model should be pr</w:t>
      </w:r>
      <w:r w:rsidR="00487541" w:rsidRPr="000C7171">
        <w:rPr>
          <w:rFonts w:cs="Arial"/>
          <w:szCs w:val="22"/>
        </w:rPr>
        <w:t>esented.</w:t>
      </w:r>
    </w:p>
    <w:p w:rsidR="002D7E9F" w:rsidRPr="000C7171" w:rsidRDefault="002D7E9F" w:rsidP="00AD1B99">
      <w:pPr>
        <w:spacing w:before="0" w:after="0"/>
        <w:rPr>
          <w:rFonts w:cs="Arial"/>
          <w:szCs w:val="22"/>
        </w:rPr>
      </w:pPr>
    </w:p>
    <w:p w:rsidR="002D7E9F" w:rsidRPr="000C7171" w:rsidRDefault="002D7E9F" w:rsidP="002D7E9F">
      <w:pPr>
        <w:spacing w:before="0" w:after="0"/>
        <w:rPr>
          <w:rFonts w:cs="Arial"/>
          <w:szCs w:val="22"/>
        </w:rPr>
      </w:pPr>
      <w:r w:rsidRPr="000C7171">
        <w:rPr>
          <w:rFonts w:cs="Arial"/>
          <w:szCs w:val="22"/>
        </w:rPr>
        <w:t xml:space="preserve">The enlargement of the European Union has increased the number of pupils without </w:t>
      </w:r>
      <w:r w:rsidR="00F82BAE" w:rsidRPr="000C7171">
        <w:rPr>
          <w:rFonts w:cs="Arial"/>
          <w:szCs w:val="22"/>
        </w:rPr>
        <w:t xml:space="preserve">a </w:t>
      </w:r>
      <w:r w:rsidRPr="000C7171">
        <w:rPr>
          <w:rFonts w:cs="Arial"/>
          <w:szCs w:val="22"/>
        </w:rPr>
        <w:t xml:space="preserve">language section (SWALS) in our schools. </w:t>
      </w:r>
      <w:r w:rsidR="00F82BAE" w:rsidRPr="000C7171">
        <w:rPr>
          <w:rFonts w:cs="Arial"/>
          <w:szCs w:val="22"/>
        </w:rPr>
        <w:t xml:space="preserve">The proportion </w:t>
      </w:r>
      <w:r w:rsidR="00863060" w:rsidRPr="000C7171">
        <w:rPr>
          <w:rFonts w:cs="Arial"/>
          <w:szCs w:val="22"/>
        </w:rPr>
        <w:t xml:space="preserve">of SWALS in 2012 </w:t>
      </w:r>
      <w:r w:rsidR="00EB2139" w:rsidRPr="000C7171">
        <w:rPr>
          <w:rFonts w:cs="Arial"/>
          <w:szCs w:val="22"/>
        </w:rPr>
        <w:t>was about 10</w:t>
      </w:r>
      <w:r w:rsidR="00863060" w:rsidRPr="000C7171">
        <w:rPr>
          <w:rFonts w:cs="Arial"/>
          <w:szCs w:val="22"/>
        </w:rPr>
        <w:t xml:space="preserve">% </w:t>
      </w:r>
      <w:r w:rsidR="00EB2139" w:rsidRPr="000C7171">
        <w:rPr>
          <w:rFonts w:cs="Arial"/>
          <w:szCs w:val="22"/>
        </w:rPr>
        <w:t xml:space="preserve">(2312 SWALS </w:t>
      </w:r>
      <w:r w:rsidR="00F82BAE" w:rsidRPr="000C7171">
        <w:rPr>
          <w:rFonts w:cs="Arial"/>
          <w:szCs w:val="22"/>
        </w:rPr>
        <w:t>out of 23,</w:t>
      </w:r>
      <w:r w:rsidR="00EB2139" w:rsidRPr="000C7171">
        <w:rPr>
          <w:rFonts w:cs="Arial"/>
          <w:szCs w:val="22"/>
        </w:rPr>
        <w:t xml:space="preserve">869) </w:t>
      </w:r>
      <w:r w:rsidR="00F82BAE" w:rsidRPr="000C7171">
        <w:rPr>
          <w:rFonts w:cs="Arial"/>
          <w:szCs w:val="22"/>
        </w:rPr>
        <w:t>of the</w:t>
      </w:r>
      <w:r w:rsidR="00863060" w:rsidRPr="000C7171">
        <w:rPr>
          <w:rFonts w:cs="Arial"/>
          <w:szCs w:val="22"/>
        </w:rPr>
        <w:t xml:space="preserve"> total number of pu</w:t>
      </w:r>
      <w:r w:rsidR="00EB2139" w:rsidRPr="000C7171">
        <w:rPr>
          <w:rFonts w:cs="Arial"/>
          <w:szCs w:val="22"/>
        </w:rPr>
        <w:t>pils</w:t>
      </w:r>
      <w:r w:rsidR="00F82BAE" w:rsidRPr="000C7171">
        <w:rPr>
          <w:rFonts w:cs="Arial"/>
          <w:szCs w:val="22"/>
        </w:rPr>
        <w:t>,</w:t>
      </w:r>
      <w:r w:rsidR="00EB2139" w:rsidRPr="000C7171">
        <w:rPr>
          <w:rFonts w:cs="Arial"/>
          <w:szCs w:val="22"/>
        </w:rPr>
        <w:t xml:space="preserve"> which corresponds </w:t>
      </w:r>
      <w:r w:rsidR="00F82BAE" w:rsidRPr="000C7171">
        <w:rPr>
          <w:rFonts w:cs="Arial"/>
          <w:szCs w:val="22"/>
        </w:rPr>
        <w:t>to about 10</w:t>
      </w:r>
      <w:r w:rsidR="00EB2139" w:rsidRPr="000C7171">
        <w:rPr>
          <w:rFonts w:cs="Arial"/>
          <w:szCs w:val="22"/>
        </w:rPr>
        <w:t>% of the seconded</w:t>
      </w:r>
      <w:r w:rsidR="00863060" w:rsidRPr="000C7171">
        <w:rPr>
          <w:rFonts w:cs="Arial"/>
          <w:szCs w:val="22"/>
        </w:rPr>
        <w:t xml:space="preserve"> teacher posts</w:t>
      </w:r>
      <w:r w:rsidR="00D121D0">
        <w:rPr>
          <w:rFonts w:cs="Arial"/>
          <w:szCs w:val="22"/>
        </w:rPr>
        <w:t>)</w:t>
      </w:r>
      <w:r w:rsidR="00863060" w:rsidRPr="000C7171">
        <w:rPr>
          <w:rFonts w:cs="Arial"/>
          <w:szCs w:val="22"/>
        </w:rPr>
        <w:t>.</w:t>
      </w:r>
      <w:r w:rsidR="00F82BAE" w:rsidRPr="000C7171">
        <w:rPr>
          <w:rFonts w:cs="Arial"/>
          <w:szCs w:val="22"/>
        </w:rPr>
        <w:t xml:space="preserve"> These pupils are generally</w:t>
      </w:r>
      <w:r w:rsidRPr="000C7171">
        <w:rPr>
          <w:rFonts w:cs="Arial"/>
          <w:szCs w:val="22"/>
        </w:rPr>
        <w:t xml:space="preserve"> in </w:t>
      </w:r>
      <w:r w:rsidR="00F82BAE" w:rsidRPr="000C7171">
        <w:rPr>
          <w:rFonts w:cs="Arial"/>
          <w:szCs w:val="22"/>
        </w:rPr>
        <w:t xml:space="preserve">the </w:t>
      </w:r>
      <w:r w:rsidRPr="000C7171">
        <w:rPr>
          <w:rFonts w:cs="Arial"/>
          <w:szCs w:val="22"/>
        </w:rPr>
        <w:t>English, French or German language section. This increases the need for Anglophone, Francophone and German</w:t>
      </w:r>
      <w:r w:rsidR="00F82BAE" w:rsidRPr="000C7171">
        <w:rPr>
          <w:rFonts w:cs="Arial"/>
          <w:szCs w:val="22"/>
        </w:rPr>
        <w:t>-speaking seconded teachers in tho</w:t>
      </w:r>
      <w:r w:rsidRPr="000C7171">
        <w:rPr>
          <w:rFonts w:cs="Arial"/>
          <w:szCs w:val="22"/>
        </w:rPr>
        <w:t xml:space="preserve">se language sections. </w:t>
      </w:r>
    </w:p>
    <w:p w:rsidR="002D7E9F" w:rsidRPr="000C7171" w:rsidRDefault="002D7E9F" w:rsidP="002D7E9F">
      <w:pPr>
        <w:spacing w:before="0" w:after="0"/>
        <w:rPr>
          <w:rFonts w:cs="Arial"/>
          <w:szCs w:val="22"/>
        </w:rPr>
      </w:pPr>
    </w:p>
    <w:p w:rsidR="002D7E9F" w:rsidRPr="000C7171" w:rsidRDefault="002D7E9F" w:rsidP="002D7E9F">
      <w:pPr>
        <w:spacing w:before="0" w:after="0"/>
        <w:rPr>
          <w:rFonts w:cs="Arial"/>
          <w:szCs w:val="22"/>
        </w:rPr>
      </w:pPr>
      <w:r w:rsidRPr="000C7171">
        <w:rPr>
          <w:rFonts w:cs="Arial"/>
          <w:szCs w:val="22"/>
        </w:rPr>
        <w:t>On the o</w:t>
      </w:r>
      <w:r w:rsidR="00F82BAE" w:rsidRPr="000C7171">
        <w:rPr>
          <w:rFonts w:cs="Arial"/>
          <w:szCs w:val="22"/>
        </w:rPr>
        <w:t>ther hand, the Member States which have few or no</w:t>
      </w:r>
      <w:r w:rsidRPr="000C7171">
        <w:rPr>
          <w:rFonts w:cs="Arial"/>
          <w:szCs w:val="22"/>
        </w:rPr>
        <w:t xml:space="preserve"> language sectio</w:t>
      </w:r>
      <w:r w:rsidR="00D121D0">
        <w:rPr>
          <w:rFonts w:cs="Arial"/>
          <w:szCs w:val="22"/>
        </w:rPr>
        <w:t>ns</w:t>
      </w:r>
      <w:r w:rsidR="00F82BAE" w:rsidRPr="000C7171">
        <w:rPr>
          <w:rFonts w:cs="Arial"/>
          <w:szCs w:val="22"/>
        </w:rPr>
        <w:t xml:space="preserve"> but large numbers of SWALS have difficulties in</w:t>
      </w:r>
      <w:r w:rsidRPr="000C7171">
        <w:rPr>
          <w:rFonts w:cs="Arial"/>
          <w:szCs w:val="22"/>
        </w:rPr>
        <w:t xml:space="preserve"> second</w:t>
      </w:r>
      <w:r w:rsidR="00F82BAE" w:rsidRPr="000C7171">
        <w:rPr>
          <w:rFonts w:cs="Arial"/>
          <w:szCs w:val="22"/>
        </w:rPr>
        <w:t>ing</w:t>
      </w:r>
      <w:r w:rsidRPr="000C7171">
        <w:rPr>
          <w:rFonts w:cs="Arial"/>
          <w:szCs w:val="22"/>
        </w:rPr>
        <w:t xml:space="preserve"> teachers at the level required by the agreed struct</w:t>
      </w:r>
      <w:r w:rsidR="001825B0" w:rsidRPr="000C7171">
        <w:rPr>
          <w:rFonts w:cs="Arial"/>
          <w:szCs w:val="22"/>
        </w:rPr>
        <w:t xml:space="preserve">ural indicative table. In fact, many </w:t>
      </w:r>
      <w:r w:rsidRPr="000C7171">
        <w:rPr>
          <w:rFonts w:cs="Arial"/>
          <w:szCs w:val="22"/>
        </w:rPr>
        <w:t>Membe</w:t>
      </w:r>
      <w:r w:rsidR="00F82BAE" w:rsidRPr="000C7171">
        <w:rPr>
          <w:rFonts w:cs="Arial"/>
          <w:szCs w:val="22"/>
        </w:rPr>
        <w:t>r States have filled all their ‘</w:t>
      </w:r>
      <w:r w:rsidRPr="000C7171">
        <w:rPr>
          <w:rFonts w:cs="Arial"/>
          <w:szCs w:val="22"/>
        </w:rPr>
        <w:t>language</w:t>
      </w:r>
      <w:r w:rsidR="00F82BAE" w:rsidRPr="000C7171">
        <w:rPr>
          <w:rFonts w:cs="Arial"/>
          <w:szCs w:val="22"/>
        </w:rPr>
        <w:t xml:space="preserve"> </w:t>
      </w:r>
      <w:r w:rsidR="00863060" w:rsidRPr="000C7171">
        <w:rPr>
          <w:rFonts w:cs="Arial"/>
          <w:szCs w:val="22"/>
        </w:rPr>
        <w:t>section</w:t>
      </w:r>
      <w:r w:rsidR="00F82BAE" w:rsidRPr="000C7171">
        <w:rPr>
          <w:rFonts w:cs="Arial"/>
          <w:szCs w:val="22"/>
        </w:rPr>
        <w:t>’</w:t>
      </w:r>
      <w:r w:rsidR="001E7CF4" w:rsidRPr="000C7171">
        <w:rPr>
          <w:rFonts w:cs="Arial"/>
          <w:szCs w:val="22"/>
        </w:rPr>
        <w:t xml:space="preserve"> posts and provided </w:t>
      </w:r>
      <w:r w:rsidRPr="000C7171">
        <w:rPr>
          <w:rFonts w:cs="Arial"/>
          <w:szCs w:val="22"/>
        </w:rPr>
        <w:t>some non-native</w:t>
      </w:r>
      <w:r w:rsidR="001E7CF4" w:rsidRPr="000C7171">
        <w:rPr>
          <w:rFonts w:cs="Arial"/>
          <w:szCs w:val="22"/>
        </w:rPr>
        <w:t xml:space="preserve"> speaker teachers, and yet </w:t>
      </w:r>
      <w:r w:rsidRPr="000C7171">
        <w:rPr>
          <w:rFonts w:cs="Arial"/>
          <w:szCs w:val="22"/>
        </w:rPr>
        <w:t>they do not reach the required level.</w:t>
      </w:r>
    </w:p>
    <w:p w:rsidR="002D7E9F" w:rsidRPr="000C7171" w:rsidRDefault="002D7E9F" w:rsidP="002D7E9F">
      <w:pPr>
        <w:spacing w:before="0" w:after="0"/>
        <w:rPr>
          <w:rFonts w:cs="Arial"/>
          <w:szCs w:val="22"/>
        </w:rPr>
      </w:pPr>
    </w:p>
    <w:p w:rsidR="002D7E9F" w:rsidRPr="000C7171" w:rsidRDefault="001E7CF4" w:rsidP="002D7E9F">
      <w:pPr>
        <w:spacing w:before="0" w:after="0"/>
        <w:rPr>
          <w:rFonts w:cs="Arial"/>
          <w:szCs w:val="22"/>
        </w:rPr>
      </w:pPr>
      <w:r w:rsidRPr="000C7171">
        <w:rPr>
          <w:rFonts w:cs="Arial"/>
          <w:szCs w:val="22"/>
        </w:rPr>
        <w:t>The structural model use</w:t>
      </w:r>
      <w:r w:rsidR="00D121D0">
        <w:rPr>
          <w:rFonts w:cs="Arial"/>
          <w:szCs w:val="22"/>
        </w:rPr>
        <w:t>s</w:t>
      </w:r>
      <w:r w:rsidRPr="000C7171">
        <w:rPr>
          <w:rFonts w:cs="Arial"/>
          <w:szCs w:val="22"/>
        </w:rPr>
        <w:t xml:space="preserve"> the possibility provided by Article 25.1 of the</w:t>
      </w:r>
      <w:r w:rsidR="002D7E9F" w:rsidRPr="000C7171">
        <w:rPr>
          <w:rFonts w:cs="Arial"/>
          <w:szCs w:val="22"/>
        </w:rPr>
        <w:t xml:space="preserve"> Co</w:t>
      </w:r>
      <w:r w:rsidRPr="000C7171">
        <w:rPr>
          <w:rFonts w:cs="Arial"/>
          <w:szCs w:val="22"/>
        </w:rPr>
        <w:t>nvention, which states:</w:t>
      </w:r>
      <w:r w:rsidR="002D7E9F" w:rsidRPr="000C7171">
        <w:rPr>
          <w:rFonts w:cs="Arial"/>
          <w:szCs w:val="22"/>
        </w:rPr>
        <w:t xml:space="preserve"> </w:t>
      </w:r>
      <w:r w:rsidR="002D7E9F" w:rsidRPr="00D121D0">
        <w:rPr>
          <w:rFonts w:cs="Arial"/>
          <w:i/>
          <w:szCs w:val="22"/>
        </w:rPr>
        <w:t>“The budget of the European Schools shall be financed by contributions from the Member States through the continuing payment of the remuneration for seconded or assigned teaching staff and, where appropriate, a financial contribution decided on by the Board of Governors acting unanimously”</w:t>
      </w:r>
    </w:p>
    <w:p w:rsidR="00BF3B80" w:rsidRPr="000C7171" w:rsidRDefault="00BF3B80" w:rsidP="00AD1B99">
      <w:pPr>
        <w:spacing w:before="0" w:after="0"/>
        <w:rPr>
          <w:rFonts w:cs="Arial"/>
          <w:szCs w:val="22"/>
        </w:rPr>
      </w:pPr>
    </w:p>
    <w:p w:rsidR="00BF3B80" w:rsidRPr="000C7171" w:rsidRDefault="00487541" w:rsidP="00AD1B99">
      <w:pPr>
        <w:spacing w:before="0" w:after="0"/>
        <w:rPr>
          <w:rFonts w:cs="Arial"/>
          <w:szCs w:val="22"/>
        </w:rPr>
      </w:pPr>
      <w:r w:rsidRPr="000C7171">
        <w:rPr>
          <w:rFonts w:cs="Arial"/>
          <w:szCs w:val="22"/>
        </w:rPr>
        <w:t>The structural</w:t>
      </w:r>
      <w:r w:rsidR="00BF3B80" w:rsidRPr="000C7171">
        <w:rPr>
          <w:rFonts w:cs="Arial"/>
          <w:szCs w:val="22"/>
        </w:rPr>
        <w:t xml:space="preserve"> model </w:t>
      </w:r>
      <w:r w:rsidRPr="000C7171">
        <w:rPr>
          <w:rFonts w:cs="Arial"/>
          <w:szCs w:val="22"/>
        </w:rPr>
        <w:t>(</w:t>
      </w:r>
      <w:r w:rsidR="00DC20C7" w:rsidRPr="000C7171">
        <w:rPr>
          <w:rFonts w:cs="Arial"/>
          <w:szCs w:val="22"/>
        </w:rPr>
        <w:t>s</w:t>
      </w:r>
      <w:r w:rsidR="001E7CF4" w:rsidRPr="000C7171">
        <w:rPr>
          <w:rFonts w:cs="Arial"/>
          <w:szCs w:val="22"/>
        </w:rPr>
        <w:t>ee Annex</w:t>
      </w:r>
      <w:r w:rsidRPr="000C7171">
        <w:rPr>
          <w:rFonts w:cs="Arial"/>
          <w:szCs w:val="22"/>
        </w:rPr>
        <w:t xml:space="preserve"> V) </w:t>
      </w:r>
      <w:r w:rsidR="00BF3B80" w:rsidRPr="000C7171">
        <w:rPr>
          <w:rFonts w:cs="Arial"/>
          <w:szCs w:val="22"/>
        </w:rPr>
        <w:t xml:space="preserve">is based </w:t>
      </w:r>
      <w:r w:rsidR="00863060" w:rsidRPr="000C7171">
        <w:rPr>
          <w:rFonts w:cs="Arial"/>
          <w:szCs w:val="22"/>
        </w:rPr>
        <w:t>on</w:t>
      </w:r>
      <w:r w:rsidR="001E7CF4" w:rsidRPr="000C7171">
        <w:rPr>
          <w:rFonts w:cs="Arial"/>
          <w:szCs w:val="22"/>
        </w:rPr>
        <w:t xml:space="preserve"> </w:t>
      </w:r>
      <w:r w:rsidR="00BF3B80" w:rsidRPr="000C7171">
        <w:rPr>
          <w:rFonts w:cs="Arial"/>
          <w:szCs w:val="22"/>
        </w:rPr>
        <w:t xml:space="preserve">the structural indicative table </w:t>
      </w:r>
      <w:r w:rsidR="00DC20C7" w:rsidRPr="000C7171">
        <w:rPr>
          <w:rFonts w:cs="Arial"/>
          <w:szCs w:val="22"/>
        </w:rPr>
        <w:t xml:space="preserve">of seconded staff members </w:t>
      </w:r>
      <w:r w:rsidR="00BF3B80" w:rsidRPr="000C7171">
        <w:rPr>
          <w:rFonts w:cs="Arial"/>
          <w:szCs w:val="22"/>
        </w:rPr>
        <w:t>approved by</w:t>
      </w:r>
      <w:r w:rsidR="002D7E9F" w:rsidRPr="000C7171">
        <w:rPr>
          <w:rFonts w:cs="Arial"/>
          <w:szCs w:val="22"/>
        </w:rPr>
        <w:t xml:space="preserve"> the Board of Governors in 2009</w:t>
      </w:r>
      <w:r w:rsidR="00863060" w:rsidRPr="000C7171">
        <w:rPr>
          <w:rFonts w:cs="Arial"/>
          <w:szCs w:val="22"/>
        </w:rPr>
        <w:t xml:space="preserve">. </w:t>
      </w:r>
      <w:r w:rsidR="00DC20C7" w:rsidRPr="000C7171">
        <w:rPr>
          <w:rFonts w:cs="Arial"/>
          <w:szCs w:val="22"/>
        </w:rPr>
        <w:t>T</w:t>
      </w:r>
      <w:r w:rsidR="002D7E9F" w:rsidRPr="000C7171">
        <w:rPr>
          <w:rFonts w:cs="Arial"/>
          <w:szCs w:val="22"/>
        </w:rPr>
        <w:t>he national average salary levels</w:t>
      </w:r>
      <w:r w:rsidR="00DC20C7" w:rsidRPr="000C7171">
        <w:rPr>
          <w:rFonts w:cs="Arial"/>
          <w:szCs w:val="22"/>
        </w:rPr>
        <w:t xml:space="preserve"> have been incorporated into the model (Annex V)</w:t>
      </w:r>
      <w:r w:rsidR="002D7E9F" w:rsidRPr="000C7171">
        <w:rPr>
          <w:rFonts w:cs="Arial"/>
          <w:szCs w:val="22"/>
        </w:rPr>
        <w:t>.</w:t>
      </w:r>
    </w:p>
    <w:p w:rsidR="00BF3B80" w:rsidRPr="000C7171" w:rsidRDefault="00BF3B80" w:rsidP="00AD1B99">
      <w:pPr>
        <w:spacing w:before="0" w:after="0"/>
        <w:rPr>
          <w:rFonts w:cs="Arial"/>
          <w:szCs w:val="22"/>
        </w:rPr>
      </w:pPr>
    </w:p>
    <w:p w:rsidR="006B3358" w:rsidRDefault="001E7CF4" w:rsidP="00AD1B99">
      <w:pPr>
        <w:spacing w:before="0" w:after="0"/>
        <w:rPr>
          <w:rFonts w:cs="Arial"/>
          <w:szCs w:val="22"/>
        </w:rPr>
      </w:pPr>
      <w:r w:rsidRPr="000C7171">
        <w:rPr>
          <w:rFonts w:cs="Arial"/>
          <w:szCs w:val="22"/>
        </w:rPr>
        <w:t>It is proposed</w:t>
      </w:r>
      <w:r w:rsidR="00BF3B80" w:rsidRPr="000C7171">
        <w:rPr>
          <w:rFonts w:cs="Arial"/>
          <w:szCs w:val="22"/>
        </w:rPr>
        <w:t xml:space="preserve"> that the Member states </w:t>
      </w:r>
      <w:r w:rsidR="0088271C" w:rsidRPr="000C7171">
        <w:rPr>
          <w:rFonts w:cs="Arial"/>
          <w:szCs w:val="22"/>
        </w:rPr>
        <w:t>could be requested to top up their</w:t>
      </w:r>
      <w:r w:rsidR="009879E9" w:rsidRPr="000C7171">
        <w:rPr>
          <w:rFonts w:cs="Arial"/>
          <w:szCs w:val="22"/>
        </w:rPr>
        <w:t xml:space="preserve"> seconded posts</w:t>
      </w:r>
      <w:r w:rsidR="0088271C" w:rsidRPr="000C7171">
        <w:rPr>
          <w:rFonts w:cs="Arial"/>
          <w:szCs w:val="22"/>
        </w:rPr>
        <w:t>’ shortfall in the form</w:t>
      </w:r>
      <w:r w:rsidR="009879E9" w:rsidRPr="000C7171">
        <w:rPr>
          <w:rFonts w:cs="Arial"/>
          <w:szCs w:val="22"/>
        </w:rPr>
        <w:t xml:space="preserve"> a financial contribution according to the nati</w:t>
      </w:r>
      <w:r w:rsidR="0088271C" w:rsidRPr="000C7171">
        <w:rPr>
          <w:rFonts w:cs="Arial"/>
          <w:szCs w:val="22"/>
        </w:rPr>
        <w:t>onal average salary</w:t>
      </w:r>
      <w:r w:rsidRPr="000C7171">
        <w:rPr>
          <w:rFonts w:cs="Arial"/>
          <w:szCs w:val="22"/>
        </w:rPr>
        <w:t xml:space="preserve"> le</w:t>
      </w:r>
      <w:r w:rsidR="00625976">
        <w:rPr>
          <w:rFonts w:cs="Arial"/>
          <w:szCs w:val="22"/>
        </w:rPr>
        <w:t xml:space="preserve">vel (see Annex </w:t>
      </w:r>
      <w:r w:rsidR="00DC20C7" w:rsidRPr="000C7171">
        <w:rPr>
          <w:rFonts w:cs="Arial"/>
          <w:szCs w:val="22"/>
        </w:rPr>
        <w:t>V</w:t>
      </w:r>
      <w:r w:rsidR="0088271C" w:rsidRPr="000C7171">
        <w:rPr>
          <w:rFonts w:cs="Arial"/>
          <w:szCs w:val="22"/>
        </w:rPr>
        <w:t>). Thus</w:t>
      </w:r>
      <w:r w:rsidR="009879E9" w:rsidRPr="000C7171">
        <w:rPr>
          <w:rFonts w:cs="Arial"/>
          <w:szCs w:val="22"/>
        </w:rPr>
        <w:t xml:space="preserve"> the</w:t>
      </w:r>
      <w:r w:rsidRPr="000C7171">
        <w:rPr>
          <w:rFonts w:cs="Arial"/>
          <w:szCs w:val="22"/>
        </w:rPr>
        <w:t xml:space="preserve"> </w:t>
      </w:r>
      <w:r w:rsidR="00DC20C7" w:rsidRPr="000C7171">
        <w:rPr>
          <w:rFonts w:cs="Arial"/>
          <w:szCs w:val="22"/>
        </w:rPr>
        <w:t xml:space="preserve">total </w:t>
      </w:r>
      <w:r w:rsidR="009879E9" w:rsidRPr="000C7171">
        <w:rPr>
          <w:rFonts w:cs="Arial"/>
          <w:szCs w:val="22"/>
        </w:rPr>
        <w:t xml:space="preserve">cost for a seconding country would be equivalent to the cost if they </w:t>
      </w:r>
      <w:r w:rsidR="0088271C" w:rsidRPr="000C7171">
        <w:rPr>
          <w:rFonts w:cs="Arial"/>
          <w:szCs w:val="22"/>
        </w:rPr>
        <w:t xml:space="preserve">filled </w:t>
      </w:r>
      <w:r w:rsidR="009879E9" w:rsidRPr="000C7171">
        <w:rPr>
          <w:rFonts w:cs="Arial"/>
          <w:szCs w:val="22"/>
        </w:rPr>
        <w:t>all their seconded posts</w:t>
      </w:r>
      <w:r w:rsidRPr="000C7171">
        <w:rPr>
          <w:rFonts w:cs="Arial"/>
          <w:szCs w:val="22"/>
        </w:rPr>
        <w:t xml:space="preserve"> based on </w:t>
      </w:r>
      <w:r w:rsidR="00625976">
        <w:rPr>
          <w:rFonts w:cs="Arial"/>
          <w:szCs w:val="22"/>
        </w:rPr>
        <w:t xml:space="preserve">their </w:t>
      </w:r>
      <w:r w:rsidRPr="000C7171">
        <w:rPr>
          <w:rFonts w:cs="Arial"/>
          <w:szCs w:val="22"/>
        </w:rPr>
        <w:t>proportion</w:t>
      </w:r>
      <w:r w:rsidR="00DC20C7" w:rsidRPr="000C7171">
        <w:rPr>
          <w:rFonts w:cs="Arial"/>
          <w:szCs w:val="22"/>
        </w:rPr>
        <w:t xml:space="preserve"> of pupils</w:t>
      </w:r>
      <w:r w:rsidR="009879E9" w:rsidRPr="000C7171">
        <w:rPr>
          <w:rFonts w:cs="Arial"/>
          <w:szCs w:val="22"/>
        </w:rPr>
        <w:t xml:space="preserve">. This model would create </w:t>
      </w:r>
      <w:r w:rsidR="0088271C" w:rsidRPr="000C7171">
        <w:rPr>
          <w:rFonts w:cs="Arial"/>
          <w:szCs w:val="22"/>
        </w:rPr>
        <w:t xml:space="preserve">a </w:t>
      </w:r>
      <w:r w:rsidR="009879E9" w:rsidRPr="000C7171">
        <w:rPr>
          <w:rFonts w:cs="Arial"/>
          <w:szCs w:val="22"/>
        </w:rPr>
        <w:t xml:space="preserve">credible basis for the financial contributions </w:t>
      </w:r>
      <w:r w:rsidR="0088271C" w:rsidRPr="000C7171">
        <w:rPr>
          <w:rFonts w:cs="Arial"/>
          <w:szCs w:val="22"/>
        </w:rPr>
        <w:t>of a</w:t>
      </w:r>
      <w:r w:rsidR="009879E9" w:rsidRPr="000C7171">
        <w:rPr>
          <w:rFonts w:cs="Arial"/>
          <w:szCs w:val="22"/>
        </w:rPr>
        <w:t xml:space="preserve">round </w:t>
      </w:r>
      <w:r w:rsidR="0088271C" w:rsidRPr="000C7171">
        <w:rPr>
          <w:rFonts w:cs="Arial"/>
          <w:szCs w:val="22"/>
        </w:rPr>
        <w:t>€</w:t>
      </w:r>
      <w:r w:rsidR="009879E9" w:rsidRPr="000C7171">
        <w:rPr>
          <w:rFonts w:cs="Arial"/>
          <w:szCs w:val="22"/>
        </w:rPr>
        <w:t>4 million per year. This rev</w:t>
      </w:r>
      <w:r w:rsidR="007B5B51" w:rsidRPr="000C7171">
        <w:rPr>
          <w:rFonts w:cs="Arial"/>
          <w:szCs w:val="22"/>
        </w:rPr>
        <w:t>enue would be used to offset the secondment costs for those Member States which</w:t>
      </w:r>
      <w:r w:rsidR="009879E9" w:rsidRPr="000C7171">
        <w:rPr>
          <w:rFonts w:cs="Arial"/>
          <w:szCs w:val="22"/>
        </w:rPr>
        <w:t xml:space="preserve"> second teachers over the</w:t>
      </w:r>
      <w:r w:rsidR="007B5B51" w:rsidRPr="000C7171">
        <w:rPr>
          <w:rFonts w:cs="Arial"/>
          <w:szCs w:val="22"/>
        </w:rPr>
        <w:t>ir</w:t>
      </w:r>
      <w:r w:rsidR="009879E9" w:rsidRPr="000C7171">
        <w:rPr>
          <w:rFonts w:cs="Arial"/>
          <w:szCs w:val="22"/>
        </w:rPr>
        <w:t xml:space="preserve"> quota</w:t>
      </w:r>
      <w:r w:rsidR="007B5B51" w:rsidRPr="000C7171">
        <w:rPr>
          <w:rFonts w:cs="Arial"/>
          <w:szCs w:val="22"/>
        </w:rPr>
        <w:t xml:space="preserve"> and which request a refund</w:t>
      </w:r>
      <w:r w:rsidR="002D7E9F" w:rsidRPr="000C7171">
        <w:rPr>
          <w:rFonts w:cs="Arial"/>
          <w:szCs w:val="22"/>
        </w:rPr>
        <w:t>.</w:t>
      </w:r>
    </w:p>
    <w:p w:rsidR="00625976" w:rsidRPr="000C7171" w:rsidRDefault="00625976" w:rsidP="00AD1B99">
      <w:pPr>
        <w:spacing w:before="0" w:after="0"/>
        <w:rPr>
          <w:rFonts w:cs="Arial"/>
          <w:szCs w:val="22"/>
        </w:rPr>
      </w:pPr>
    </w:p>
    <w:p w:rsidR="006B3358" w:rsidRPr="000C7171" w:rsidRDefault="002D7E9F" w:rsidP="006B3358">
      <w:pPr>
        <w:spacing w:before="0" w:after="0"/>
        <w:rPr>
          <w:rFonts w:cs="Arial"/>
          <w:szCs w:val="24"/>
        </w:rPr>
      </w:pPr>
      <w:r w:rsidRPr="000C7171">
        <w:rPr>
          <w:rFonts w:cs="Arial"/>
          <w:szCs w:val="24"/>
        </w:rPr>
        <w:t xml:space="preserve">This </w:t>
      </w:r>
      <w:r w:rsidR="00CA7DA8" w:rsidRPr="000C7171">
        <w:rPr>
          <w:rFonts w:cs="Arial"/>
          <w:szCs w:val="24"/>
        </w:rPr>
        <w:t xml:space="preserve">arrangement </w:t>
      </w:r>
      <w:r w:rsidRPr="000C7171">
        <w:rPr>
          <w:rFonts w:cs="Arial"/>
          <w:szCs w:val="24"/>
        </w:rPr>
        <w:t>would allow th</w:t>
      </w:r>
      <w:r w:rsidR="001E7CF4" w:rsidRPr="000C7171">
        <w:rPr>
          <w:rFonts w:cs="Arial"/>
          <w:szCs w:val="24"/>
        </w:rPr>
        <w:t>e Member States with few or no</w:t>
      </w:r>
      <w:r w:rsidRPr="000C7171">
        <w:rPr>
          <w:rFonts w:cs="Arial"/>
          <w:szCs w:val="24"/>
        </w:rPr>
        <w:t xml:space="preserve"> language sections to compensate</w:t>
      </w:r>
      <w:r w:rsidR="001E7CF4" w:rsidRPr="000C7171">
        <w:rPr>
          <w:rFonts w:cs="Arial"/>
          <w:szCs w:val="24"/>
        </w:rPr>
        <w:t xml:space="preserve"> the respective Member State</w:t>
      </w:r>
      <w:r w:rsidR="005144B7">
        <w:rPr>
          <w:rFonts w:cs="Arial"/>
          <w:szCs w:val="24"/>
        </w:rPr>
        <w:t>s</w:t>
      </w:r>
      <w:r w:rsidR="001E7CF4" w:rsidRPr="000C7171">
        <w:rPr>
          <w:rFonts w:cs="Arial"/>
          <w:szCs w:val="24"/>
        </w:rPr>
        <w:t xml:space="preserve"> for the cost of their SWALS.</w:t>
      </w:r>
    </w:p>
    <w:p w:rsidR="00CA7DA8" w:rsidRPr="000C7171" w:rsidRDefault="00CA7DA8" w:rsidP="006B3358">
      <w:pPr>
        <w:spacing w:before="0" w:after="0"/>
        <w:rPr>
          <w:rFonts w:cs="Arial"/>
          <w:szCs w:val="24"/>
        </w:rPr>
      </w:pPr>
    </w:p>
    <w:p w:rsidR="002D7E9F" w:rsidRPr="000C7171" w:rsidRDefault="002D7E9F" w:rsidP="006B3358">
      <w:pPr>
        <w:spacing w:before="0" w:after="0"/>
        <w:rPr>
          <w:rFonts w:cs="Arial"/>
          <w:sz w:val="24"/>
          <w:szCs w:val="24"/>
        </w:rPr>
      </w:pPr>
    </w:p>
    <w:p w:rsidR="006B3358" w:rsidRPr="000C7171" w:rsidRDefault="006B3358" w:rsidP="006B3358">
      <w:pPr>
        <w:pStyle w:val="ListParagraph"/>
        <w:spacing w:before="0" w:after="0"/>
        <w:rPr>
          <w:rFonts w:cs="Arial"/>
          <w:b/>
          <w:sz w:val="24"/>
          <w:szCs w:val="24"/>
        </w:rPr>
      </w:pPr>
      <w:r w:rsidRPr="000C7171">
        <w:rPr>
          <w:rFonts w:cs="Arial"/>
          <w:b/>
          <w:sz w:val="24"/>
          <w:szCs w:val="24"/>
        </w:rPr>
        <w:t>6.5.1</w:t>
      </w:r>
      <w:r w:rsidR="001E7CF4" w:rsidRPr="000C7171">
        <w:rPr>
          <w:rFonts w:cs="Arial"/>
          <w:b/>
          <w:sz w:val="24"/>
          <w:szCs w:val="24"/>
        </w:rPr>
        <w:t xml:space="preserve"> </w:t>
      </w:r>
      <w:r w:rsidRPr="000C7171">
        <w:rPr>
          <w:rFonts w:cs="Arial"/>
          <w:b/>
          <w:sz w:val="24"/>
          <w:szCs w:val="24"/>
        </w:rPr>
        <w:t>DISCUSSION ABOUT THE STRUCTURAL MODEL</w:t>
      </w:r>
    </w:p>
    <w:p w:rsidR="006B3358" w:rsidRPr="000C7171" w:rsidRDefault="006B3358" w:rsidP="00AD1B99">
      <w:pPr>
        <w:spacing w:before="0" w:after="0"/>
        <w:rPr>
          <w:rFonts w:cs="Arial"/>
          <w:szCs w:val="22"/>
        </w:rPr>
      </w:pPr>
    </w:p>
    <w:p w:rsidR="00155455" w:rsidRPr="000C7171" w:rsidRDefault="00155455" w:rsidP="00026407">
      <w:pPr>
        <w:spacing w:before="0" w:after="0"/>
        <w:rPr>
          <w:rFonts w:cs="Arial"/>
          <w:szCs w:val="22"/>
        </w:rPr>
      </w:pPr>
      <w:r w:rsidRPr="000C7171">
        <w:rPr>
          <w:rFonts w:cs="Arial"/>
          <w:szCs w:val="22"/>
        </w:rPr>
        <w:t xml:space="preserve">The Board of Governors agreed in Helsinki in 2008 that </w:t>
      </w:r>
      <w:r w:rsidRPr="00625976">
        <w:rPr>
          <w:rFonts w:cs="Arial"/>
          <w:i/>
          <w:szCs w:val="22"/>
        </w:rPr>
        <w:t>“Member States are free to exceed this indicative reference on a voluntary basis and second more staff.”</w:t>
      </w:r>
      <w:r w:rsidR="00625976">
        <w:rPr>
          <w:rFonts w:cs="Arial"/>
          <w:szCs w:val="22"/>
        </w:rPr>
        <w:t xml:space="preserve"> It is to</w:t>
      </w:r>
      <w:r w:rsidRPr="000C7171">
        <w:rPr>
          <w:rFonts w:cs="Arial"/>
          <w:szCs w:val="22"/>
        </w:rPr>
        <w:t xml:space="preserve"> be noted that several Member States</w:t>
      </w:r>
      <w:r w:rsidR="001E7CF4" w:rsidRPr="000C7171">
        <w:rPr>
          <w:rFonts w:cs="Arial"/>
          <w:szCs w:val="22"/>
        </w:rPr>
        <w:t xml:space="preserve"> are</w:t>
      </w:r>
      <w:r w:rsidRPr="000C7171">
        <w:rPr>
          <w:rFonts w:cs="Arial"/>
          <w:szCs w:val="22"/>
        </w:rPr>
        <w:t xml:space="preserve"> </w:t>
      </w:r>
      <w:r w:rsidR="001E7CF4" w:rsidRPr="000C7171">
        <w:rPr>
          <w:rFonts w:cs="Arial"/>
          <w:szCs w:val="22"/>
        </w:rPr>
        <w:t xml:space="preserve">currently </w:t>
      </w:r>
      <w:r w:rsidRPr="000C7171">
        <w:rPr>
          <w:rFonts w:cs="Arial"/>
          <w:szCs w:val="22"/>
        </w:rPr>
        <w:t xml:space="preserve">contributing </w:t>
      </w:r>
      <w:r w:rsidR="001E7CF4" w:rsidRPr="000C7171">
        <w:rPr>
          <w:rFonts w:cs="Arial"/>
          <w:szCs w:val="22"/>
        </w:rPr>
        <w:t xml:space="preserve">‘over quota’ </w:t>
      </w:r>
      <w:r w:rsidRPr="000C7171">
        <w:rPr>
          <w:rFonts w:cs="Arial"/>
          <w:szCs w:val="22"/>
        </w:rPr>
        <w:t xml:space="preserve">to </w:t>
      </w:r>
      <w:r w:rsidR="001E7CF4" w:rsidRPr="000C7171">
        <w:rPr>
          <w:rFonts w:cs="Arial"/>
          <w:szCs w:val="22"/>
        </w:rPr>
        <w:t>the European School system</w:t>
      </w:r>
      <w:r w:rsidRPr="000C7171">
        <w:rPr>
          <w:rFonts w:cs="Arial"/>
          <w:szCs w:val="22"/>
        </w:rPr>
        <w:t xml:space="preserve">, as agreed. </w:t>
      </w:r>
    </w:p>
    <w:p w:rsidR="00026407" w:rsidRPr="000C7171" w:rsidRDefault="00026407" w:rsidP="00026407">
      <w:pPr>
        <w:spacing w:before="0" w:after="0"/>
        <w:rPr>
          <w:rFonts w:cs="Arial"/>
          <w:szCs w:val="22"/>
        </w:rPr>
      </w:pPr>
    </w:p>
    <w:p w:rsidR="00155455" w:rsidRPr="00625976" w:rsidRDefault="00155455" w:rsidP="00026407">
      <w:pPr>
        <w:spacing w:before="0" w:after="0"/>
        <w:rPr>
          <w:rFonts w:cs="Arial"/>
          <w:i/>
          <w:szCs w:val="22"/>
        </w:rPr>
      </w:pPr>
      <w:r w:rsidRPr="000C7171">
        <w:rPr>
          <w:rFonts w:cs="Arial"/>
          <w:szCs w:val="22"/>
        </w:rPr>
        <w:t>According to the Education Council discussion in June 2013, “</w:t>
      </w:r>
      <w:r w:rsidRPr="00625976">
        <w:rPr>
          <w:rFonts w:cs="Arial"/>
          <w:i/>
          <w:szCs w:val="22"/>
        </w:rPr>
        <w:t>a number of Member States are of the view that there are serious underlying problems with the European School system’s current model, particularly with respect to cost-sharing. Statistics show that some countries are currently sending a disproportionate percentage of staff in proportion to the number of pupils of their nationality.”</w:t>
      </w:r>
    </w:p>
    <w:p w:rsidR="00026407" w:rsidRPr="000C7171" w:rsidRDefault="00026407" w:rsidP="00026407">
      <w:pPr>
        <w:spacing w:before="0" w:after="0"/>
        <w:rPr>
          <w:rFonts w:cs="Arial"/>
          <w:szCs w:val="22"/>
        </w:rPr>
      </w:pPr>
    </w:p>
    <w:p w:rsidR="00C4185D" w:rsidRPr="000C7171" w:rsidRDefault="002D7E9F" w:rsidP="00026407">
      <w:pPr>
        <w:spacing w:before="0" w:after="0"/>
        <w:rPr>
          <w:rFonts w:cs="Arial"/>
          <w:szCs w:val="22"/>
        </w:rPr>
      </w:pPr>
      <w:r w:rsidRPr="000C7171">
        <w:rPr>
          <w:rFonts w:cs="Arial"/>
          <w:szCs w:val="22"/>
        </w:rPr>
        <w:t xml:space="preserve">If the Board of </w:t>
      </w:r>
      <w:r w:rsidR="00155455" w:rsidRPr="000C7171">
        <w:rPr>
          <w:rFonts w:cs="Arial"/>
          <w:szCs w:val="22"/>
        </w:rPr>
        <w:t>Governors</w:t>
      </w:r>
      <w:r w:rsidR="001E7CF4" w:rsidRPr="000C7171">
        <w:rPr>
          <w:rFonts w:cs="Arial"/>
          <w:szCs w:val="22"/>
        </w:rPr>
        <w:t xml:space="preserve"> were to</w:t>
      </w:r>
      <w:r w:rsidRPr="000C7171">
        <w:rPr>
          <w:rFonts w:cs="Arial"/>
          <w:szCs w:val="22"/>
        </w:rPr>
        <w:t xml:space="preserve"> approve the structural model, it would be necessary to create a transparent</w:t>
      </w:r>
      <w:r w:rsidR="00155455" w:rsidRPr="000C7171">
        <w:rPr>
          <w:rFonts w:cs="Arial"/>
          <w:szCs w:val="22"/>
        </w:rPr>
        <w:t xml:space="preserve"> financial </w:t>
      </w:r>
      <w:r w:rsidRPr="000C7171">
        <w:rPr>
          <w:rFonts w:cs="Arial"/>
          <w:szCs w:val="22"/>
        </w:rPr>
        <w:t>mechanism to</w:t>
      </w:r>
      <w:r w:rsidR="001E7CF4" w:rsidRPr="000C7171">
        <w:rPr>
          <w:rFonts w:cs="Arial"/>
          <w:szCs w:val="22"/>
        </w:rPr>
        <w:t xml:space="preserve"> reallocate the €</w:t>
      </w:r>
      <w:r w:rsidRPr="000C7171">
        <w:rPr>
          <w:rFonts w:cs="Arial"/>
          <w:szCs w:val="22"/>
        </w:rPr>
        <w:t>4 million</w:t>
      </w:r>
      <w:r w:rsidR="001E7CF4" w:rsidRPr="000C7171">
        <w:rPr>
          <w:rFonts w:cs="Arial"/>
          <w:szCs w:val="22"/>
        </w:rPr>
        <w:t xml:space="preserve"> collected. This revenue</w:t>
      </w:r>
      <w:r w:rsidR="00036A15" w:rsidRPr="000C7171">
        <w:rPr>
          <w:rFonts w:cs="Arial"/>
          <w:szCs w:val="22"/>
        </w:rPr>
        <w:t xml:space="preserve"> </w:t>
      </w:r>
      <w:r w:rsidR="00155455" w:rsidRPr="000C7171">
        <w:rPr>
          <w:rFonts w:cs="Arial"/>
          <w:szCs w:val="22"/>
        </w:rPr>
        <w:t xml:space="preserve">would be shared between those Member States which second teachers over their quota and which </w:t>
      </w:r>
      <w:r w:rsidR="001E7CF4" w:rsidRPr="000C7171">
        <w:rPr>
          <w:rFonts w:cs="Arial"/>
          <w:szCs w:val="22"/>
        </w:rPr>
        <w:t xml:space="preserve">request a refund. The </w:t>
      </w:r>
      <w:r w:rsidR="00155455" w:rsidRPr="000C7171">
        <w:rPr>
          <w:rFonts w:cs="Arial"/>
          <w:szCs w:val="22"/>
        </w:rPr>
        <w:t xml:space="preserve">amount </w:t>
      </w:r>
      <w:r w:rsidR="001E7CF4" w:rsidRPr="000C7171">
        <w:rPr>
          <w:rFonts w:cs="Arial"/>
          <w:szCs w:val="22"/>
        </w:rPr>
        <w:t xml:space="preserve">collected </w:t>
      </w:r>
      <w:r w:rsidR="00155455" w:rsidRPr="000C7171">
        <w:rPr>
          <w:rFonts w:cs="Arial"/>
          <w:szCs w:val="22"/>
        </w:rPr>
        <w:t>would</w:t>
      </w:r>
      <w:r w:rsidR="001E7CF4" w:rsidRPr="000C7171">
        <w:rPr>
          <w:rFonts w:cs="Arial"/>
          <w:szCs w:val="22"/>
        </w:rPr>
        <w:t xml:space="preserve"> not cover the financial needs </w:t>
      </w:r>
      <w:r w:rsidR="00155455" w:rsidRPr="000C7171">
        <w:rPr>
          <w:rFonts w:cs="Arial"/>
          <w:szCs w:val="22"/>
        </w:rPr>
        <w:t>if all the countries</w:t>
      </w:r>
      <w:r w:rsidR="00036A15" w:rsidRPr="000C7171">
        <w:rPr>
          <w:rFonts w:cs="Arial"/>
          <w:szCs w:val="22"/>
        </w:rPr>
        <w:t xml:space="preserve"> exceeding the indicative reference table targets</w:t>
      </w:r>
      <w:r w:rsidR="001E7CF4" w:rsidRPr="000C7171">
        <w:rPr>
          <w:rFonts w:cs="Arial"/>
          <w:szCs w:val="22"/>
        </w:rPr>
        <w:t xml:space="preserve"> were to request a refund</w:t>
      </w:r>
      <w:r w:rsidR="00155455" w:rsidRPr="000C7171">
        <w:rPr>
          <w:rFonts w:cs="Arial"/>
          <w:szCs w:val="22"/>
        </w:rPr>
        <w:t>.</w:t>
      </w:r>
      <w:r w:rsidR="001E7CF4" w:rsidRPr="000C7171">
        <w:rPr>
          <w:rFonts w:cs="Arial"/>
          <w:szCs w:val="22"/>
        </w:rPr>
        <w:t xml:space="preserve"> So</w:t>
      </w:r>
      <w:r w:rsidR="00C4185D" w:rsidRPr="000C7171">
        <w:rPr>
          <w:rFonts w:cs="Arial"/>
          <w:szCs w:val="22"/>
        </w:rPr>
        <w:t xml:space="preserve"> the structural model would only partially </w:t>
      </w:r>
      <w:r w:rsidR="001E7CF4" w:rsidRPr="000C7171">
        <w:rPr>
          <w:rFonts w:cs="Arial"/>
          <w:szCs w:val="22"/>
        </w:rPr>
        <w:t>solve the structural funding</w:t>
      </w:r>
      <w:r w:rsidR="00C4185D" w:rsidRPr="000C7171">
        <w:rPr>
          <w:rFonts w:cs="Arial"/>
          <w:szCs w:val="22"/>
        </w:rPr>
        <w:t xml:space="preserve"> problem in the system.</w:t>
      </w:r>
    </w:p>
    <w:p w:rsidR="00155455" w:rsidRPr="000C7171" w:rsidRDefault="00155455" w:rsidP="00026407">
      <w:pPr>
        <w:spacing w:before="0" w:after="0"/>
        <w:rPr>
          <w:rFonts w:cs="Arial"/>
          <w:szCs w:val="22"/>
        </w:rPr>
      </w:pPr>
    </w:p>
    <w:p w:rsidR="00155455" w:rsidRPr="000C7171" w:rsidRDefault="00155455" w:rsidP="00026407">
      <w:pPr>
        <w:spacing w:before="0" w:after="0"/>
        <w:rPr>
          <w:rFonts w:cs="Arial"/>
          <w:szCs w:val="22"/>
        </w:rPr>
      </w:pPr>
    </w:p>
    <w:p w:rsidR="001D203B" w:rsidRPr="000C7171" w:rsidRDefault="001D203B" w:rsidP="001E7CF4">
      <w:pPr>
        <w:spacing w:before="0" w:after="200" w:line="276" w:lineRule="auto"/>
        <w:rPr>
          <w:rFonts w:cs="Arial"/>
          <w:szCs w:val="22"/>
        </w:rPr>
      </w:pPr>
      <w:r w:rsidRPr="000C7171">
        <w:rPr>
          <w:rFonts w:cs="Arial"/>
          <w:szCs w:val="22"/>
        </w:rPr>
        <w:br w:type="page"/>
      </w:r>
    </w:p>
    <w:p w:rsidR="002F0FF1" w:rsidRPr="000C7171" w:rsidRDefault="002F0FF1" w:rsidP="00AD1B99">
      <w:pPr>
        <w:spacing w:before="0" w:after="0"/>
        <w:ind w:left="360"/>
        <w:rPr>
          <w:rFonts w:cs="Arial"/>
          <w:b/>
          <w:sz w:val="24"/>
          <w:szCs w:val="24"/>
        </w:rPr>
      </w:pPr>
      <w:r w:rsidRPr="000C7171">
        <w:rPr>
          <w:rFonts w:cs="Arial"/>
          <w:b/>
          <w:sz w:val="24"/>
          <w:szCs w:val="24"/>
        </w:rPr>
        <w:t>7.</w:t>
      </w:r>
      <w:r w:rsidR="007B5B51" w:rsidRPr="000C7171">
        <w:rPr>
          <w:rFonts w:cs="Arial"/>
          <w:b/>
          <w:sz w:val="24"/>
          <w:szCs w:val="24"/>
        </w:rPr>
        <w:t xml:space="preserve"> FINDING SAVINGS</w:t>
      </w:r>
    </w:p>
    <w:p w:rsidR="002F0FF1" w:rsidRPr="000C7171" w:rsidRDefault="002F0FF1" w:rsidP="00AD1B99">
      <w:pPr>
        <w:spacing w:before="0" w:after="0"/>
        <w:rPr>
          <w:rFonts w:cs="Arial"/>
          <w:szCs w:val="22"/>
        </w:rPr>
      </w:pPr>
    </w:p>
    <w:p w:rsidR="002F0FF1" w:rsidRPr="000C7171" w:rsidRDefault="002F0FF1" w:rsidP="007B5B51">
      <w:pPr>
        <w:spacing w:before="0"/>
        <w:rPr>
          <w:rFonts w:cs="Arial"/>
          <w:szCs w:val="22"/>
        </w:rPr>
      </w:pPr>
      <w:r w:rsidRPr="000C7171">
        <w:rPr>
          <w:rFonts w:cs="Arial"/>
          <w:szCs w:val="22"/>
        </w:rPr>
        <w:t xml:space="preserve">The </w:t>
      </w:r>
      <w:r w:rsidR="007B5B51" w:rsidRPr="000C7171">
        <w:rPr>
          <w:rFonts w:cs="Arial"/>
          <w:szCs w:val="22"/>
        </w:rPr>
        <w:t>European School population continues to</w:t>
      </w:r>
      <w:r w:rsidRPr="000C7171">
        <w:rPr>
          <w:rFonts w:cs="Arial"/>
          <w:szCs w:val="22"/>
        </w:rPr>
        <w:t xml:space="preserve"> grow</w:t>
      </w:r>
      <w:r w:rsidR="007B5B51" w:rsidRPr="000C7171">
        <w:rPr>
          <w:rFonts w:cs="Arial"/>
          <w:szCs w:val="22"/>
        </w:rPr>
        <w:t xml:space="preserve"> steadily, at a rate of about 400-</w:t>
      </w:r>
      <w:r w:rsidR="00CF7A8E" w:rsidRPr="000C7171">
        <w:rPr>
          <w:rFonts w:cs="Arial"/>
          <w:szCs w:val="22"/>
        </w:rPr>
        <w:t xml:space="preserve">900 pupils per year. </w:t>
      </w:r>
    </w:p>
    <w:tbl>
      <w:tblPr>
        <w:tblW w:w="10335" w:type="dxa"/>
        <w:tblInd w:w="-162" w:type="dxa"/>
        <w:tblLook w:val="0600" w:firstRow="0" w:lastRow="0" w:firstColumn="0" w:lastColumn="0" w:noHBand="1" w:noVBand="1"/>
      </w:tblPr>
      <w:tblGrid>
        <w:gridCol w:w="1971"/>
        <w:gridCol w:w="2109"/>
        <w:gridCol w:w="1577"/>
        <w:gridCol w:w="1701"/>
        <w:gridCol w:w="1622"/>
        <w:gridCol w:w="1355"/>
      </w:tblGrid>
      <w:tr w:rsidR="00CC00AC" w:rsidRPr="000C7171" w:rsidTr="002F0FF1">
        <w:trPr>
          <w:trHeight w:val="720"/>
        </w:trPr>
        <w:tc>
          <w:tcPr>
            <w:tcW w:w="1971" w:type="dxa"/>
            <w:tcBorders>
              <w:top w:val="single" w:sz="8" w:space="0" w:color="000000"/>
              <w:left w:val="single" w:sz="8" w:space="0" w:color="000000"/>
              <w:bottom w:val="nil"/>
              <w:right w:val="single" w:sz="8" w:space="0" w:color="000000"/>
            </w:tcBorders>
            <w:shd w:val="clear" w:color="auto" w:fill="auto"/>
            <w:vAlign w:val="center"/>
            <w:hideMark/>
          </w:tcPr>
          <w:p w:rsidR="002F0FF1" w:rsidRPr="000C7171" w:rsidRDefault="002F0FF1" w:rsidP="00345B71">
            <w:pPr>
              <w:spacing w:before="0" w:after="0"/>
              <w:ind w:firstLineChars="200" w:firstLine="440"/>
              <w:rPr>
                <w:rFonts w:cs="Arial"/>
                <w:szCs w:val="22"/>
                <w:lang w:eastAsia="en-US"/>
              </w:rPr>
            </w:pPr>
            <w:r w:rsidRPr="000C7171">
              <w:rPr>
                <w:rFonts w:cs="Arial"/>
                <w:szCs w:val="22"/>
                <w:lang w:eastAsia="en-US"/>
              </w:rPr>
              <w:t> </w:t>
            </w:r>
          </w:p>
        </w:tc>
        <w:tc>
          <w:tcPr>
            <w:tcW w:w="2109" w:type="dxa"/>
            <w:tcBorders>
              <w:top w:val="single" w:sz="8" w:space="0" w:color="000000"/>
              <w:left w:val="nil"/>
              <w:bottom w:val="nil"/>
              <w:right w:val="single" w:sz="8" w:space="0" w:color="000000"/>
            </w:tcBorders>
            <w:shd w:val="clear" w:color="auto" w:fill="auto"/>
            <w:vAlign w:val="center"/>
            <w:hideMark/>
          </w:tcPr>
          <w:p w:rsidR="002F0FF1" w:rsidRPr="000C7171" w:rsidRDefault="007B5B51" w:rsidP="00AD1B99">
            <w:pPr>
              <w:spacing w:before="0" w:after="0"/>
              <w:rPr>
                <w:rFonts w:cs="Arial"/>
                <w:b/>
                <w:bCs/>
                <w:szCs w:val="22"/>
                <w:lang w:eastAsia="en-US"/>
              </w:rPr>
            </w:pPr>
            <w:r w:rsidRPr="000C7171">
              <w:rPr>
                <w:rFonts w:cs="Arial"/>
                <w:b/>
                <w:bCs/>
                <w:szCs w:val="22"/>
                <w:lang w:eastAsia="en-US"/>
              </w:rPr>
              <w:t>2011-</w:t>
            </w:r>
            <w:r w:rsidR="002F0FF1" w:rsidRPr="000C7171">
              <w:rPr>
                <w:rFonts w:cs="Arial"/>
                <w:b/>
                <w:bCs/>
                <w:szCs w:val="22"/>
                <w:lang w:eastAsia="en-US"/>
              </w:rPr>
              <w:t xml:space="preserve">2012 </w:t>
            </w:r>
          </w:p>
        </w:tc>
        <w:tc>
          <w:tcPr>
            <w:tcW w:w="1577" w:type="dxa"/>
            <w:tcBorders>
              <w:top w:val="single" w:sz="8" w:space="0" w:color="000000"/>
              <w:left w:val="nil"/>
              <w:bottom w:val="nil"/>
              <w:right w:val="single" w:sz="8" w:space="0" w:color="000000"/>
            </w:tcBorders>
            <w:shd w:val="clear" w:color="auto" w:fill="auto"/>
            <w:vAlign w:val="center"/>
            <w:hideMark/>
          </w:tcPr>
          <w:p w:rsidR="002F0FF1" w:rsidRPr="000C7171" w:rsidRDefault="007B5B51" w:rsidP="00AD1B99">
            <w:pPr>
              <w:spacing w:before="0" w:after="0"/>
              <w:rPr>
                <w:rFonts w:cs="Arial"/>
                <w:b/>
                <w:bCs/>
                <w:szCs w:val="22"/>
                <w:lang w:eastAsia="en-US"/>
              </w:rPr>
            </w:pPr>
            <w:r w:rsidRPr="000C7171">
              <w:rPr>
                <w:rFonts w:cs="Arial"/>
                <w:b/>
                <w:bCs/>
                <w:szCs w:val="22"/>
                <w:lang w:eastAsia="en-US"/>
              </w:rPr>
              <w:t>2012-</w:t>
            </w:r>
            <w:r w:rsidR="002F0FF1" w:rsidRPr="000C7171">
              <w:rPr>
                <w:rFonts w:cs="Arial"/>
                <w:b/>
                <w:bCs/>
                <w:szCs w:val="22"/>
                <w:lang w:eastAsia="en-US"/>
              </w:rPr>
              <w:t>2013</w:t>
            </w:r>
          </w:p>
        </w:tc>
        <w:tc>
          <w:tcPr>
            <w:tcW w:w="1701" w:type="dxa"/>
            <w:tcBorders>
              <w:top w:val="single" w:sz="8" w:space="0" w:color="000000"/>
              <w:left w:val="nil"/>
              <w:bottom w:val="nil"/>
              <w:right w:val="single" w:sz="8" w:space="0" w:color="000000"/>
            </w:tcBorders>
            <w:shd w:val="clear" w:color="auto" w:fill="auto"/>
            <w:vAlign w:val="center"/>
            <w:hideMark/>
          </w:tcPr>
          <w:p w:rsidR="002F0FF1" w:rsidRPr="000C7171" w:rsidRDefault="007B5B51" w:rsidP="00AD1B99">
            <w:pPr>
              <w:spacing w:before="0" w:after="0"/>
              <w:rPr>
                <w:rFonts w:cs="Arial"/>
                <w:b/>
                <w:bCs/>
                <w:szCs w:val="22"/>
                <w:lang w:eastAsia="en-US"/>
              </w:rPr>
            </w:pPr>
            <w:r w:rsidRPr="000C7171">
              <w:rPr>
                <w:rFonts w:cs="Arial"/>
                <w:b/>
                <w:bCs/>
                <w:szCs w:val="22"/>
                <w:lang w:eastAsia="en-US"/>
              </w:rPr>
              <w:t>2013-</w:t>
            </w:r>
            <w:r w:rsidR="002F0FF1" w:rsidRPr="000C7171">
              <w:rPr>
                <w:rFonts w:cs="Arial"/>
                <w:b/>
                <w:bCs/>
                <w:szCs w:val="22"/>
                <w:lang w:eastAsia="en-US"/>
              </w:rPr>
              <w:t>2014</w:t>
            </w:r>
          </w:p>
        </w:tc>
        <w:tc>
          <w:tcPr>
            <w:tcW w:w="1622" w:type="dxa"/>
            <w:tcBorders>
              <w:top w:val="single" w:sz="8" w:space="0" w:color="000000"/>
              <w:left w:val="nil"/>
              <w:bottom w:val="nil"/>
              <w:right w:val="single" w:sz="8" w:space="0" w:color="000000"/>
            </w:tcBorders>
            <w:shd w:val="clear" w:color="auto" w:fill="auto"/>
            <w:vAlign w:val="center"/>
            <w:hideMark/>
          </w:tcPr>
          <w:p w:rsidR="00CA7DA8" w:rsidRPr="000C7171" w:rsidRDefault="00CA7DA8" w:rsidP="00AD1B99">
            <w:pPr>
              <w:spacing w:before="0" w:after="0"/>
              <w:rPr>
                <w:rFonts w:cs="Arial"/>
                <w:b/>
                <w:bCs/>
                <w:szCs w:val="22"/>
                <w:lang w:eastAsia="en-US"/>
              </w:rPr>
            </w:pPr>
          </w:p>
          <w:p w:rsidR="002F0FF1" w:rsidRPr="000C7171" w:rsidRDefault="002F0FF1" w:rsidP="00AD1B99">
            <w:pPr>
              <w:spacing w:before="0" w:after="0"/>
              <w:rPr>
                <w:rFonts w:cs="Arial"/>
                <w:b/>
                <w:bCs/>
                <w:szCs w:val="22"/>
                <w:lang w:eastAsia="en-US"/>
              </w:rPr>
            </w:pPr>
            <w:r w:rsidRPr="000C7171">
              <w:rPr>
                <w:rFonts w:cs="Arial"/>
                <w:b/>
                <w:bCs/>
                <w:szCs w:val="22"/>
                <w:lang w:eastAsia="en-US"/>
              </w:rPr>
              <w:t xml:space="preserve">Difference 2012-2013    </w:t>
            </w:r>
          </w:p>
        </w:tc>
        <w:tc>
          <w:tcPr>
            <w:tcW w:w="1355" w:type="dxa"/>
            <w:tcBorders>
              <w:top w:val="single" w:sz="8" w:space="0" w:color="000000"/>
              <w:left w:val="single" w:sz="8" w:space="0" w:color="000000"/>
              <w:bottom w:val="nil"/>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w:t>
            </w:r>
          </w:p>
        </w:tc>
      </w:tr>
      <w:tr w:rsidR="00CC00AC" w:rsidRPr="000C7171" w:rsidTr="002F0FF1">
        <w:trPr>
          <w:trHeight w:val="375"/>
        </w:trPr>
        <w:tc>
          <w:tcPr>
            <w:tcW w:w="1971" w:type="dxa"/>
            <w:tcBorders>
              <w:top w:val="nil"/>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345B71">
            <w:pPr>
              <w:spacing w:before="0" w:after="0"/>
              <w:ind w:firstLineChars="200" w:firstLine="440"/>
              <w:rPr>
                <w:rFonts w:cs="Arial"/>
                <w:szCs w:val="22"/>
                <w:lang w:eastAsia="en-US"/>
              </w:rPr>
            </w:pPr>
            <w:r w:rsidRPr="000C7171">
              <w:rPr>
                <w:rFonts w:cs="Arial"/>
                <w:szCs w:val="22"/>
                <w:lang w:eastAsia="en-US"/>
              </w:rPr>
              <w:t> </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(Sept 2011)</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7B5B51">
            <w:pPr>
              <w:spacing w:before="0" w:after="0"/>
              <w:rPr>
                <w:rFonts w:cs="Arial"/>
                <w:b/>
                <w:bCs/>
                <w:szCs w:val="22"/>
                <w:lang w:eastAsia="en-US"/>
              </w:rPr>
            </w:pPr>
            <w:r w:rsidRPr="000C7171">
              <w:rPr>
                <w:rFonts w:cs="Arial"/>
                <w:b/>
                <w:bCs/>
                <w:szCs w:val="22"/>
                <w:lang w:eastAsia="en-US"/>
              </w:rPr>
              <w:t>(Sept</w:t>
            </w:r>
            <w:r w:rsidR="007B5B51" w:rsidRPr="000C7171">
              <w:rPr>
                <w:rFonts w:cs="Arial"/>
                <w:b/>
                <w:bCs/>
                <w:szCs w:val="22"/>
                <w:lang w:eastAsia="en-US"/>
              </w:rPr>
              <w:t xml:space="preserve"> 2</w:t>
            </w:r>
            <w:r w:rsidRPr="000C7171">
              <w:rPr>
                <w:rFonts w:cs="Arial"/>
                <w:b/>
                <w:bCs/>
                <w:szCs w:val="22"/>
                <w:lang w:eastAsia="en-US"/>
              </w:rPr>
              <w:t>012)</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(Sept 2013)</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 </w:t>
            </w:r>
          </w:p>
        </w:tc>
        <w:tc>
          <w:tcPr>
            <w:tcW w:w="1355" w:type="dxa"/>
            <w:tcBorders>
              <w:top w:val="nil"/>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 </w:t>
            </w:r>
          </w:p>
        </w:tc>
      </w:tr>
      <w:tr w:rsidR="00CC00AC" w:rsidRPr="000C7171" w:rsidTr="002F0FF1">
        <w:trPr>
          <w:trHeight w:val="375"/>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345B71">
            <w:pPr>
              <w:spacing w:before="0" w:after="0"/>
              <w:ind w:firstLineChars="200" w:firstLine="440"/>
              <w:jc w:val="left"/>
              <w:rPr>
                <w:rFonts w:cs="Arial"/>
                <w:szCs w:val="22"/>
                <w:lang w:eastAsia="en-US"/>
              </w:rPr>
            </w:pPr>
            <w:r w:rsidRPr="000C7171">
              <w:rPr>
                <w:rFonts w:cs="Arial"/>
                <w:szCs w:val="22"/>
                <w:lang w:eastAsia="en-US"/>
              </w:rPr>
              <w:t>Cat</w:t>
            </w:r>
            <w:r w:rsidR="007B5B51" w:rsidRPr="000C7171">
              <w:rPr>
                <w:rFonts w:cs="Arial"/>
                <w:szCs w:val="22"/>
                <w:lang w:eastAsia="en-US"/>
              </w:rPr>
              <w:t>. I</w:t>
            </w:r>
            <w:r w:rsidRPr="000C7171">
              <w:rPr>
                <w:rFonts w:cs="Arial"/>
                <w:szCs w:val="22"/>
                <w:lang w:eastAsia="en-US"/>
              </w:rPr>
              <w:t xml:space="preserve"> institutions</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14987</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15967</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16411</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444</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2</w:t>
            </w:r>
            <w:r w:rsidR="007B5B51" w:rsidRPr="000C7171">
              <w:rPr>
                <w:rFonts w:cs="Arial"/>
                <w:szCs w:val="22"/>
                <w:lang w:eastAsia="en-US"/>
              </w:rPr>
              <w:t>.</w:t>
            </w:r>
            <w:r w:rsidRPr="000C7171">
              <w:rPr>
                <w:rFonts w:cs="Arial"/>
                <w:szCs w:val="22"/>
                <w:lang w:eastAsia="en-US"/>
              </w:rPr>
              <w:t>78%</w:t>
            </w:r>
          </w:p>
        </w:tc>
      </w:tr>
      <w:tr w:rsidR="00CC00AC" w:rsidRPr="000C7171" w:rsidTr="002F0FF1">
        <w:trPr>
          <w:trHeight w:val="375"/>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7B5B51" w:rsidP="00345B71">
            <w:pPr>
              <w:spacing w:before="0" w:after="0"/>
              <w:ind w:firstLineChars="200" w:firstLine="440"/>
              <w:rPr>
                <w:rFonts w:cs="Arial"/>
                <w:szCs w:val="22"/>
                <w:lang w:eastAsia="en-US"/>
              </w:rPr>
            </w:pPr>
            <w:r w:rsidRPr="000C7171">
              <w:rPr>
                <w:rFonts w:cs="Arial"/>
                <w:szCs w:val="22"/>
                <w:lang w:eastAsia="en-US"/>
              </w:rPr>
              <w:t xml:space="preserve">% </w:t>
            </w:r>
            <w:r w:rsidR="002F0FF1" w:rsidRPr="000C7171">
              <w:rPr>
                <w:rFonts w:cs="Arial"/>
                <w:szCs w:val="22"/>
                <w:lang w:eastAsia="en-US"/>
              </w:rPr>
              <w:t>share</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64</w:t>
            </w:r>
            <w:r w:rsidR="007B5B51" w:rsidRPr="000C7171">
              <w:rPr>
                <w:rFonts w:cs="Arial"/>
                <w:szCs w:val="22"/>
                <w:lang w:eastAsia="en-US"/>
              </w:rPr>
              <w:t>.</w:t>
            </w:r>
            <w:r w:rsidRPr="000C7171">
              <w:rPr>
                <w:rFonts w:cs="Arial"/>
                <w:szCs w:val="22"/>
                <w:lang w:eastAsia="en-US"/>
              </w:rPr>
              <w:t>10%</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65</w:t>
            </w:r>
            <w:r w:rsidR="007B5B51" w:rsidRPr="000C7171">
              <w:rPr>
                <w:rFonts w:cs="Arial"/>
                <w:szCs w:val="22"/>
                <w:lang w:eastAsia="en-US"/>
              </w:rPr>
              <w:t>.</w:t>
            </w:r>
            <w:r w:rsidRPr="000C7171">
              <w:rPr>
                <w:rFonts w:cs="Arial"/>
                <w:szCs w:val="22"/>
                <w:lang w:eastAsia="en-US"/>
              </w:rPr>
              <w:t>80%</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66</w:t>
            </w:r>
            <w:r w:rsidR="007B5B51" w:rsidRPr="000C7171">
              <w:rPr>
                <w:rFonts w:cs="Arial"/>
                <w:szCs w:val="22"/>
                <w:lang w:eastAsia="en-US"/>
              </w:rPr>
              <w:t>.</w:t>
            </w:r>
            <w:r w:rsidRPr="000C7171">
              <w:rPr>
                <w:rFonts w:cs="Arial"/>
                <w:szCs w:val="22"/>
                <w:lang w:eastAsia="en-US"/>
              </w:rPr>
              <w:t>40%</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0</w:t>
            </w:r>
            <w:r w:rsidR="007B5B51" w:rsidRPr="000C7171">
              <w:rPr>
                <w:rFonts w:cs="Arial"/>
                <w:szCs w:val="22"/>
                <w:lang w:eastAsia="en-US"/>
              </w:rPr>
              <w:t>.</w:t>
            </w:r>
            <w:r w:rsidRPr="000C7171">
              <w:rPr>
                <w:rFonts w:cs="Arial"/>
                <w:szCs w:val="22"/>
                <w:lang w:eastAsia="en-US"/>
              </w:rPr>
              <w:t>70%</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 </w:t>
            </w:r>
          </w:p>
        </w:tc>
      </w:tr>
      <w:tr w:rsidR="00CC00AC" w:rsidRPr="000C7171" w:rsidTr="002F0FF1">
        <w:trPr>
          <w:trHeight w:val="735"/>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345B71">
            <w:pPr>
              <w:spacing w:before="0" w:after="0"/>
              <w:ind w:firstLineChars="200" w:firstLine="440"/>
              <w:jc w:val="left"/>
              <w:rPr>
                <w:rFonts w:cs="Arial"/>
                <w:szCs w:val="22"/>
                <w:lang w:eastAsia="en-US"/>
              </w:rPr>
            </w:pPr>
            <w:r w:rsidRPr="000C7171">
              <w:rPr>
                <w:rFonts w:cs="Arial"/>
                <w:szCs w:val="22"/>
                <w:lang w:eastAsia="en-US"/>
              </w:rPr>
              <w:t>Cat</w:t>
            </w:r>
            <w:r w:rsidR="007B5B51" w:rsidRPr="000C7171">
              <w:rPr>
                <w:rFonts w:cs="Arial"/>
                <w:szCs w:val="22"/>
                <w:lang w:eastAsia="en-US"/>
              </w:rPr>
              <w:t xml:space="preserve">.  I </w:t>
            </w:r>
            <w:r w:rsidRPr="000C7171">
              <w:rPr>
                <w:rFonts w:cs="Arial"/>
                <w:szCs w:val="22"/>
                <w:lang w:eastAsia="en-US"/>
              </w:rPr>
              <w:t>Schools/OEB</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2414</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2531</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2626</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95</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3</w:t>
            </w:r>
            <w:r w:rsidR="007B5B51" w:rsidRPr="000C7171">
              <w:rPr>
                <w:rFonts w:cs="Arial"/>
                <w:szCs w:val="22"/>
                <w:lang w:eastAsia="en-US"/>
              </w:rPr>
              <w:t>.</w:t>
            </w:r>
            <w:r w:rsidRPr="000C7171">
              <w:rPr>
                <w:rFonts w:cs="Arial"/>
                <w:szCs w:val="22"/>
                <w:lang w:eastAsia="en-US"/>
              </w:rPr>
              <w:t>75%</w:t>
            </w:r>
          </w:p>
        </w:tc>
      </w:tr>
      <w:tr w:rsidR="00CC00AC" w:rsidRPr="000C7171" w:rsidTr="002F0FF1">
        <w:trPr>
          <w:trHeight w:val="375"/>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7B5B51" w:rsidP="00345B71">
            <w:pPr>
              <w:spacing w:before="0" w:after="0"/>
              <w:ind w:firstLineChars="200" w:firstLine="440"/>
              <w:rPr>
                <w:rFonts w:cs="Arial"/>
                <w:szCs w:val="22"/>
                <w:lang w:eastAsia="en-US"/>
              </w:rPr>
            </w:pPr>
            <w:r w:rsidRPr="000C7171">
              <w:rPr>
                <w:rFonts w:cs="Arial"/>
                <w:szCs w:val="22"/>
                <w:lang w:eastAsia="en-US"/>
              </w:rPr>
              <w:t>Cat. I</w:t>
            </w:r>
            <w:r w:rsidR="002F0FF1" w:rsidRPr="000C7171">
              <w:rPr>
                <w:rFonts w:cs="Arial"/>
                <w:szCs w:val="22"/>
                <w:lang w:eastAsia="en-US"/>
              </w:rPr>
              <w:t xml:space="preserve"> total</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17401</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18498</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19037</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539</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2</w:t>
            </w:r>
            <w:r w:rsidR="007B5B51" w:rsidRPr="000C7171">
              <w:rPr>
                <w:rFonts w:cs="Arial"/>
                <w:szCs w:val="22"/>
                <w:lang w:eastAsia="en-US"/>
              </w:rPr>
              <w:t>.</w:t>
            </w:r>
            <w:r w:rsidRPr="000C7171">
              <w:rPr>
                <w:rFonts w:cs="Arial"/>
                <w:szCs w:val="22"/>
                <w:lang w:eastAsia="en-US"/>
              </w:rPr>
              <w:t>91%</w:t>
            </w:r>
          </w:p>
        </w:tc>
      </w:tr>
      <w:tr w:rsidR="00CC00AC" w:rsidRPr="000C7171" w:rsidTr="002F0FF1">
        <w:trPr>
          <w:trHeight w:val="375"/>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345B71">
            <w:pPr>
              <w:spacing w:before="0" w:after="0"/>
              <w:ind w:firstLineChars="200" w:firstLine="440"/>
              <w:rPr>
                <w:rFonts w:cs="Arial"/>
                <w:szCs w:val="22"/>
                <w:lang w:eastAsia="en-US"/>
              </w:rPr>
            </w:pPr>
            <w:r w:rsidRPr="000C7171">
              <w:rPr>
                <w:rFonts w:cs="Arial"/>
                <w:szCs w:val="22"/>
                <w:lang w:eastAsia="en-US"/>
              </w:rPr>
              <w:t>Cat</w:t>
            </w:r>
            <w:r w:rsidR="007B5B51" w:rsidRPr="000C7171">
              <w:rPr>
                <w:rFonts w:cs="Arial"/>
                <w:szCs w:val="22"/>
                <w:lang w:eastAsia="en-US"/>
              </w:rPr>
              <w:t>. II</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1152</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1190</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1148</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-42</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-3</w:t>
            </w:r>
            <w:r w:rsidR="007B5B51" w:rsidRPr="000C7171">
              <w:rPr>
                <w:rFonts w:cs="Arial"/>
                <w:szCs w:val="22"/>
                <w:lang w:eastAsia="en-US"/>
              </w:rPr>
              <w:t>.</w:t>
            </w:r>
            <w:r w:rsidRPr="000C7171">
              <w:rPr>
                <w:rFonts w:cs="Arial"/>
                <w:szCs w:val="22"/>
                <w:lang w:eastAsia="en-US"/>
              </w:rPr>
              <w:t>53%</w:t>
            </w:r>
          </w:p>
        </w:tc>
      </w:tr>
      <w:tr w:rsidR="00CC00AC" w:rsidRPr="000C7171" w:rsidTr="002F0FF1">
        <w:trPr>
          <w:trHeight w:val="375"/>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7B5B51" w:rsidP="00345B71">
            <w:pPr>
              <w:spacing w:before="0" w:after="0"/>
              <w:ind w:firstLineChars="200" w:firstLine="440"/>
              <w:rPr>
                <w:rFonts w:cs="Arial"/>
                <w:szCs w:val="22"/>
                <w:lang w:eastAsia="en-US"/>
              </w:rPr>
            </w:pPr>
            <w:r w:rsidRPr="000C7171">
              <w:rPr>
                <w:rFonts w:cs="Arial"/>
                <w:szCs w:val="22"/>
                <w:lang w:eastAsia="en-US"/>
              </w:rPr>
              <w:t>Cat. III</w:t>
            </w:r>
          </w:p>
        </w:tc>
        <w:tc>
          <w:tcPr>
            <w:tcW w:w="2109"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4817</w:t>
            </w:r>
          </w:p>
        </w:tc>
        <w:tc>
          <w:tcPr>
            <w:tcW w:w="1577"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4592</w:t>
            </w:r>
          </w:p>
        </w:tc>
        <w:tc>
          <w:tcPr>
            <w:tcW w:w="1701"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4517</w:t>
            </w:r>
          </w:p>
        </w:tc>
        <w:tc>
          <w:tcPr>
            <w:tcW w:w="1622" w:type="dxa"/>
            <w:tcBorders>
              <w:top w:val="nil"/>
              <w:left w:val="nil"/>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-75</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szCs w:val="22"/>
                <w:lang w:eastAsia="en-US"/>
              </w:rPr>
            </w:pPr>
            <w:r w:rsidRPr="000C7171">
              <w:rPr>
                <w:rFonts w:cs="Arial"/>
                <w:szCs w:val="22"/>
                <w:lang w:eastAsia="en-US"/>
              </w:rPr>
              <w:t>-1</w:t>
            </w:r>
            <w:r w:rsidR="007B5B51" w:rsidRPr="000C7171">
              <w:rPr>
                <w:rFonts w:cs="Arial"/>
                <w:szCs w:val="22"/>
                <w:lang w:eastAsia="en-US"/>
              </w:rPr>
              <w:t>.</w:t>
            </w:r>
            <w:r w:rsidRPr="000C7171">
              <w:rPr>
                <w:rFonts w:cs="Arial"/>
                <w:szCs w:val="22"/>
                <w:lang w:eastAsia="en-US"/>
              </w:rPr>
              <w:t>63%</w:t>
            </w:r>
          </w:p>
        </w:tc>
      </w:tr>
      <w:tr w:rsidR="00CC00AC" w:rsidRPr="000C7171" w:rsidTr="002F0FF1">
        <w:trPr>
          <w:trHeight w:val="360"/>
        </w:trPr>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6B4FAD">
            <w:pPr>
              <w:spacing w:before="0" w:after="0"/>
              <w:ind w:firstLineChars="200" w:firstLine="442"/>
              <w:rPr>
                <w:rFonts w:cs="Arial"/>
                <w:b/>
                <w:bCs/>
                <w:szCs w:val="22"/>
                <w:lang w:eastAsia="en-US"/>
              </w:rPr>
            </w:pPr>
            <w:r w:rsidRPr="000C7171">
              <w:rPr>
                <w:rFonts w:cs="Arial"/>
                <w:b/>
                <w:bCs/>
                <w:szCs w:val="22"/>
                <w:lang w:eastAsia="en-US"/>
              </w:rPr>
              <w:t>Total</w:t>
            </w:r>
          </w:p>
        </w:tc>
        <w:tc>
          <w:tcPr>
            <w:tcW w:w="2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23370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24280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24702</w:t>
            </w:r>
          </w:p>
        </w:tc>
        <w:tc>
          <w:tcPr>
            <w:tcW w:w="162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422</w:t>
            </w:r>
          </w:p>
        </w:tc>
        <w:tc>
          <w:tcPr>
            <w:tcW w:w="13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FF1" w:rsidRPr="000C7171" w:rsidRDefault="002F0FF1" w:rsidP="00AD1B99">
            <w:pPr>
              <w:spacing w:before="0" w:after="0"/>
              <w:rPr>
                <w:rFonts w:cs="Arial"/>
                <w:b/>
                <w:bCs/>
                <w:szCs w:val="22"/>
                <w:lang w:eastAsia="en-US"/>
              </w:rPr>
            </w:pPr>
            <w:r w:rsidRPr="000C7171">
              <w:rPr>
                <w:rFonts w:cs="Arial"/>
                <w:b/>
                <w:bCs/>
                <w:szCs w:val="22"/>
                <w:lang w:eastAsia="en-US"/>
              </w:rPr>
              <w:t>1</w:t>
            </w:r>
            <w:r w:rsidR="007B5B51" w:rsidRPr="000C7171">
              <w:rPr>
                <w:rFonts w:cs="Arial"/>
                <w:b/>
                <w:bCs/>
                <w:szCs w:val="22"/>
                <w:lang w:eastAsia="en-US"/>
              </w:rPr>
              <w:t>.</w:t>
            </w:r>
            <w:r w:rsidRPr="000C7171">
              <w:rPr>
                <w:rFonts w:cs="Arial"/>
                <w:b/>
                <w:bCs/>
                <w:szCs w:val="22"/>
                <w:lang w:eastAsia="en-US"/>
              </w:rPr>
              <w:t>74%</w:t>
            </w:r>
          </w:p>
        </w:tc>
      </w:tr>
    </w:tbl>
    <w:p w:rsidR="002F0FF1" w:rsidRPr="000C7171" w:rsidRDefault="002F0FF1" w:rsidP="00AD1B99">
      <w:pPr>
        <w:spacing w:before="0" w:after="0"/>
        <w:rPr>
          <w:rFonts w:cs="Arial"/>
          <w:szCs w:val="22"/>
        </w:rPr>
      </w:pPr>
    </w:p>
    <w:p w:rsidR="002F0FF1" w:rsidRPr="000C7171" w:rsidRDefault="00CF7A8E" w:rsidP="00AD1B99">
      <w:pPr>
        <w:spacing w:before="0" w:after="0"/>
        <w:rPr>
          <w:rFonts w:cs="Arial"/>
          <w:szCs w:val="22"/>
        </w:rPr>
      </w:pPr>
      <w:r w:rsidRPr="000C7171">
        <w:rPr>
          <w:rFonts w:cs="Arial"/>
          <w:szCs w:val="22"/>
        </w:rPr>
        <w:t>In order to</w:t>
      </w:r>
      <w:r w:rsidR="00010D3B" w:rsidRPr="000C7171">
        <w:rPr>
          <w:rFonts w:cs="Arial"/>
          <w:szCs w:val="22"/>
        </w:rPr>
        <w:t xml:space="preserve"> balance the fina</w:t>
      </w:r>
      <w:r w:rsidR="007B5B51" w:rsidRPr="000C7171">
        <w:rPr>
          <w:rFonts w:cs="Arial"/>
          <w:szCs w:val="22"/>
        </w:rPr>
        <w:t>ncial impact of the increase in</w:t>
      </w:r>
      <w:r w:rsidR="00010D3B" w:rsidRPr="000C7171">
        <w:rPr>
          <w:rFonts w:cs="Arial"/>
          <w:szCs w:val="22"/>
        </w:rPr>
        <w:t xml:space="preserve"> the population and to</w:t>
      </w:r>
      <w:r w:rsidR="005B5186" w:rsidRPr="000C7171">
        <w:rPr>
          <w:rFonts w:cs="Arial"/>
          <w:szCs w:val="22"/>
        </w:rPr>
        <w:t xml:space="preserve"> avoid an</w:t>
      </w:r>
      <w:r w:rsidR="007B5B51" w:rsidRPr="000C7171">
        <w:rPr>
          <w:rFonts w:cs="Arial"/>
          <w:szCs w:val="22"/>
        </w:rPr>
        <w:t xml:space="preserve"> increase</w:t>
      </w:r>
      <w:r w:rsidR="00D65760" w:rsidRPr="000C7171">
        <w:rPr>
          <w:rFonts w:cs="Arial"/>
          <w:szCs w:val="22"/>
        </w:rPr>
        <w:t xml:space="preserve"> </w:t>
      </w:r>
      <w:r w:rsidR="005B5186" w:rsidRPr="000C7171">
        <w:rPr>
          <w:rFonts w:cs="Arial"/>
          <w:szCs w:val="22"/>
        </w:rPr>
        <w:t xml:space="preserve">in </w:t>
      </w:r>
      <w:r w:rsidRPr="000C7171">
        <w:rPr>
          <w:rFonts w:cs="Arial"/>
          <w:szCs w:val="22"/>
        </w:rPr>
        <w:t>the European School</w:t>
      </w:r>
      <w:r w:rsidR="007B5B51" w:rsidRPr="000C7171">
        <w:rPr>
          <w:rFonts w:cs="Arial"/>
          <w:szCs w:val="22"/>
        </w:rPr>
        <w:t>s’</w:t>
      </w:r>
      <w:r w:rsidRPr="000C7171">
        <w:rPr>
          <w:rFonts w:cs="Arial"/>
          <w:szCs w:val="22"/>
        </w:rPr>
        <w:t xml:space="preserve"> budget and the European Institution</w:t>
      </w:r>
      <w:r w:rsidR="007B5B51" w:rsidRPr="000C7171">
        <w:rPr>
          <w:rFonts w:cs="Arial"/>
          <w:szCs w:val="22"/>
        </w:rPr>
        <w:t>s’</w:t>
      </w:r>
      <w:r w:rsidRPr="000C7171">
        <w:rPr>
          <w:rFonts w:cs="Arial"/>
          <w:szCs w:val="22"/>
        </w:rPr>
        <w:t xml:space="preserve"> contribut</w:t>
      </w:r>
      <w:r w:rsidR="00D65760" w:rsidRPr="000C7171">
        <w:rPr>
          <w:rFonts w:cs="Arial"/>
          <w:szCs w:val="22"/>
        </w:rPr>
        <w:t>ion, the Board of Governors has</w:t>
      </w:r>
      <w:r w:rsidR="007B5B51" w:rsidRPr="000C7171">
        <w:rPr>
          <w:rFonts w:cs="Arial"/>
          <w:szCs w:val="22"/>
        </w:rPr>
        <w:t xml:space="preserve"> taken</w:t>
      </w:r>
      <w:r w:rsidR="00D65760" w:rsidRPr="000C7171">
        <w:rPr>
          <w:rFonts w:cs="Arial"/>
          <w:szCs w:val="22"/>
        </w:rPr>
        <w:t xml:space="preserve"> </w:t>
      </w:r>
      <w:r w:rsidR="002F0FF1" w:rsidRPr="000C7171">
        <w:rPr>
          <w:rFonts w:cs="Arial"/>
          <w:szCs w:val="22"/>
        </w:rPr>
        <w:t>several important decision</w:t>
      </w:r>
      <w:r w:rsidR="007B5B51" w:rsidRPr="000C7171">
        <w:rPr>
          <w:rFonts w:cs="Arial"/>
          <w:szCs w:val="22"/>
        </w:rPr>
        <w:t>s</w:t>
      </w:r>
      <w:r w:rsidR="00D65760" w:rsidRPr="000C7171">
        <w:rPr>
          <w:rFonts w:cs="Arial"/>
          <w:szCs w:val="22"/>
        </w:rPr>
        <w:t xml:space="preserve"> </w:t>
      </w:r>
      <w:r w:rsidR="00C17C17" w:rsidRPr="000C7171">
        <w:rPr>
          <w:rFonts w:cs="Arial"/>
          <w:szCs w:val="22"/>
        </w:rPr>
        <w:t xml:space="preserve">of </w:t>
      </w:r>
      <w:r w:rsidR="00D65760" w:rsidRPr="000C7171">
        <w:rPr>
          <w:rFonts w:cs="Arial"/>
          <w:szCs w:val="22"/>
        </w:rPr>
        <w:t xml:space="preserve">a </w:t>
      </w:r>
      <w:r w:rsidR="00C17C17" w:rsidRPr="000C7171">
        <w:rPr>
          <w:rFonts w:cs="Arial"/>
          <w:szCs w:val="22"/>
        </w:rPr>
        <w:t xml:space="preserve">structural nature </w:t>
      </w:r>
      <w:r w:rsidR="007B5B51" w:rsidRPr="000C7171">
        <w:rPr>
          <w:rFonts w:cs="Arial"/>
          <w:szCs w:val="22"/>
        </w:rPr>
        <w:t xml:space="preserve">designed </w:t>
      </w:r>
      <w:r w:rsidR="002F0FF1" w:rsidRPr="000C7171">
        <w:rPr>
          <w:rFonts w:cs="Arial"/>
          <w:szCs w:val="22"/>
        </w:rPr>
        <w:t>to find savings</w:t>
      </w:r>
      <w:r w:rsidR="007B5B51" w:rsidRPr="000C7171">
        <w:rPr>
          <w:rFonts w:cs="Arial"/>
          <w:szCs w:val="22"/>
        </w:rPr>
        <w:t xml:space="preserve"> for the </w:t>
      </w:r>
      <w:r w:rsidRPr="000C7171">
        <w:rPr>
          <w:rFonts w:cs="Arial"/>
          <w:szCs w:val="22"/>
        </w:rPr>
        <w:t>coming years</w:t>
      </w:r>
      <w:r w:rsidR="002F0FF1" w:rsidRPr="000C7171">
        <w:rPr>
          <w:rFonts w:cs="Arial"/>
          <w:szCs w:val="22"/>
        </w:rPr>
        <w:t>:</w:t>
      </w:r>
    </w:p>
    <w:p w:rsidR="00345B71" w:rsidRPr="000C7171" w:rsidRDefault="00345B71" w:rsidP="00AD1B99">
      <w:pPr>
        <w:spacing w:before="0" w:after="0"/>
        <w:rPr>
          <w:rFonts w:cs="Arial"/>
          <w:szCs w:val="22"/>
        </w:rPr>
      </w:pPr>
    </w:p>
    <w:p w:rsidR="0041436B" w:rsidRPr="000C7171" w:rsidRDefault="0041436B" w:rsidP="0041436B">
      <w:pPr>
        <w:pStyle w:val="ListParagraph"/>
        <w:numPr>
          <w:ilvl w:val="0"/>
          <w:numId w:val="13"/>
        </w:numPr>
        <w:spacing w:before="0" w:after="0" w:line="276" w:lineRule="auto"/>
      </w:pPr>
      <w:r w:rsidRPr="000C7171">
        <w:rPr>
          <w:b/>
          <w:bCs/>
          <w:u w:val="single"/>
        </w:rPr>
        <w:t>Salary revision</w:t>
      </w:r>
      <w:r w:rsidR="00D65760" w:rsidRPr="00625976">
        <w:rPr>
          <w:b/>
          <w:bCs/>
        </w:rPr>
        <w:t xml:space="preserve"> </w:t>
      </w:r>
      <w:r w:rsidRPr="000C7171">
        <w:t xml:space="preserve">according </w:t>
      </w:r>
      <w:r w:rsidR="00D65760" w:rsidRPr="000C7171">
        <w:t>to the 2004 revision of the EU Staff R</w:t>
      </w:r>
      <w:r w:rsidRPr="000C7171">
        <w:t xml:space="preserve">egulations </w:t>
      </w:r>
      <w:r w:rsidRPr="000C7171">
        <w:rPr>
          <w:b/>
          <w:bCs/>
          <w:u w:val="single"/>
        </w:rPr>
        <w:t>for seconded teachers (- 30%)</w:t>
      </w:r>
      <w:r w:rsidRPr="000C7171">
        <w:t xml:space="preserve">,  decided in April 2011 and effective for new staff recruited from September 2011 onwards </w:t>
      </w:r>
    </w:p>
    <w:p w:rsidR="0041436B" w:rsidRPr="000C7171" w:rsidRDefault="0041436B" w:rsidP="0041436B">
      <w:pPr>
        <w:pStyle w:val="ListParagraph"/>
        <w:numPr>
          <w:ilvl w:val="0"/>
          <w:numId w:val="13"/>
        </w:numPr>
        <w:spacing w:before="0" w:after="0" w:line="276" w:lineRule="auto"/>
      </w:pPr>
      <w:r w:rsidRPr="000C7171">
        <w:rPr>
          <w:b/>
          <w:bCs/>
          <w:u w:val="single"/>
        </w:rPr>
        <w:t>Salary revision</w:t>
      </w:r>
      <w:r w:rsidR="00D65760" w:rsidRPr="00625976">
        <w:rPr>
          <w:b/>
          <w:bCs/>
        </w:rPr>
        <w:t xml:space="preserve"> </w:t>
      </w:r>
      <w:r w:rsidRPr="000C7171">
        <w:t xml:space="preserve">according </w:t>
      </w:r>
      <w:r w:rsidR="00D65760" w:rsidRPr="000C7171">
        <w:t>to the 2004 revision of the EU S</w:t>
      </w:r>
      <w:r w:rsidRPr="000C7171">
        <w:t xml:space="preserve">taff </w:t>
      </w:r>
      <w:r w:rsidR="00D65760" w:rsidRPr="000C7171">
        <w:t>R</w:t>
      </w:r>
      <w:r w:rsidRPr="000C7171">
        <w:t>egulations</w:t>
      </w:r>
      <w:r w:rsidR="00D65760" w:rsidRPr="000C7171">
        <w:t xml:space="preserve"> </w:t>
      </w:r>
      <w:r w:rsidRPr="000C7171">
        <w:rPr>
          <w:b/>
          <w:u w:val="single"/>
        </w:rPr>
        <w:t>fo</w:t>
      </w:r>
      <w:r w:rsidRPr="000C7171">
        <w:rPr>
          <w:b/>
          <w:bCs/>
          <w:u w:val="single"/>
        </w:rPr>
        <w:t>r locally recruited teachers (- 20%)</w:t>
      </w:r>
      <w:r w:rsidRPr="000C7171">
        <w:t>,</w:t>
      </w:r>
      <w:r w:rsidRPr="000C7171">
        <w:rPr>
          <w:b/>
          <w:bCs/>
        </w:rPr>
        <w:t xml:space="preserve">   </w:t>
      </w:r>
      <w:r w:rsidRPr="000C7171">
        <w:t>decided in April 2011 and effective for new staff recruited from September 2011 onwards  </w:t>
      </w:r>
    </w:p>
    <w:p w:rsidR="0041436B" w:rsidRPr="000C7171" w:rsidRDefault="0041436B" w:rsidP="0041436B">
      <w:pPr>
        <w:pStyle w:val="ListParagraph"/>
        <w:numPr>
          <w:ilvl w:val="0"/>
          <w:numId w:val="13"/>
        </w:numPr>
        <w:spacing w:before="0" w:after="0" w:line="276" w:lineRule="auto"/>
      </w:pPr>
      <w:r w:rsidRPr="000C7171">
        <w:t>Regrouping, limiting options – decided by the Board of Governors in 2011 and updated in 2013</w:t>
      </w:r>
    </w:p>
    <w:p w:rsidR="00C17C17" w:rsidRDefault="00C17C17" w:rsidP="00345B71">
      <w:pPr>
        <w:pStyle w:val="ListParagraph"/>
        <w:numPr>
          <w:ilvl w:val="0"/>
          <w:numId w:val="13"/>
        </w:numPr>
        <w:spacing w:before="0" w:after="0" w:line="276" w:lineRule="auto"/>
        <w:rPr>
          <w:rFonts w:cs="Arial"/>
          <w:szCs w:val="22"/>
        </w:rPr>
      </w:pPr>
      <w:r w:rsidRPr="000C7171">
        <w:rPr>
          <w:rFonts w:cs="Arial"/>
          <w:szCs w:val="22"/>
        </w:rPr>
        <w:t xml:space="preserve">Reform </w:t>
      </w:r>
      <w:r w:rsidR="00330BF5" w:rsidRPr="000C7171">
        <w:rPr>
          <w:rFonts w:cs="Arial"/>
          <w:szCs w:val="22"/>
        </w:rPr>
        <w:t>of the European Baccalaureate</w:t>
      </w:r>
      <w:r w:rsidR="00D65760" w:rsidRPr="000C7171">
        <w:rPr>
          <w:rFonts w:cs="Arial"/>
          <w:szCs w:val="22"/>
        </w:rPr>
        <w:t xml:space="preserve"> </w:t>
      </w:r>
      <w:r w:rsidR="00CA7DA8" w:rsidRPr="000C7171">
        <w:rPr>
          <w:rFonts w:cs="Arial"/>
          <w:szCs w:val="22"/>
        </w:rPr>
        <w:t>(</w:t>
      </w:r>
      <w:r w:rsidR="002C4883" w:rsidRPr="000C7171">
        <w:rPr>
          <w:rFonts w:cs="Arial"/>
          <w:szCs w:val="22"/>
        </w:rPr>
        <w:t xml:space="preserve">several changes implemented; new </w:t>
      </w:r>
      <w:r w:rsidR="00CA7DA8" w:rsidRPr="000C7171">
        <w:rPr>
          <w:rFonts w:cs="Arial"/>
          <w:szCs w:val="22"/>
        </w:rPr>
        <w:t>structure in 2015)</w:t>
      </w:r>
      <w:r w:rsidR="00625976">
        <w:rPr>
          <w:rFonts w:cs="Arial"/>
          <w:szCs w:val="22"/>
        </w:rPr>
        <w:t>.</w:t>
      </w:r>
    </w:p>
    <w:p w:rsidR="00625976" w:rsidRDefault="00625976" w:rsidP="00625976">
      <w:pPr>
        <w:spacing w:before="0" w:after="0" w:line="276" w:lineRule="auto"/>
        <w:rPr>
          <w:rFonts w:cs="Arial"/>
          <w:szCs w:val="22"/>
        </w:rPr>
      </w:pPr>
    </w:p>
    <w:p w:rsidR="00625976" w:rsidRDefault="00625976" w:rsidP="00625976">
      <w:pPr>
        <w:spacing w:before="0" w:after="0" w:line="276" w:lineRule="auto"/>
        <w:rPr>
          <w:rFonts w:cs="Arial"/>
          <w:szCs w:val="22"/>
        </w:rPr>
      </w:pPr>
    </w:p>
    <w:p w:rsidR="00625976" w:rsidRDefault="00625976" w:rsidP="00625976">
      <w:pPr>
        <w:spacing w:before="0" w:after="0" w:line="276" w:lineRule="auto"/>
        <w:rPr>
          <w:rFonts w:cs="Arial"/>
          <w:szCs w:val="22"/>
        </w:rPr>
      </w:pPr>
    </w:p>
    <w:p w:rsidR="00625976" w:rsidRDefault="00625976" w:rsidP="00625976">
      <w:pPr>
        <w:spacing w:before="0" w:after="0" w:line="276" w:lineRule="auto"/>
        <w:rPr>
          <w:rFonts w:cs="Arial"/>
          <w:szCs w:val="22"/>
        </w:rPr>
      </w:pPr>
    </w:p>
    <w:p w:rsidR="00625976" w:rsidRDefault="00625976" w:rsidP="00625976">
      <w:pPr>
        <w:spacing w:before="0" w:after="0" w:line="276" w:lineRule="auto"/>
        <w:rPr>
          <w:rFonts w:cs="Arial"/>
          <w:szCs w:val="22"/>
        </w:rPr>
      </w:pPr>
    </w:p>
    <w:p w:rsidR="00625976" w:rsidRDefault="00625976" w:rsidP="00625976">
      <w:pPr>
        <w:spacing w:before="0" w:after="0" w:line="276" w:lineRule="auto"/>
        <w:rPr>
          <w:rFonts w:cs="Arial"/>
          <w:szCs w:val="22"/>
        </w:rPr>
      </w:pPr>
    </w:p>
    <w:p w:rsidR="00625976" w:rsidRPr="00625976" w:rsidRDefault="00625976" w:rsidP="00625976">
      <w:pPr>
        <w:spacing w:before="0" w:after="0" w:line="276" w:lineRule="auto"/>
        <w:rPr>
          <w:rFonts w:cs="Arial"/>
          <w:szCs w:val="22"/>
        </w:rPr>
      </w:pPr>
    </w:p>
    <w:p w:rsidR="0041436B" w:rsidRPr="000C7171" w:rsidRDefault="0041436B" w:rsidP="0041436B">
      <w:pPr>
        <w:spacing w:before="0" w:after="0"/>
        <w:rPr>
          <w:rFonts w:cs="Arial"/>
          <w:szCs w:val="22"/>
        </w:rPr>
      </w:pPr>
    </w:p>
    <w:p w:rsidR="00026407" w:rsidRPr="000C7171" w:rsidRDefault="00026407" w:rsidP="0041436B">
      <w:pPr>
        <w:spacing w:before="0" w:after="0"/>
        <w:rPr>
          <w:rFonts w:cs="Arial"/>
          <w:szCs w:val="22"/>
        </w:rPr>
      </w:pPr>
    </w:p>
    <w:tbl>
      <w:tblPr>
        <w:tblW w:w="8946" w:type="dxa"/>
        <w:tblInd w:w="93" w:type="dxa"/>
        <w:tblLayout w:type="fixed"/>
        <w:tblLook w:val="0600" w:firstRow="0" w:lastRow="0" w:firstColumn="0" w:lastColumn="0" w:noHBand="1" w:noVBand="1"/>
      </w:tblPr>
      <w:tblGrid>
        <w:gridCol w:w="1149"/>
        <w:gridCol w:w="1276"/>
        <w:gridCol w:w="1134"/>
        <w:gridCol w:w="1134"/>
        <w:gridCol w:w="2268"/>
        <w:gridCol w:w="1985"/>
      </w:tblGrid>
      <w:tr w:rsidR="0041436B" w:rsidRPr="000C7171" w:rsidTr="008A249B">
        <w:trPr>
          <w:trHeight w:val="78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 </w:t>
            </w:r>
          </w:p>
        </w:tc>
        <w:tc>
          <w:tcPr>
            <w:tcW w:w="1276" w:type="dxa"/>
            <w:tcBorders>
              <w:top w:val="single" w:sz="4" w:space="0" w:color="000000"/>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b/>
                <w:bCs/>
                <w:szCs w:val="22"/>
                <w:lang w:eastAsia="en-US"/>
              </w:rPr>
            </w:pPr>
            <w:r w:rsidRPr="000C7171">
              <w:rPr>
                <w:rFonts w:cs="Arial"/>
                <w:b/>
                <w:bCs/>
                <w:szCs w:val="22"/>
                <w:lang w:eastAsia="en-US"/>
              </w:rPr>
              <w:t>2012</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b/>
                <w:bCs/>
                <w:szCs w:val="22"/>
                <w:lang w:eastAsia="en-US"/>
              </w:rPr>
            </w:pPr>
            <w:r w:rsidRPr="000C7171">
              <w:rPr>
                <w:rFonts w:cs="Arial"/>
                <w:b/>
                <w:bCs/>
                <w:szCs w:val="22"/>
                <w:lang w:eastAsia="en-US"/>
              </w:rPr>
              <w:t>2013</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b/>
                <w:bCs/>
                <w:szCs w:val="22"/>
                <w:lang w:eastAsia="en-US"/>
              </w:rPr>
            </w:pPr>
            <w:r w:rsidRPr="000C7171">
              <w:rPr>
                <w:rFonts w:cs="Arial"/>
                <w:b/>
                <w:bCs/>
                <w:szCs w:val="22"/>
                <w:lang w:eastAsia="en-US"/>
              </w:rPr>
              <w:t>2014</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b/>
                <w:bCs/>
                <w:szCs w:val="22"/>
                <w:lang w:eastAsia="en-US"/>
              </w:rPr>
            </w:pPr>
            <w:r w:rsidRPr="000C7171">
              <w:rPr>
                <w:rFonts w:cs="Arial"/>
                <w:b/>
                <w:bCs/>
                <w:szCs w:val="22"/>
                <w:lang w:eastAsia="en-US"/>
              </w:rPr>
              <w:t xml:space="preserve">Difference </w:t>
            </w:r>
          </w:p>
          <w:p w:rsidR="0041436B" w:rsidRPr="000C7171" w:rsidRDefault="0041436B" w:rsidP="008A249B">
            <w:pPr>
              <w:spacing w:before="0" w:after="0"/>
              <w:rPr>
                <w:rFonts w:cs="Arial"/>
                <w:b/>
                <w:bCs/>
                <w:szCs w:val="22"/>
                <w:lang w:eastAsia="en-US"/>
              </w:rPr>
            </w:pPr>
            <w:r w:rsidRPr="000C7171">
              <w:rPr>
                <w:rFonts w:cs="Arial"/>
                <w:b/>
                <w:bCs/>
                <w:szCs w:val="22"/>
                <w:lang w:eastAsia="en-US"/>
              </w:rPr>
              <w:t>2013-2014</w:t>
            </w:r>
          </w:p>
        </w:tc>
        <w:tc>
          <w:tcPr>
            <w:tcW w:w="1985" w:type="dxa"/>
            <w:tcBorders>
              <w:top w:val="single" w:sz="4" w:space="0" w:color="000000"/>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b/>
                <w:bCs/>
                <w:szCs w:val="22"/>
                <w:lang w:eastAsia="en-US"/>
              </w:rPr>
            </w:pPr>
            <w:r w:rsidRPr="000C7171">
              <w:rPr>
                <w:rFonts w:cs="Arial"/>
                <w:b/>
                <w:bCs/>
                <w:szCs w:val="22"/>
                <w:lang w:eastAsia="en-US"/>
              </w:rPr>
              <w:t>%</w:t>
            </w:r>
          </w:p>
        </w:tc>
      </w:tr>
      <w:tr w:rsidR="0041436B" w:rsidRPr="000C7171" w:rsidTr="008A249B">
        <w:trPr>
          <w:trHeight w:val="52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Cost per pupil</w:t>
            </w:r>
          </w:p>
        </w:tc>
        <w:tc>
          <w:tcPr>
            <w:tcW w:w="1276"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12,088</w:t>
            </w:r>
          </w:p>
        </w:tc>
        <w:tc>
          <w:tcPr>
            <w:tcW w:w="1134"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11,921</w:t>
            </w:r>
          </w:p>
        </w:tc>
        <w:tc>
          <w:tcPr>
            <w:tcW w:w="1134"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11,562</w:t>
            </w:r>
          </w:p>
        </w:tc>
        <w:tc>
          <w:tcPr>
            <w:tcW w:w="2268"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-359</w:t>
            </w:r>
          </w:p>
        </w:tc>
        <w:tc>
          <w:tcPr>
            <w:tcW w:w="1985"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-3.01%</w:t>
            </w:r>
          </w:p>
        </w:tc>
      </w:tr>
      <w:tr w:rsidR="0041436B" w:rsidRPr="000C7171" w:rsidTr="008A249B">
        <w:trPr>
          <w:trHeight w:val="525"/>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 xml:space="preserve">Number of pupils </w:t>
            </w:r>
          </w:p>
        </w:tc>
        <w:tc>
          <w:tcPr>
            <w:tcW w:w="1276"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23,370</w:t>
            </w:r>
          </w:p>
        </w:tc>
        <w:tc>
          <w:tcPr>
            <w:tcW w:w="1134"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24,280</w:t>
            </w:r>
          </w:p>
        </w:tc>
        <w:tc>
          <w:tcPr>
            <w:tcW w:w="1134"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24,702</w:t>
            </w:r>
          </w:p>
        </w:tc>
        <w:tc>
          <w:tcPr>
            <w:tcW w:w="2268"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422</w:t>
            </w:r>
          </w:p>
        </w:tc>
        <w:tc>
          <w:tcPr>
            <w:tcW w:w="1985" w:type="dxa"/>
            <w:tcBorders>
              <w:top w:val="nil"/>
              <w:left w:val="nil"/>
              <w:bottom w:val="single" w:sz="4" w:space="0" w:color="000000"/>
              <w:right w:val="single" w:sz="4" w:space="0" w:color="000000"/>
            </w:tcBorders>
            <w:shd w:val="clear" w:color="auto" w:fill="auto"/>
            <w:vAlign w:val="bottom"/>
            <w:hideMark/>
          </w:tcPr>
          <w:p w:rsidR="0041436B" w:rsidRPr="000C7171" w:rsidRDefault="0041436B" w:rsidP="008A249B">
            <w:pPr>
              <w:spacing w:before="0" w:after="0"/>
              <w:rPr>
                <w:rFonts w:cs="Arial"/>
                <w:szCs w:val="22"/>
                <w:lang w:eastAsia="en-US"/>
              </w:rPr>
            </w:pPr>
            <w:r w:rsidRPr="000C7171">
              <w:rPr>
                <w:rFonts w:cs="Arial"/>
                <w:szCs w:val="22"/>
                <w:lang w:eastAsia="en-US"/>
              </w:rPr>
              <w:t>1.74%</w:t>
            </w:r>
          </w:p>
        </w:tc>
      </w:tr>
    </w:tbl>
    <w:p w:rsidR="0041436B" w:rsidRPr="000C7171" w:rsidRDefault="0041436B" w:rsidP="0041436B">
      <w:pPr>
        <w:spacing w:before="0" w:after="0"/>
        <w:rPr>
          <w:rFonts w:cs="Arial"/>
          <w:szCs w:val="22"/>
        </w:rPr>
      </w:pPr>
    </w:p>
    <w:p w:rsidR="00625976" w:rsidRDefault="00625976" w:rsidP="00026407">
      <w:pPr>
        <w:spacing w:before="0" w:after="0"/>
        <w:rPr>
          <w:rFonts w:cs="Arial"/>
          <w:szCs w:val="22"/>
        </w:rPr>
      </w:pPr>
    </w:p>
    <w:p w:rsidR="00BB5EA4" w:rsidRPr="000C7171" w:rsidRDefault="00BB5EA4" w:rsidP="00026407">
      <w:pPr>
        <w:spacing w:before="0" w:after="0"/>
        <w:rPr>
          <w:rFonts w:cs="Arial"/>
          <w:szCs w:val="22"/>
        </w:rPr>
      </w:pPr>
      <w:r w:rsidRPr="000C7171">
        <w:rPr>
          <w:rFonts w:cs="Arial"/>
          <w:szCs w:val="22"/>
        </w:rPr>
        <w:t xml:space="preserve">The European Schools have managed to </w:t>
      </w:r>
      <w:r w:rsidR="00D65760" w:rsidRPr="000C7171">
        <w:rPr>
          <w:rFonts w:cs="Arial"/>
          <w:szCs w:val="22"/>
        </w:rPr>
        <w:t>stabilis</w:t>
      </w:r>
      <w:r w:rsidRPr="000C7171">
        <w:rPr>
          <w:rFonts w:cs="Arial"/>
          <w:szCs w:val="22"/>
        </w:rPr>
        <w:t>e and even reduce the cost per pupil in recent years</w:t>
      </w:r>
      <w:r w:rsidR="00D65760" w:rsidRPr="000C7171">
        <w:rPr>
          <w:rFonts w:cs="Arial"/>
          <w:szCs w:val="22"/>
        </w:rPr>
        <w:t xml:space="preserve"> </w:t>
      </w:r>
      <w:r w:rsidRPr="000C7171">
        <w:rPr>
          <w:rFonts w:cs="Arial"/>
          <w:szCs w:val="22"/>
        </w:rPr>
        <w:t xml:space="preserve">despite the growing </w:t>
      </w:r>
      <w:r w:rsidR="00D65760" w:rsidRPr="000C7171">
        <w:rPr>
          <w:rFonts w:cs="Arial"/>
          <w:szCs w:val="22"/>
        </w:rPr>
        <w:t>demand for</w:t>
      </w:r>
      <w:r w:rsidR="00CA7DA8" w:rsidRPr="000C7171">
        <w:rPr>
          <w:rFonts w:cs="Arial"/>
          <w:szCs w:val="22"/>
        </w:rPr>
        <w:t xml:space="preserve"> education</w:t>
      </w:r>
      <w:r w:rsidRPr="000C7171">
        <w:rPr>
          <w:rFonts w:cs="Arial"/>
          <w:szCs w:val="22"/>
        </w:rPr>
        <w:t xml:space="preserve"> and the opening of new school buildings in Brussels and in Luxemburg. </w:t>
      </w:r>
      <w:r w:rsidR="00D65760" w:rsidRPr="000C7171">
        <w:rPr>
          <w:rFonts w:cs="Arial"/>
          <w:szCs w:val="22"/>
        </w:rPr>
        <w:t>The p</w:t>
      </w:r>
      <w:r w:rsidRPr="000C7171">
        <w:rPr>
          <w:rFonts w:cs="Arial"/>
          <w:szCs w:val="22"/>
        </w:rPr>
        <w:t>ositive development</w:t>
      </w:r>
      <w:r w:rsidR="00D65760" w:rsidRPr="000C7171">
        <w:rPr>
          <w:rFonts w:cs="Arial"/>
          <w:szCs w:val="22"/>
        </w:rPr>
        <w:t>s</w:t>
      </w:r>
      <w:r w:rsidRPr="000C7171">
        <w:rPr>
          <w:rFonts w:cs="Arial"/>
          <w:szCs w:val="22"/>
        </w:rPr>
        <w:t xml:space="preserve"> so far</w:t>
      </w:r>
      <w:r w:rsidR="00D65760" w:rsidRPr="000C7171">
        <w:rPr>
          <w:rFonts w:cs="Arial"/>
          <w:szCs w:val="22"/>
        </w:rPr>
        <w:t xml:space="preserve"> are</w:t>
      </w:r>
      <w:r w:rsidR="00625976">
        <w:rPr>
          <w:rFonts w:cs="Arial"/>
          <w:szCs w:val="22"/>
        </w:rPr>
        <w:t xml:space="preserve"> due to the </w:t>
      </w:r>
      <w:r w:rsidRPr="000C7171">
        <w:rPr>
          <w:rFonts w:cs="Arial"/>
          <w:szCs w:val="22"/>
        </w:rPr>
        <w:t xml:space="preserve">revision of </w:t>
      </w:r>
      <w:r w:rsidR="00D65760" w:rsidRPr="000C7171">
        <w:rPr>
          <w:rFonts w:cs="Arial"/>
          <w:szCs w:val="22"/>
        </w:rPr>
        <w:t>the Staff R</w:t>
      </w:r>
      <w:r w:rsidRPr="000C7171">
        <w:rPr>
          <w:rFonts w:cs="Arial"/>
          <w:szCs w:val="22"/>
        </w:rPr>
        <w:t>egulations but mostly to</w:t>
      </w:r>
      <w:r w:rsidR="00D65760" w:rsidRPr="000C7171">
        <w:rPr>
          <w:rFonts w:cs="Arial"/>
          <w:szCs w:val="22"/>
        </w:rPr>
        <w:t xml:space="preserve"> increased efficiency in organis</w:t>
      </w:r>
      <w:r w:rsidRPr="000C7171">
        <w:rPr>
          <w:rFonts w:cs="Arial"/>
          <w:szCs w:val="22"/>
        </w:rPr>
        <w:t>ing education.</w:t>
      </w:r>
    </w:p>
    <w:p w:rsidR="00026407" w:rsidRPr="000C7171" w:rsidRDefault="00026407" w:rsidP="00026407">
      <w:pPr>
        <w:spacing w:before="0" w:after="0"/>
        <w:rPr>
          <w:rFonts w:cs="Arial"/>
          <w:szCs w:val="22"/>
        </w:rPr>
      </w:pPr>
    </w:p>
    <w:p w:rsidR="00010D3B" w:rsidRPr="000C7171" w:rsidRDefault="00CA7DA8" w:rsidP="00811197">
      <w:pPr>
        <w:spacing w:before="0"/>
        <w:rPr>
          <w:rFonts w:cs="Arial"/>
          <w:szCs w:val="22"/>
        </w:rPr>
      </w:pPr>
      <w:r w:rsidRPr="000C7171">
        <w:rPr>
          <w:rFonts w:cs="Arial"/>
          <w:szCs w:val="22"/>
        </w:rPr>
        <w:t>The number of category I pupils is increasing annually</w:t>
      </w:r>
      <w:r w:rsidR="00D56790" w:rsidRPr="000C7171">
        <w:rPr>
          <w:rFonts w:cs="Arial"/>
          <w:szCs w:val="22"/>
        </w:rPr>
        <w:t xml:space="preserve"> by 2-3 %</w:t>
      </w:r>
      <w:r w:rsidRPr="000C7171">
        <w:rPr>
          <w:rFonts w:cs="Arial"/>
          <w:szCs w:val="22"/>
        </w:rPr>
        <w:t xml:space="preserve">. At the same time the </w:t>
      </w:r>
      <w:r w:rsidR="00D65760" w:rsidRPr="000C7171">
        <w:rPr>
          <w:rFonts w:cs="Arial"/>
          <w:szCs w:val="22"/>
        </w:rPr>
        <w:t xml:space="preserve">EU’s </w:t>
      </w:r>
      <w:r w:rsidRPr="000C7171">
        <w:rPr>
          <w:rFonts w:cs="Arial"/>
          <w:szCs w:val="22"/>
        </w:rPr>
        <w:t xml:space="preserve">contribution </w:t>
      </w:r>
      <w:r w:rsidR="00D56790" w:rsidRPr="000C7171">
        <w:rPr>
          <w:rFonts w:cs="Arial"/>
          <w:szCs w:val="22"/>
        </w:rPr>
        <w:t>is stagnating and as a result t</w:t>
      </w:r>
      <w:r w:rsidR="00C82B79" w:rsidRPr="000C7171">
        <w:rPr>
          <w:rFonts w:cs="Arial"/>
          <w:szCs w:val="22"/>
        </w:rPr>
        <w:t xml:space="preserve">he </w:t>
      </w:r>
      <w:r w:rsidR="00D65760" w:rsidRPr="000C7171">
        <w:rPr>
          <w:rFonts w:cs="Arial"/>
          <w:szCs w:val="22"/>
        </w:rPr>
        <w:t xml:space="preserve">EU </w:t>
      </w:r>
      <w:r w:rsidR="00C82B79" w:rsidRPr="000C7171">
        <w:rPr>
          <w:rFonts w:cs="Arial"/>
          <w:szCs w:val="22"/>
        </w:rPr>
        <w:t xml:space="preserve">contribution </w:t>
      </w:r>
      <w:r w:rsidR="00811197" w:rsidRPr="000C7171">
        <w:rPr>
          <w:rFonts w:cs="Arial"/>
          <w:szCs w:val="22"/>
        </w:rPr>
        <w:t xml:space="preserve">per </w:t>
      </w:r>
      <w:r w:rsidR="00811197" w:rsidRPr="000C7171">
        <w:rPr>
          <w:rFonts w:cs="Arial"/>
          <w:szCs w:val="22"/>
          <w:u w:val="single"/>
        </w:rPr>
        <w:t>category I</w:t>
      </w:r>
      <w:r w:rsidR="00D65760" w:rsidRPr="000C7171">
        <w:rPr>
          <w:rFonts w:cs="Arial"/>
          <w:szCs w:val="22"/>
          <w:u w:val="single"/>
        </w:rPr>
        <w:t xml:space="preserve"> </w:t>
      </w:r>
      <w:r w:rsidR="00811197" w:rsidRPr="000C7171">
        <w:rPr>
          <w:rFonts w:cs="Arial"/>
          <w:szCs w:val="22"/>
          <w:u w:val="single"/>
        </w:rPr>
        <w:t xml:space="preserve">EU </w:t>
      </w:r>
      <w:r w:rsidR="00E04D80" w:rsidRPr="000C7171">
        <w:rPr>
          <w:rFonts w:cs="Arial"/>
          <w:szCs w:val="22"/>
          <w:u w:val="single"/>
        </w:rPr>
        <w:t>pupil</w:t>
      </w:r>
      <w:r w:rsidR="00D65760" w:rsidRPr="000C7171">
        <w:rPr>
          <w:rFonts w:cs="Arial"/>
          <w:szCs w:val="22"/>
          <w:u w:val="single"/>
        </w:rPr>
        <w:t xml:space="preserve"> </w:t>
      </w:r>
      <w:r w:rsidR="00D56790" w:rsidRPr="000C7171">
        <w:rPr>
          <w:rFonts w:cs="Arial"/>
          <w:szCs w:val="22"/>
          <w:u w:val="single"/>
        </w:rPr>
        <w:t xml:space="preserve">is expected to </w:t>
      </w:r>
      <w:r w:rsidR="00811197" w:rsidRPr="000C7171">
        <w:rPr>
          <w:rFonts w:cs="Arial"/>
          <w:szCs w:val="22"/>
          <w:u w:val="single"/>
        </w:rPr>
        <w:t>f</w:t>
      </w:r>
      <w:r w:rsidR="00D56790" w:rsidRPr="000C7171">
        <w:rPr>
          <w:rFonts w:cs="Arial"/>
          <w:szCs w:val="22"/>
          <w:u w:val="single"/>
        </w:rPr>
        <w:t>a</w:t>
      </w:r>
      <w:r w:rsidR="00811197" w:rsidRPr="000C7171">
        <w:rPr>
          <w:rFonts w:cs="Arial"/>
          <w:szCs w:val="22"/>
          <w:u w:val="single"/>
        </w:rPr>
        <w:t>ll</w:t>
      </w:r>
      <w:r w:rsidR="00D65760" w:rsidRPr="000C7171">
        <w:rPr>
          <w:rFonts w:cs="Arial"/>
          <w:szCs w:val="22"/>
          <w:u w:val="single"/>
        </w:rPr>
        <w:t xml:space="preserve"> </w:t>
      </w:r>
      <w:r w:rsidR="00811197" w:rsidRPr="000C7171">
        <w:rPr>
          <w:rFonts w:cs="Arial"/>
          <w:szCs w:val="22"/>
          <w:u w:val="single"/>
        </w:rPr>
        <w:t>by</w:t>
      </w:r>
      <w:r w:rsidR="00D65760" w:rsidRPr="000C7171">
        <w:rPr>
          <w:rFonts w:cs="Arial"/>
          <w:szCs w:val="22"/>
          <w:u w:val="single"/>
        </w:rPr>
        <w:t xml:space="preserve"> over 6</w:t>
      </w:r>
      <w:r w:rsidR="00AE7ED5" w:rsidRPr="000C7171">
        <w:rPr>
          <w:rFonts w:cs="Arial"/>
          <w:szCs w:val="22"/>
          <w:u w:val="single"/>
        </w:rPr>
        <w:t>% in</w:t>
      </w:r>
      <w:r w:rsidR="00D65760" w:rsidRPr="000C7171">
        <w:rPr>
          <w:rFonts w:cs="Arial"/>
          <w:szCs w:val="22"/>
          <w:u w:val="single"/>
        </w:rPr>
        <w:t xml:space="preserve"> </w:t>
      </w:r>
      <w:r w:rsidR="00AE7ED5" w:rsidRPr="000C7171">
        <w:rPr>
          <w:rFonts w:cs="Arial"/>
          <w:szCs w:val="22"/>
          <w:u w:val="single"/>
        </w:rPr>
        <w:t>2013-2014</w:t>
      </w:r>
      <w:r w:rsidR="00E04D80" w:rsidRPr="000C7171">
        <w:rPr>
          <w:rFonts w:cs="Arial"/>
          <w:szCs w:val="22"/>
        </w:rPr>
        <w:t xml:space="preserve">. </w:t>
      </w:r>
    </w:p>
    <w:p w:rsidR="00CE6EA3" w:rsidRPr="000C7171" w:rsidRDefault="00CE6EA3" w:rsidP="00811197">
      <w:pPr>
        <w:spacing w:before="0"/>
        <w:rPr>
          <w:rFonts w:cs="Arial"/>
          <w:szCs w:val="22"/>
        </w:rPr>
      </w:pPr>
    </w:p>
    <w:tbl>
      <w:tblPr>
        <w:tblW w:w="8237" w:type="dxa"/>
        <w:tblInd w:w="93" w:type="dxa"/>
        <w:tblLook w:val="0600" w:firstRow="0" w:lastRow="0" w:firstColumn="0" w:lastColumn="0" w:noHBand="1" w:noVBand="1"/>
      </w:tblPr>
      <w:tblGrid>
        <w:gridCol w:w="2567"/>
        <w:gridCol w:w="1073"/>
        <w:gridCol w:w="960"/>
        <w:gridCol w:w="960"/>
        <w:gridCol w:w="1480"/>
        <w:gridCol w:w="1197"/>
      </w:tblGrid>
      <w:tr w:rsidR="00CC00AC" w:rsidRPr="000C7171" w:rsidTr="0055680E">
        <w:trPr>
          <w:trHeight w:val="360"/>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 </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b/>
                <w:bCs/>
                <w:szCs w:val="22"/>
                <w:lang w:eastAsia="en-US"/>
              </w:rPr>
            </w:pPr>
            <w:r w:rsidRPr="000C7171">
              <w:rPr>
                <w:rFonts w:cs="Arial"/>
                <w:b/>
                <w:bCs/>
                <w:szCs w:val="22"/>
                <w:lang w:eastAsia="en-US"/>
              </w:rPr>
              <w:t>2012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b/>
                <w:bCs/>
                <w:szCs w:val="22"/>
                <w:lang w:eastAsia="en-US"/>
              </w:rPr>
            </w:pPr>
            <w:r w:rsidRPr="000C7171">
              <w:rPr>
                <w:rFonts w:cs="Arial"/>
                <w:b/>
                <w:bCs/>
                <w:szCs w:val="22"/>
                <w:lang w:eastAsia="en-US"/>
              </w:rPr>
              <w:t>2013</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b/>
                <w:bCs/>
                <w:szCs w:val="22"/>
                <w:lang w:eastAsia="en-US"/>
              </w:rPr>
            </w:pPr>
            <w:r w:rsidRPr="000C7171">
              <w:rPr>
                <w:rFonts w:cs="Arial"/>
                <w:b/>
                <w:bCs/>
                <w:szCs w:val="22"/>
                <w:lang w:eastAsia="en-US"/>
              </w:rPr>
              <w:t>2014</w:t>
            </w:r>
          </w:p>
        </w:tc>
        <w:tc>
          <w:tcPr>
            <w:tcW w:w="1480" w:type="dxa"/>
            <w:tcBorders>
              <w:top w:val="single" w:sz="4" w:space="0" w:color="000000"/>
              <w:left w:val="nil"/>
              <w:bottom w:val="nil"/>
              <w:right w:val="single" w:sz="4" w:space="0" w:color="000000"/>
            </w:tcBorders>
            <w:shd w:val="clear" w:color="auto" w:fill="auto"/>
            <w:vAlign w:val="bottom"/>
            <w:hideMark/>
          </w:tcPr>
          <w:p w:rsidR="00010D3B" w:rsidRPr="000C7171" w:rsidRDefault="00010D3B" w:rsidP="0055680E">
            <w:pPr>
              <w:spacing w:before="0" w:after="0"/>
              <w:jc w:val="center"/>
              <w:rPr>
                <w:rFonts w:cs="Arial"/>
                <w:b/>
                <w:bCs/>
                <w:szCs w:val="22"/>
                <w:lang w:eastAsia="en-US"/>
              </w:rPr>
            </w:pPr>
            <w:r w:rsidRPr="000C7171">
              <w:rPr>
                <w:rFonts w:cs="Arial"/>
                <w:b/>
                <w:bCs/>
                <w:szCs w:val="22"/>
                <w:lang w:eastAsia="en-US"/>
              </w:rPr>
              <w:t>Difference</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55680E">
            <w:pPr>
              <w:spacing w:before="0" w:after="0"/>
              <w:jc w:val="center"/>
              <w:rPr>
                <w:rFonts w:cs="Arial"/>
                <w:b/>
                <w:bCs/>
                <w:szCs w:val="22"/>
                <w:lang w:eastAsia="en-US"/>
              </w:rPr>
            </w:pPr>
            <w:r w:rsidRPr="000C7171">
              <w:rPr>
                <w:rFonts w:cs="Arial"/>
                <w:b/>
                <w:bCs/>
                <w:szCs w:val="22"/>
                <w:lang w:eastAsia="en-US"/>
              </w:rPr>
              <w:t>%</w:t>
            </w:r>
          </w:p>
        </w:tc>
      </w:tr>
      <w:tr w:rsidR="00CC00AC" w:rsidRPr="000C7171" w:rsidTr="0055680E">
        <w:trPr>
          <w:trHeight w:val="36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szCs w:val="22"/>
                <w:lang w:eastAsia="en-US"/>
              </w:rPr>
            </w:pPr>
          </w:p>
        </w:tc>
        <w:tc>
          <w:tcPr>
            <w:tcW w:w="1073" w:type="dxa"/>
            <w:vMerge/>
            <w:tcBorders>
              <w:top w:val="single" w:sz="4" w:space="0" w:color="000000"/>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b/>
                <w:bCs/>
                <w:szCs w:val="22"/>
                <w:lang w:eastAsia="en-US"/>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b/>
                <w:bCs/>
                <w:szCs w:val="22"/>
                <w:lang w:eastAsia="en-US"/>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b/>
                <w:bCs/>
                <w:szCs w:val="22"/>
                <w:lang w:eastAsia="en-US"/>
              </w:rPr>
            </w:pPr>
          </w:p>
        </w:tc>
        <w:tc>
          <w:tcPr>
            <w:tcW w:w="1480" w:type="dxa"/>
            <w:tcBorders>
              <w:top w:val="nil"/>
              <w:left w:val="nil"/>
              <w:bottom w:val="single" w:sz="4" w:space="0" w:color="000000"/>
              <w:right w:val="single" w:sz="4" w:space="0" w:color="000000"/>
            </w:tcBorders>
            <w:shd w:val="clear" w:color="auto" w:fill="auto"/>
            <w:vAlign w:val="bottom"/>
            <w:hideMark/>
          </w:tcPr>
          <w:p w:rsidR="00010D3B" w:rsidRPr="000C7171" w:rsidRDefault="00010D3B" w:rsidP="0040348D">
            <w:pPr>
              <w:spacing w:before="0" w:after="0"/>
              <w:jc w:val="center"/>
              <w:rPr>
                <w:rFonts w:cs="Arial"/>
                <w:b/>
                <w:bCs/>
                <w:szCs w:val="22"/>
                <w:lang w:eastAsia="en-US"/>
              </w:rPr>
            </w:pPr>
            <w:r w:rsidRPr="000C7171">
              <w:rPr>
                <w:rFonts w:cs="Arial"/>
                <w:b/>
                <w:bCs/>
                <w:szCs w:val="22"/>
                <w:lang w:eastAsia="en-US"/>
              </w:rPr>
              <w:t>201</w:t>
            </w:r>
            <w:r w:rsidR="0040348D" w:rsidRPr="000C7171">
              <w:rPr>
                <w:rFonts w:cs="Arial"/>
                <w:b/>
                <w:bCs/>
                <w:szCs w:val="22"/>
                <w:lang w:eastAsia="en-US"/>
              </w:rPr>
              <w:t>2</w:t>
            </w:r>
            <w:r w:rsidRPr="000C7171">
              <w:rPr>
                <w:rFonts w:cs="Arial"/>
                <w:b/>
                <w:bCs/>
                <w:szCs w:val="22"/>
                <w:lang w:eastAsia="en-US"/>
              </w:rPr>
              <w:t>-2014</w:t>
            </w:r>
            <w:r w:rsidR="0040348D" w:rsidRPr="000C7171">
              <w:rPr>
                <w:rFonts w:cs="Arial"/>
                <w:b/>
                <w:bCs/>
                <w:szCs w:val="22"/>
                <w:lang w:eastAsia="en-US"/>
              </w:rPr>
              <w:t xml:space="preserve">?  </w:t>
            </w: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010D3B" w:rsidRPr="000C7171" w:rsidRDefault="00010D3B" w:rsidP="0055680E">
            <w:pPr>
              <w:spacing w:before="0" w:after="0"/>
              <w:jc w:val="center"/>
              <w:rPr>
                <w:rFonts w:cs="Arial"/>
                <w:b/>
                <w:bCs/>
                <w:szCs w:val="22"/>
                <w:lang w:eastAsia="en-US"/>
              </w:rPr>
            </w:pPr>
          </w:p>
        </w:tc>
      </w:tr>
      <w:tr w:rsidR="00CC00AC" w:rsidRPr="000C7171" w:rsidTr="0055680E">
        <w:trPr>
          <w:trHeight w:val="687"/>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10D3B" w:rsidRPr="00C94503" w:rsidRDefault="00811197" w:rsidP="00AD1B99">
            <w:pPr>
              <w:spacing w:before="0" w:after="0"/>
              <w:rPr>
                <w:rFonts w:cs="Arial"/>
                <w:szCs w:val="22"/>
                <w:lang w:val="fr-CH" w:eastAsia="en-US"/>
              </w:rPr>
            </w:pPr>
            <w:r w:rsidRPr="00C94503">
              <w:rPr>
                <w:rFonts w:cs="Arial"/>
                <w:szCs w:val="22"/>
                <w:lang w:val="fr-CH" w:eastAsia="en-US"/>
              </w:rPr>
              <w:t xml:space="preserve">EU contribution per EU </w:t>
            </w:r>
            <w:r w:rsidR="00010D3B" w:rsidRPr="00C94503">
              <w:rPr>
                <w:rFonts w:cs="Arial"/>
                <w:szCs w:val="22"/>
                <w:lang w:val="fr-CH" w:eastAsia="en-US"/>
              </w:rPr>
              <w:t>pupil</w:t>
            </w:r>
          </w:p>
        </w:tc>
        <w:tc>
          <w:tcPr>
            <w:tcW w:w="1073" w:type="dxa"/>
            <w:tcBorders>
              <w:top w:val="nil"/>
              <w:left w:val="nil"/>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11</w:t>
            </w:r>
            <w:r w:rsidR="00811197" w:rsidRPr="000C7171">
              <w:rPr>
                <w:rFonts w:cs="Arial"/>
                <w:szCs w:val="22"/>
                <w:lang w:eastAsia="en-US"/>
              </w:rPr>
              <w:t>,</w:t>
            </w:r>
            <w:r w:rsidRPr="000C7171">
              <w:rPr>
                <w:rFonts w:cs="Arial"/>
                <w:szCs w:val="22"/>
                <w:lang w:eastAsia="en-US"/>
              </w:rPr>
              <w:t>035</w:t>
            </w:r>
          </w:p>
        </w:tc>
        <w:tc>
          <w:tcPr>
            <w:tcW w:w="960" w:type="dxa"/>
            <w:tcBorders>
              <w:top w:val="nil"/>
              <w:left w:val="nil"/>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10</w:t>
            </w:r>
            <w:r w:rsidR="00811197" w:rsidRPr="000C7171">
              <w:rPr>
                <w:rFonts w:cs="Arial"/>
                <w:szCs w:val="22"/>
                <w:lang w:eastAsia="en-US"/>
              </w:rPr>
              <w:t>,</w:t>
            </w:r>
            <w:r w:rsidRPr="000C7171">
              <w:rPr>
                <w:rFonts w:cs="Arial"/>
                <w:szCs w:val="22"/>
                <w:lang w:eastAsia="en-US"/>
              </w:rPr>
              <w:t>975</w:t>
            </w:r>
          </w:p>
        </w:tc>
        <w:tc>
          <w:tcPr>
            <w:tcW w:w="960" w:type="dxa"/>
            <w:tcBorders>
              <w:top w:val="nil"/>
              <w:left w:val="nil"/>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10</w:t>
            </w:r>
            <w:r w:rsidR="00811197" w:rsidRPr="000C7171">
              <w:rPr>
                <w:rFonts w:cs="Arial"/>
                <w:szCs w:val="22"/>
                <w:lang w:eastAsia="en-US"/>
              </w:rPr>
              <w:t>,</w:t>
            </w:r>
            <w:r w:rsidRPr="000C7171">
              <w:rPr>
                <w:rFonts w:cs="Arial"/>
                <w:szCs w:val="22"/>
                <w:lang w:eastAsia="en-US"/>
              </w:rPr>
              <w:t>302</w:t>
            </w:r>
          </w:p>
        </w:tc>
        <w:tc>
          <w:tcPr>
            <w:tcW w:w="1480" w:type="dxa"/>
            <w:tcBorders>
              <w:top w:val="nil"/>
              <w:left w:val="nil"/>
              <w:bottom w:val="single" w:sz="4" w:space="0" w:color="000000"/>
              <w:right w:val="single" w:sz="4" w:space="0" w:color="000000"/>
            </w:tcBorders>
            <w:shd w:val="clear" w:color="auto" w:fill="auto"/>
            <w:vAlign w:val="bottom"/>
            <w:hideMark/>
          </w:tcPr>
          <w:p w:rsidR="00010D3B" w:rsidRPr="000C7171" w:rsidRDefault="00010D3B" w:rsidP="0055680E">
            <w:pPr>
              <w:spacing w:before="0" w:after="0"/>
              <w:jc w:val="center"/>
              <w:rPr>
                <w:rFonts w:cs="Arial"/>
                <w:szCs w:val="22"/>
                <w:lang w:eastAsia="en-US"/>
              </w:rPr>
            </w:pPr>
            <w:r w:rsidRPr="000C7171">
              <w:rPr>
                <w:rFonts w:cs="Arial"/>
                <w:szCs w:val="22"/>
                <w:lang w:eastAsia="en-US"/>
              </w:rPr>
              <w:t>-673</w:t>
            </w:r>
          </w:p>
        </w:tc>
        <w:tc>
          <w:tcPr>
            <w:tcW w:w="1197" w:type="dxa"/>
            <w:tcBorders>
              <w:top w:val="nil"/>
              <w:left w:val="nil"/>
              <w:bottom w:val="single" w:sz="4" w:space="0" w:color="000000"/>
              <w:right w:val="single" w:sz="4" w:space="0" w:color="000000"/>
            </w:tcBorders>
            <w:shd w:val="clear" w:color="auto" w:fill="auto"/>
            <w:vAlign w:val="bottom"/>
            <w:hideMark/>
          </w:tcPr>
          <w:p w:rsidR="00010D3B" w:rsidRPr="000C7171" w:rsidRDefault="00811197" w:rsidP="0055680E">
            <w:pPr>
              <w:spacing w:before="0" w:after="0"/>
              <w:jc w:val="center"/>
              <w:rPr>
                <w:rFonts w:cs="Arial"/>
                <w:szCs w:val="22"/>
                <w:lang w:eastAsia="en-US"/>
              </w:rPr>
            </w:pPr>
            <w:r w:rsidRPr="000C7171">
              <w:rPr>
                <w:rFonts w:cs="Arial"/>
                <w:szCs w:val="22"/>
                <w:lang w:eastAsia="en-US"/>
              </w:rPr>
              <w:t>-6.</w:t>
            </w:r>
            <w:r w:rsidR="00010D3B" w:rsidRPr="000C7171">
              <w:rPr>
                <w:rFonts w:cs="Arial"/>
                <w:szCs w:val="22"/>
                <w:lang w:eastAsia="en-US"/>
              </w:rPr>
              <w:t>13%</w:t>
            </w:r>
          </w:p>
        </w:tc>
      </w:tr>
      <w:tr w:rsidR="00CC00AC" w:rsidRPr="000C7171" w:rsidTr="0055680E">
        <w:trPr>
          <w:trHeight w:val="360"/>
        </w:trPr>
        <w:tc>
          <w:tcPr>
            <w:tcW w:w="2567" w:type="dxa"/>
            <w:tcBorders>
              <w:top w:val="nil"/>
              <w:left w:val="single" w:sz="4" w:space="0" w:color="000000"/>
              <w:bottom w:val="nil"/>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Cat</w:t>
            </w:r>
            <w:r w:rsidR="00811197" w:rsidRPr="000C7171">
              <w:rPr>
                <w:rFonts w:cs="Arial"/>
                <w:szCs w:val="22"/>
                <w:lang w:eastAsia="en-US"/>
              </w:rPr>
              <w:t>.</w:t>
            </w:r>
            <w:r w:rsidRPr="000C7171">
              <w:rPr>
                <w:rFonts w:cs="Arial"/>
                <w:szCs w:val="22"/>
                <w:lang w:eastAsia="en-US"/>
              </w:rPr>
              <w:t xml:space="preserve"> I</w:t>
            </w:r>
          </w:p>
        </w:tc>
        <w:tc>
          <w:tcPr>
            <w:tcW w:w="107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14</w:t>
            </w:r>
            <w:r w:rsidR="00811197" w:rsidRPr="000C7171">
              <w:rPr>
                <w:rFonts w:cs="Arial"/>
                <w:szCs w:val="22"/>
                <w:lang w:eastAsia="en-US"/>
              </w:rPr>
              <w:t>,</w:t>
            </w:r>
            <w:r w:rsidRPr="000C7171">
              <w:rPr>
                <w:rFonts w:cs="Arial"/>
                <w:szCs w:val="22"/>
                <w:lang w:eastAsia="en-US"/>
              </w:rPr>
              <w:t>987</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15</w:t>
            </w:r>
            <w:r w:rsidR="00811197" w:rsidRPr="000C7171">
              <w:rPr>
                <w:rFonts w:cs="Arial"/>
                <w:szCs w:val="22"/>
                <w:lang w:eastAsia="en-US"/>
              </w:rPr>
              <w:t>,</w:t>
            </w:r>
            <w:r w:rsidRPr="000C7171">
              <w:rPr>
                <w:rFonts w:cs="Arial"/>
                <w:szCs w:val="22"/>
                <w:lang w:eastAsia="en-US"/>
              </w:rPr>
              <w:t>967</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AD1B99">
            <w:pPr>
              <w:spacing w:before="0" w:after="0"/>
              <w:rPr>
                <w:rFonts w:cs="Arial"/>
                <w:szCs w:val="22"/>
                <w:lang w:eastAsia="en-US"/>
              </w:rPr>
            </w:pPr>
            <w:r w:rsidRPr="000C7171">
              <w:rPr>
                <w:rFonts w:cs="Arial"/>
                <w:szCs w:val="22"/>
                <w:lang w:eastAsia="en-US"/>
              </w:rPr>
              <w:t>16</w:t>
            </w:r>
            <w:r w:rsidR="00811197" w:rsidRPr="000C7171">
              <w:rPr>
                <w:rFonts w:cs="Arial"/>
                <w:szCs w:val="22"/>
                <w:lang w:eastAsia="en-US"/>
              </w:rPr>
              <w:t>,</w:t>
            </w:r>
            <w:r w:rsidRPr="000C7171">
              <w:rPr>
                <w:rFonts w:cs="Arial"/>
                <w:szCs w:val="22"/>
                <w:lang w:eastAsia="en-US"/>
              </w:rPr>
              <w:t>411</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0D3B" w:rsidRPr="000C7171" w:rsidRDefault="00010D3B" w:rsidP="0055680E">
            <w:pPr>
              <w:spacing w:before="0" w:after="0"/>
              <w:jc w:val="center"/>
              <w:rPr>
                <w:rFonts w:cs="Arial"/>
                <w:szCs w:val="22"/>
                <w:lang w:eastAsia="en-US"/>
              </w:rPr>
            </w:pPr>
            <w:r w:rsidRPr="000C7171">
              <w:rPr>
                <w:rFonts w:cs="Arial"/>
                <w:szCs w:val="22"/>
                <w:lang w:eastAsia="en-US"/>
              </w:rPr>
              <w:t>444</w:t>
            </w:r>
          </w:p>
        </w:tc>
        <w:tc>
          <w:tcPr>
            <w:tcW w:w="119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010D3B" w:rsidRPr="000C7171" w:rsidRDefault="00811197" w:rsidP="0055680E">
            <w:pPr>
              <w:spacing w:before="0" w:after="0"/>
              <w:jc w:val="center"/>
              <w:rPr>
                <w:rFonts w:cs="Arial"/>
                <w:szCs w:val="22"/>
                <w:lang w:eastAsia="en-US"/>
              </w:rPr>
            </w:pPr>
            <w:r w:rsidRPr="000C7171">
              <w:rPr>
                <w:rFonts w:cs="Arial"/>
                <w:szCs w:val="22"/>
                <w:lang w:eastAsia="en-US"/>
              </w:rPr>
              <w:t>2.</w:t>
            </w:r>
            <w:r w:rsidR="00010D3B" w:rsidRPr="000C7171">
              <w:rPr>
                <w:rFonts w:cs="Arial"/>
                <w:szCs w:val="22"/>
                <w:lang w:eastAsia="en-US"/>
              </w:rPr>
              <w:t>78%</w:t>
            </w:r>
          </w:p>
        </w:tc>
      </w:tr>
      <w:tr w:rsidR="00CC00AC" w:rsidRPr="000C7171" w:rsidTr="0055680E">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010D3B" w:rsidRPr="000C7171" w:rsidRDefault="00811197" w:rsidP="00AD1B99">
            <w:pPr>
              <w:spacing w:before="0" w:after="0"/>
              <w:rPr>
                <w:rFonts w:cs="Arial"/>
                <w:szCs w:val="22"/>
                <w:lang w:eastAsia="en-US"/>
              </w:rPr>
            </w:pPr>
            <w:r w:rsidRPr="000C7171">
              <w:rPr>
                <w:rFonts w:cs="Arial"/>
                <w:szCs w:val="22"/>
                <w:lang w:eastAsia="en-US"/>
              </w:rPr>
              <w:t xml:space="preserve">EU </w:t>
            </w:r>
            <w:r w:rsidR="00010D3B" w:rsidRPr="000C7171">
              <w:rPr>
                <w:rFonts w:cs="Arial"/>
                <w:szCs w:val="22"/>
                <w:lang w:eastAsia="en-US"/>
              </w:rPr>
              <w:t>pupils</w:t>
            </w:r>
          </w:p>
        </w:tc>
        <w:tc>
          <w:tcPr>
            <w:tcW w:w="1073" w:type="dxa"/>
            <w:vMerge/>
            <w:tcBorders>
              <w:top w:val="nil"/>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szCs w:val="22"/>
                <w:lang w:eastAsia="en-US"/>
              </w:rPr>
            </w:pPr>
          </w:p>
        </w:tc>
        <w:tc>
          <w:tcPr>
            <w:tcW w:w="960" w:type="dxa"/>
            <w:vMerge/>
            <w:tcBorders>
              <w:top w:val="nil"/>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szCs w:val="22"/>
                <w:lang w:eastAsia="en-US"/>
              </w:rPr>
            </w:pPr>
          </w:p>
        </w:tc>
        <w:tc>
          <w:tcPr>
            <w:tcW w:w="960" w:type="dxa"/>
            <w:vMerge/>
            <w:tcBorders>
              <w:top w:val="nil"/>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szCs w:val="22"/>
                <w:lang w:eastAsia="en-US"/>
              </w:rPr>
            </w:pPr>
          </w:p>
        </w:tc>
        <w:tc>
          <w:tcPr>
            <w:tcW w:w="1480" w:type="dxa"/>
            <w:vMerge/>
            <w:tcBorders>
              <w:top w:val="nil"/>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szCs w:val="22"/>
                <w:lang w:eastAsia="en-US"/>
              </w:rPr>
            </w:pPr>
          </w:p>
        </w:tc>
        <w:tc>
          <w:tcPr>
            <w:tcW w:w="1197" w:type="dxa"/>
            <w:vMerge/>
            <w:tcBorders>
              <w:top w:val="nil"/>
              <w:left w:val="single" w:sz="4" w:space="0" w:color="000000"/>
              <w:bottom w:val="single" w:sz="4" w:space="0" w:color="000000"/>
              <w:right w:val="single" w:sz="4" w:space="0" w:color="000000"/>
            </w:tcBorders>
            <w:vAlign w:val="center"/>
            <w:hideMark/>
          </w:tcPr>
          <w:p w:rsidR="00010D3B" w:rsidRPr="000C7171" w:rsidRDefault="00010D3B" w:rsidP="00AD1B99">
            <w:pPr>
              <w:spacing w:before="0" w:after="0"/>
              <w:rPr>
                <w:rFonts w:cs="Arial"/>
                <w:szCs w:val="22"/>
                <w:lang w:eastAsia="en-US"/>
              </w:rPr>
            </w:pPr>
          </w:p>
        </w:tc>
      </w:tr>
    </w:tbl>
    <w:p w:rsidR="00010D3B" w:rsidRDefault="00010D3B" w:rsidP="00AD1B99">
      <w:pPr>
        <w:spacing w:before="0" w:after="0"/>
        <w:rPr>
          <w:rFonts w:cs="Arial"/>
          <w:szCs w:val="22"/>
        </w:rPr>
      </w:pPr>
    </w:p>
    <w:p w:rsidR="00625976" w:rsidRPr="000C7171" w:rsidRDefault="00625976" w:rsidP="00AD1B99">
      <w:pPr>
        <w:spacing w:before="0" w:after="0"/>
        <w:rPr>
          <w:rFonts w:cs="Arial"/>
          <w:szCs w:val="22"/>
        </w:rPr>
      </w:pPr>
    </w:p>
    <w:p w:rsidR="00C82B79" w:rsidRPr="000C7171" w:rsidRDefault="00EB55E3" w:rsidP="00026407">
      <w:pPr>
        <w:spacing w:before="0" w:after="0"/>
        <w:rPr>
          <w:rFonts w:cs="Arial"/>
          <w:szCs w:val="22"/>
        </w:rPr>
      </w:pPr>
      <w:r w:rsidRPr="000C7171">
        <w:rPr>
          <w:rFonts w:cs="Arial"/>
          <w:szCs w:val="22"/>
        </w:rPr>
        <w:t xml:space="preserve">The </w:t>
      </w:r>
      <w:r w:rsidR="00D65760" w:rsidRPr="000C7171">
        <w:rPr>
          <w:rFonts w:cs="Arial"/>
          <w:szCs w:val="22"/>
        </w:rPr>
        <w:t>‘</w:t>
      </w:r>
      <w:r w:rsidRPr="000C7171">
        <w:rPr>
          <w:rFonts w:cs="Arial"/>
          <w:bCs/>
          <w:szCs w:val="22"/>
        </w:rPr>
        <w:t>Organisation of studies in the secondary cycle</w:t>
      </w:r>
      <w:r w:rsidR="00D65760" w:rsidRPr="000C7171">
        <w:rPr>
          <w:rFonts w:cs="Arial"/>
          <w:bCs/>
          <w:szCs w:val="22"/>
        </w:rPr>
        <w:t>’</w:t>
      </w:r>
      <w:r w:rsidRPr="000C7171">
        <w:rPr>
          <w:rFonts w:cs="Arial"/>
          <w:bCs/>
          <w:szCs w:val="22"/>
        </w:rPr>
        <w:t xml:space="preserve"> Working Group presented </w:t>
      </w:r>
      <w:r w:rsidR="00D56790" w:rsidRPr="000C7171">
        <w:rPr>
          <w:rFonts w:cs="Arial"/>
          <w:bCs/>
          <w:szCs w:val="22"/>
        </w:rPr>
        <w:t xml:space="preserve">its </w:t>
      </w:r>
      <w:r w:rsidR="00D65760" w:rsidRPr="000C7171">
        <w:rPr>
          <w:rFonts w:cs="Arial"/>
          <w:bCs/>
          <w:szCs w:val="22"/>
        </w:rPr>
        <w:t>interim report at</w:t>
      </w:r>
      <w:r w:rsidRPr="000C7171">
        <w:rPr>
          <w:rFonts w:cs="Arial"/>
          <w:bCs/>
          <w:szCs w:val="22"/>
        </w:rPr>
        <w:t xml:space="preserve"> the April </w:t>
      </w:r>
      <w:r w:rsidR="001825B0" w:rsidRPr="000C7171">
        <w:rPr>
          <w:rFonts w:cs="Arial"/>
          <w:bCs/>
          <w:szCs w:val="22"/>
        </w:rPr>
        <w:t>2013</w:t>
      </w:r>
      <w:r w:rsidR="00D65760" w:rsidRPr="000C7171">
        <w:rPr>
          <w:rFonts w:cs="Arial"/>
          <w:bCs/>
          <w:szCs w:val="22"/>
        </w:rPr>
        <w:t xml:space="preserve"> </w:t>
      </w:r>
      <w:r w:rsidRPr="000C7171">
        <w:rPr>
          <w:rFonts w:cs="Arial"/>
          <w:bCs/>
          <w:szCs w:val="22"/>
        </w:rPr>
        <w:t>meeting of the Board of Governors.</w:t>
      </w:r>
      <w:r w:rsidR="00D65760" w:rsidRPr="000C7171">
        <w:rPr>
          <w:rFonts w:cs="Arial"/>
          <w:bCs/>
          <w:szCs w:val="22"/>
        </w:rPr>
        <w:t xml:space="preserve"> </w:t>
      </w:r>
      <w:r w:rsidR="00D65760" w:rsidRPr="000C7171">
        <w:rPr>
          <w:rFonts w:cs="Arial"/>
          <w:szCs w:val="22"/>
        </w:rPr>
        <w:t xml:space="preserve">The mandate of the </w:t>
      </w:r>
      <w:r w:rsidR="00C82B79" w:rsidRPr="000C7171">
        <w:rPr>
          <w:rFonts w:cs="Arial"/>
          <w:szCs w:val="22"/>
        </w:rPr>
        <w:t xml:space="preserve">Working </w:t>
      </w:r>
      <w:r w:rsidR="00C82B79" w:rsidRPr="00625976">
        <w:rPr>
          <w:rFonts w:cs="Arial"/>
          <w:szCs w:val="22"/>
        </w:rPr>
        <w:t>Group</w:t>
      </w:r>
      <w:r w:rsidR="00C82B79" w:rsidRPr="00625976">
        <w:rPr>
          <w:rFonts w:cs="Arial"/>
          <w:iCs/>
          <w:szCs w:val="22"/>
        </w:rPr>
        <w:t xml:space="preserve"> has been</w:t>
      </w:r>
      <w:r w:rsidR="00C82B79" w:rsidRPr="000C7171">
        <w:rPr>
          <w:rFonts w:cs="Arial"/>
          <w:i/>
          <w:iCs/>
          <w:szCs w:val="22"/>
        </w:rPr>
        <w:t xml:space="preserve"> to draft of a proposal for the new structure of studies in the secondary cycle, in order to improve its flexibility and efficiency, and for the financial aspects, as specified in the cost sharing debate.</w:t>
      </w:r>
    </w:p>
    <w:p w:rsidR="00EB55E3" w:rsidRPr="000C7171" w:rsidRDefault="00EB55E3" w:rsidP="00026407">
      <w:pPr>
        <w:spacing w:before="0" w:after="0"/>
        <w:rPr>
          <w:rFonts w:cs="Arial"/>
          <w:szCs w:val="22"/>
        </w:rPr>
      </w:pPr>
    </w:p>
    <w:p w:rsidR="001235EB" w:rsidRPr="000C7171" w:rsidRDefault="00CF7A8E" w:rsidP="00026407">
      <w:pPr>
        <w:spacing w:before="0" w:after="0"/>
        <w:rPr>
          <w:rFonts w:cs="Arial"/>
          <w:szCs w:val="22"/>
        </w:rPr>
      </w:pPr>
      <w:r w:rsidRPr="000C7171">
        <w:rPr>
          <w:rFonts w:cs="Arial"/>
          <w:szCs w:val="22"/>
        </w:rPr>
        <w:t xml:space="preserve">If </w:t>
      </w:r>
      <w:r w:rsidR="00811197" w:rsidRPr="000C7171">
        <w:rPr>
          <w:rFonts w:cs="Arial"/>
          <w:szCs w:val="22"/>
        </w:rPr>
        <w:t>no alternative solutions are</w:t>
      </w:r>
      <w:r w:rsidRPr="000C7171">
        <w:rPr>
          <w:rFonts w:cs="Arial"/>
          <w:szCs w:val="22"/>
        </w:rPr>
        <w:t xml:space="preserve"> found</w:t>
      </w:r>
      <w:r w:rsidR="00D65760" w:rsidRPr="000C7171">
        <w:rPr>
          <w:rFonts w:cs="Arial"/>
          <w:szCs w:val="22"/>
        </w:rPr>
        <w:t xml:space="preserve"> </w:t>
      </w:r>
      <w:r w:rsidR="0055680E" w:rsidRPr="000C7171">
        <w:rPr>
          <w:rFonts w:cs="Arial"/>
          <w:szCs w:val="22"/>
        </w:rPr>
        <w:t>for funding and cost sharing</w:t>
      </w:r>
      <w:r w:rsidRPr="000C7171">
        <w:rPr>
          <w:rFonts w:cs="Arial"/>
          <w:szCs w:val="22"/>
        </w:rPr>
        <w:t xml:space="preserve">, the </w:t>
      </w:r>
      <w:r w:rsidR="001E7CF4" w:rsidRPr="000C7171">
        <w:rPr>
          <w:rFonts w:cs="Arial"/>
          <w:szCs w:val="22"/>
        </w:rPr>
        <w:t>European School system</w:t>
      </w:r>
      <w:r w:rsidR="00010D3B" w:rsidRPr="000C7171">
        <w:rPr>
          <w:rFonts w:cs="Arial"/>
          <w:szCs w:val="22"/>
        </w:rPr>
        <w:t xml:space="preserve"> would be</w:t>
      </w:r>
      <w:r w:rsidRPr="000C7171">
        <w:rPr>
          <w:rFonts w:cs="Arial"/>
          <w:szCs w:val="22"/>
        </w:rPr>
        <w:t xml:space="preserve"> obliged to lo</w:t>
      </w:r>
      <w:r w:rsidR="00811197" w:rsidRPr="000C7171">
        <w:rPr>
          <w:rFonts w:cs="Arial"/>
          <w:szCs w:val="22"/>
        </w:rPr>
        <w:t xml:space="preserve">ok for new </w:t>
      </w:r>
      <w:r w:rsidR="004C04D6" w:rsidRPr="000C7171">
        <w:rPr>
          <w:rFonts w:cs="Arial"/>
          <w:szCs w:val="22"/>
        </w:rPr>
        <w:t xml:space="preserve">savings </w:t>
      </w:r>
      <w:r w:rsidR="00811197" w:rsidRPr="000C7171">
        <w:rPr>
          <w:rFonts w:cs="Arial"/>
          <w:szCs w:val="22"/>
        </w:rPr>
        <w:t xml:space="preserve">in order to find funding </w:t>
      </w:r>
      <w:r w:rsidR="00010D3B" w:rsidRPr="000C7171">
        <w:rPr>
          <w:rFonts w:cs="Arial"/>
          <w:szCs w:val="22"/>
        </w:rPr>
        <w:t>to pay the costs of the teachers who will not be provided by the UK or other Member States.</w:t>
      </w:r>
    </w:p>
    <w:p w:rsidR="00811197" w:rsidRDefault="00811197"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Default="00625976" w:rsidP="00026407">
      <w:pPr>
        <w:spacing w:before="0" w:after="0"/>
        <w:rPr>
          <w:rFonts w:cs="Arial"/>
          <w:sz w:val="24"/>
          <w:szCs w:val="24"/>
        </w:rPr>
      </w:pPr>
    </w:p>
    <w:p w:rsidR="00625976" w:rsidRPr="000C7171" w:rsidRDefault="00625976" w:rsidP="00026407">
      <w:pPr>
        <w:spacing w:before="0" w:after="0"/>
        <w:rPr>
          <w:rFonts w:cs="Arial"/>
          <w:sz w:val="24"/>
          <w:szCs w:val="24"/>
        </w:rPr>
      </w:pPr>
    </w:p>
    <w:p w:rsidR="004C04D6" w:rsidRPr="000C7171" w:rsidRDefault="004C04D6" w:rsidP="00026407">
      <w:pPr>
        <w:spacing w:before="0" w:after="0"/>
        <w:rPr>
          <w:rFonts w:cs="Arial"/>
          <w:sz w:val="24"/>
          <w:szCs w:val="24"/>
        </w:rPr>
      </w:pPr>
    </w:p>
    <w:p w:rsidR="00E04D80" w:rsidRPr="000C7171" w:rsidRDefault="00670BF8" w:rsidP="00625976">
      <w:pPr>
        <w:spacing w:before="0" w:after="0"/>
        <w:ind w:left="720"/>
        <w:rPr>
          <w:rFonts w:cs="Arial"/>
          <w:b/>
          <w:sz w:val="24"/>
          <w:szCs w:val="24"/>
        </w:rPr>
      </w:pPr>
      <w:r w:rsidRPr="000C7171">
        <w:rPr>
          <w:rFonts w:cs="Arial"/>
          <w:b/>
          <w:sz w:val="24"/>
          <w:szCs w:val="24"/>
        </w:rPr>
        <w:t>8</w:t>
      </w:r>
      <w:r w:rsidR="00E04D80" w:rsidRPr="000C7171">
        <w:rPr>
          <w:rFonts w:cs="Arial"/>
          <w:b/>
          <w:sz w:val="24"/>
          <w:szCs w:val="24"/>
        </w:rPr>
        <w:t xml:space="preserve">. </w:t>
      </w:r>
      <w:r w:rsidR="00010D3B" w:rsidRPr="000C7171">
        <w:rPr>
          <w:rFonts w:cs="Arial"/>
          <w:b/>
          <w:sz w:val="24"/>
          <w:szCs w:val="24"/>
        </w:rPr>
        <w:t>PROPOSAL</w:t>
      </w:r>
    </w:p>
    <w:p w:rsidR="005E0CF8" w:rsidRPr="000C7171" w:rsidRDefault="005E0CF8" w:rsidP="00026407">
      <w:pPr>
        <w:spacing w:before="0" w:after="0"/>
        <w:ind w:left="357"/>
        <w:rPr>
          <w:rFonts w:cs="Arial"/>
          <w:b/>
          <w:szCs w:val="22"/>
        </w:rPr>
      </w:pPr>
    </w:p>
    <w:p w:rsidR="00010D3B" w:rsidRPr="000C7171" w:rsidRDefault="00625976" w:rsidP="00026407">
      <w:pPr>
        <w:spacing w:before="0" w:after="0"/>
        <w:rPr>
          <w:rFonts w:cs="Arial"/>
          <w:szCs w:val="22"/>
        </w:rPr>
      </w:pPr>
      <w:r>
        <w:rPr>
          <w:rFonts w:cs="Arial"/>
          <w:szCs w:val="22"/>
        </w:rPr>
        <w:t>The Board of Governors needs to</w:t>
      </w:r>
      <w:r w:rsidR="00E04D80" w:rsidRPr="000C7171">
        <w:rPr>
          <w:rFonts w:cs="Arial"/>
          <w:szCs w:val="22"/>
        </w:rPr>
        <w:t xml:space="preserve"> decide which option should be prepared</w:t>
      </w:r>
      <w:r w:rsidR="005E0CF8" w:rsidRPr="000C7171">
        <w:rPr>
          <w:rFonts w:cs="Arial"/>
          <w:szCs w:val="22"/>
        </w:rPr>
        <w:t xml:space="preserve"> further with a view to</w:t>
      </w:r>
      <w:r w:rsidR="00D65760" w:rsidRPr="000C7171">
        <w:rPr>
          <w:rFonts w:cs="Arial"/>
          <w:szCs w:val="22"/>
        </w:rPr>
        <w:t xml:space="preserve"> its</w:t>
      </w:r>
      <w:r w:rsidR="005E0CF8" w:rsidRPr="000C7171">
        <w:rPr>
          <w:rFonts w:cs="Arial"/>
          <w:szCs w:val="22"/>
        </w:rPr>
        <w:t xml:space="preserve"> discussion at</w:t>
      </w:r>
      <w:r w:rsidR="00E04D80" w:rsidRPr="000C7171">
        <w:rPr>
          <w:rFonts w:cs="Arial"/>
          <w:szCs w:val="22"/>
        </w:rPr>
        <w:t xml:space="preserve"> the ex</w:t>
      </w:r>
      <w:r w:rsidR="009C35B6" w:rsidRPr="000C7171">
        <w:rPr>
          <w:rFonts w:cs="Arial"/>
          <w:szCs w:val="22"/>
        </w:rPr>
        <w:t>traordinary Board of Governors</w:t>
      </w:r>
      <w:r w:rsidR="005E0CF8" w:rsidRPr="000C7171">
        <w:rPr>
          <w:rFonts w:cs="Arial"/>
          <w:szCs w:val="22"/>
        </w:rPr>
        <w:t>’</w:t>
      </w:r>
      <w:r w:rsidR="00D65760" w:rsidRPr="000C7171">
        <w:rPr>
          <w:rFonts w:cs="Arial"/>
          <w:szCs w:val="22"/>
        </w:rPr>
        <w:t xml:space="preserve"> </w:t>
      </w:r>
      <w:r>
        <w:rPr>
          <w:rFonts w:cs="Arial"/>
          <w:szCs w:val="22"/>
        </w:rPr>
        <w:t>meeting that</w:t>
      </w:r>
      <w:r w:rsidR="00E04D80" w:rsidRPr="000C7171">
        <w:rPr>
          <w:rFonts w:cs="Arial"/>
          <w:szCs w:val="22"/>
        </w:rPr>
        <w:t xml:space="preserve"> will take place during the Education Council in November:</w:t>
      </w:r>
    </w:p>
    <w:p w:rsidR="005E0CF8" w:rsidRPr="000C7171" w:rsidRDefault="005E0CF8" w:rsidP="00026407">
      <w:pPr>
        <w:spacing w:before="0" w:after="0"/>
        <w:rPr>
          <w:rFonts w:cs="Arial"/>
          <w:szCs w:val="22"/>
        </w:rPr>
      </w:pPr>
    </w:p>
    <w:p w:rsidR="00010D3B" w:rsidRPr="000C7171" w:rsidRDefault="00010D3B" w:rsidP="00026407">
      <w:pPr>
        <w:pStyle w:val="ListParagraph"/>
        <w:numPr>
          <w:ilvl w:val="0"/>
          <w:numId w:val="14"/>
        </w:numPr>
        <w:spacing w:before="0" w:after="0"/>
        <w:rPr>
          <w:rFonts w:cs="Arial"/>
          <w:szCs w:val="22"/>
        </w:rPr>
      </w:pPr>
      <w:r w:rsidRPr="000C7171">
        <w:rPr>
          <w:rFonts w:cs="Arial"/>
          <w:szCs w:val="22"/>
        </w:rPr>
        <w:t xml:space="preserve">The </w:t>
      </w:r>
      <w:r w:rsidR="005E0CF8" w:rsidRPr="000C7171">
        <w:rPr>
          <w:rFonts w:cs="Arial"/>
          <w:szCs w:val="22"/>
        </w:rPr>
        <w:t>UK proposal (A</w:t>
      </w:r>
      <w:r w:rsidR="00BB5EA4" w:rsidRPr="000C7171">
        <w:rPr>
          <w:rFonts w:cs="Arial"/>
          <w:szCs w:val="22"/>
        </w:rPr>
        <w:t xml:space="preserve">nnex </w:t>
      </w:r>
      <w:r w:rsidR="00D56790" w:rsidRPr="000C7171">
        <w:rPr>
          <w:rFonts w:cs="Arial"/>
          <w:szCs w:val="22"/>
        </w:rPr>
        <w:t>IV</w:t>
      </w:r>
      <w:r w:rsidR="00E04D80" w:rsidRPr="000C7171">
        <w:rPr>
          <w:rFonts w:cs="Arial"/>
          <w:szCs w:val="22"/>
        </w:rPr>
        <w:t>), or</w:t>
      </w:r>
    </w:p>
    <w:p w:rsidR="00010D3B" w:rsidRPr="000C7171" w:rsidRDefault="005E0CF8" w:rsidP="00026407">
      <w:pPr>
        <w:pStyle w:val="ListParagraph"/>
        <w:numPr>
          <w:ilvl w:val="0"/>
          <w:numId w:val="14"/>
        </w:numPr>
        <w:spacing w:before="0" w:after="0"/>
        <w:rPr>
          <w:rFonts w:cs="Arial"/>
          <w:szCs w:val="22"/>
        </w:rPr>
      </w:pPr>
      <w:r w:rsidRPr="000C7171">
        <w:rPr>
          <w:rFonts w:cs="Arial"/>
          <w:szCs w:val="22"/>
        </w:rPr>
        <w:t xml:space="preserve">The </w:t>
      </w:r>
      <w:r w:rsidR="00487541" w:rsidRPr="000C7171">
        <w:rPr>
          <w:rFonts w:cs="Arial"/>
          <w:szCs w:val="22"/>
        </w:rPr>
        <w:t>structural model</w:t>
      </w:r>
      <w:r w:rsidRPr="000C7171">
        <w:rPr>
          <w:rFonts w:cs="Arial"/>
          <w:szCs w:val="22"/>
        </w:rPr>
        <w:t xml:space="preserve"> (A</w:t>
      </w:r>
      <w:r w:rsidR="00BB5EA4" w:rsidRPr="000C7171">
        <w:rPr>
          <w:rFonts w:cs="Arial"/>
          <w:szCs w:val="22"/>
        </w:rPr>
        <w:t xml:space="preserve">nnex </w:t>
      </w:r>
      <w:r w:rsidR="00D56790" w:rsidRPr="000C7171">
        <w:rPr>
          <w:rFonts w:cs="Arial"/>
          <w:szCs w:val="22"/>
        </w:rPr>
        <w:t>V</w:t>
      </w:r>
      <w:r w:rsidR="00010D3B" w:rsidRPr="000C7171">
        <w:rPr>
          <w:rFonts w:cs="Arial"/>
          <w:szCs w:val="22"/>
        </w:rPr>
        <w:t>)</w:t>
      </w:r>
      <w:r w:rsidR="00E04D80" w:rsidRPr="000C7171">
        <w:rPr>
          <w:rFonts w:cs="Arial"/>
          <w:szCs w:val="22"/>
        </w:rPr>
        <w:t>.</w:t>
      </w:r>
    </w:p>
    <w:p w:rsidR="005E0CF8" w:rsidRPr="000C7171" w:rsidRDefault="005E0CF8" w:rsidP="00026407">
      <w:pPr>
        <w:spacing w:before="0" w:after="0"/>
        <w:rPr>
          <w:rFonts w:cs="Arial"/>
          <w:szCs w:val="22"/>
        </w:rPr>
      </w:pPr>
    </w:p>
    <w:p w:rsidR="00D65760" w:rsidRPr="000C7171" w:rsidRDefault="00D65760" w:rsidP="00026407">
      <w:pPr>
        <w:spacing w:before="0" w:after="0"/>
        <w:rPr>
          <w:rFonts w:cs="Arial"/>
          <w:szCs w:val="22"/>
        </w:rPr>
      </w:pPr>
    </w:p>
    <w:p w:rsidR="00E04D80" w:rsidRPr="000C7171" w:rsidRDefault="00E04D80" w:rsidP="00026407">
      <w:pPr>
        <w:spacing w:before="0"/>
        <w:rPr>
          <w:rFonts w:cs="Arial"/>
          <w:szCs w:val="22"/>
        </w:rPr>
      </w:pPr>
      <w:r w:rsidRPr="000C7171">
        <w:rPr>
          <w:rFonts w:cs="Arial"/>
          <w:szCs w:val="22"/>
        </w:rPr>
        <w:t>In addition the Board of Governors</w:t>
      </w:r>
      <w:r w:rsidR="009C35B6" w:rsidRPr="000C7171">
        <w:rPr>
          <w:rFonts w:cs="Arial"/>
          <w:szCs w:val="22"/>
        </w:rPr>
        <w:t xml:space="preserve"> could </w:t>
      </w:r>
      <w:r w:rsidR="005E0CF8" w:rsidRPr="000C7171">
        <w:rPr>
          <w:rFonts w:cs="Arial"/>
          <w:szCs w:val="22"/>
        </w:rPr>
        <w:t>request</w:t>
      </w:r>
      <w:r w:rsidR="009C35B6" w:rsidRPr="000C7171">
        <w:rPr>
          <w:rFonts w:cs="Arial"/>
          <w:szCs w:val="22"/>
        </w:rPr>
        <w:t>:</w:t>
      </w:r>
    </w:p>
    <w:p w:rsidR="004C04D6" w:rsidRPr="000C7171" w:rsidRDefault="005E0CF8" w:rsidP="00026407">
      <w:pPr>
        <w:pStyle w:val="ListParagraph"/>
        <w:numPr>
          <w:ilvl w:val="1"/>
          <w:numId w:val="14"/>
        </w:numPr>
        <w:spacing w:before="0" w:after="0"/>
        <w:rPr>
          <w:rFonts w:cs="Arial"/>
          <w:szCs w:val="22"/>
        </w:rPr>
      </w:pPr>
      <w:r w:rsidRPr="000C7171">
        <w:rPr>
          <w:rFonts w:cs="Arial"/>
          <w:szCs w:val="22"/>
        </w:rPr>
        <w:t>the Secretary-General</w:t>
      </w:r>
      <w:r w:rsidR="004C04D6" w:rsidRPr="000C7171">
        <w:rPr>
          <w:rFonts w:cs="Arial"/>
          <w:szCs w:val="22"/>
        </w:rPr>
        <w:t xml:space="preserve"> to negotiate with </w:t>
      </w:r>
      <w:r w:rsidR="00EB55E3" w:rsidRPr="000C7171">
        <w:rPr>
          <w:rFonts w:cs="Arial"/>
          <w:szCs w:val="22"/>
        </w:rPr>
        <w:t xml:space="preserve">several Member States in order to open </w:t>
      </w:r>
      <w:r w:rsidR="004C04D6" w:rsidRPr="000C7171">
        <w:rPr>
          <w:rFonts w:cs="Arial"/>
          <w:szCs w:val="22"/>
        </w:rPr>
        <w:t>new language section</w:t>
      </w:r>
      <w:r w:rsidR="00EB55E3" w:rsidRPr="000C7171">
        <w:rPr>
          <w:rFonts w:cs="Arial"/>
          <w:szCs w:val="22"/>
        </w:rPr>
        <w:t>s</w:t>
      </w:r>
      <w:r w:rsidR="004C04D6" w:rsidRPr="000C7171">
        <w:rPr>
          <w:rFonts w:cs="Arial"/>
          <w:szCs w:val="22"/>
        </w:rPr>
        <w:t xml:space="preserve"> in Brussels</w:t>
      </w:r>
      <w:r w:rsidR="00D65760" w:rsidRPr="000C7171">
        <w:rPr>
          <w:rFonts w:cs="Arial"/>
          <w:szCs w:val="22"/>
        </w:rPr>
        <w:t xml:space="preserve">, </w:t>
      </w:r>
      <w:r w:rsidR="00E97419" w:rsidRPr="000C7171">
        <w:rPr>
          <w:rFonts w:cs="Arial"/>
          <w:szCs w:val="22"/>
        </w:rPr>
        <w:t>provided that the negotiation</w:t>
      </w:r>
      <w:r w:rsidR="00D65760" w:rsidRPr="000C7171">
        <w:rPr>
          <w:rFonts w:cs="Arial"/>
          <w:szCs w:val="22"/>
        </w:rPr>
        <w:t>s</w:t>
      </w:r>
      <w:r w:rsidR="00E97419" w:rsidRPr="000C7171">
        <w:rPr>
          <w:rFonts w:cs="Arial"/>
          <w:szCs w:val="22"/>
        </w:rPr>
        <w:t xml:space="preserve"> with the Belg</w:t>
      </w:r>
      <w:r w:rsidR="00D65760" w:rsidRPr="000C7171">
        <w:rPr>
          <w:rFonts w:cs="Arial"/>
          <w:szCs w:val="22"/>
        </w:rPr>
        <w:t>ian authorities concerning the fifth European S</w:t>
      </w:r>
      <w:r w:rsidR="00E97419" w:rsidRPr="000C7171">
        <w:rPr>
          <w:rFonts w:cs="Arial"/>
          <w:szCs w:val="22"/>
        </w:rPr>
        <w:t>chool progress.</w:t>
      </w:r>
    </w:p>
    <w:p w:rsidR="004C04D6" w:rsidRPr="000C7171" w:rsidRDefault="005E0CF8" w:rsidP="00026407">
      <w:pPr>
        <w:pStyle w:val="ListParagraph"/>
        <w:numPr>
          <w:ilvl w:val="1"/>
          <w:numId w:val="14"/>
        </w:numPr>
        <w:spacing w:before="0" w:after="0"/>
        <w:rPr>
          <w:rFonts w:cs="Arial"/>
          <w:szCs w:val="22"/>
        </w:rPr>
      </w:pPr>
      <w:r w:rsidRPr="000C7171">
        <w:rPr>
          <w:rFonts w:cs="Arial"/>
          <w:szCs w:val="22"/>
        </w:rPr>
        <w:t>the Secretary-General to continue negotiating</w:t>
      </w:r>
      <w:r w:rsidR="004C04D6" w:rsidRPr="000C7171">
        <w:rPr>
          <w:rFonts w:cs="Arial"/>
          <w:szCs w:val="22"/>
        </w:rPr>
        <w:t xml:space="preserve"> with </w:t>
      </w:r>
      <w:r w:rsidRPr="000C7171">
        <w:rPr>
          <w:rFonts w:cs="Arial"/>
          <w:szCs w:val="22"/>
        </w:rPr>
        <w:t xml:space="preserve">the </w:t>
      </w:r>
      <w:r w:rsidR="004C04D6" w:rsidRPr="000C7171">
        <w:rPr>
          <w:rFonts w:cs="Arial"/>
          <w:szCs w:val="22"/>
        </w:rPr>
        <w:t xml:space="preserve">Member States </w:t>
      </w:r>
      <w:r w:rsidR="00E04D80" w:rsidRPr="000C7171">
        <w:rPr>
          <w:rFonts w:cs="Arial"/>
          <w:szCs w:val="22"/>
        </w:rPr>
        <w:t xml:space="preserve">to find </w:t>
      </w:r>
      <w:r w:rsidR="004C04D6" w:rsidRPr="000C7171">
        <w:rPr>
          <w:rFonts w:cs="Arial"/>
          <w:szCs w:val="22"/>
        </w:rPr>
        <w:t xml:space="preserve">possible </w:t>
      </w:r>
      <w:r w:rsidRPr="000C7171">
        <w:rPr>
          <w:rFonts w:cs="Arial"/>
          <w:szCs w:val="22"/>
        </w:rPr>
        <w:t>new alternative sources of funding</w:t>
      </w:r>
    </w:p>
    <w:p w:rsidR="004C04D6" w:rsidRPr="000C7171" w:rsidRDefault="00F8436F" w:rsidP="00AD1B99">
      <w:pPr>
        <w:pStyle w:val="ListParagraph"/>
        <w:numPr>
          <w:ilvl w:val="1"/>
          <w:numId w:val="14"/>
        </w:numPr>
        <w:spacing w:before="0" w:after="0"/>
        <w:rPr>
          <w:rFonts w:cs="Arial"/>
          <w:szCs w:val="22"/>
        </w:rPr>
      </w:pPr>
      <w:r w:rsidRPr="000C7171">
        <w:rPr>
          <w:rFonts w:cs="Arial"/>
          <w:szCs w:val="22"/>
        </w:rPr>
        <w:t>the</w:t>
      </w:r>
      <w:r w:rsidR="00D65760" w:rsidRPr="000C7171">
        <w:rPr>
          <w:rFonts w:cs="Arial"/>
          <w:szCs w:val="22"/>
        </w:rPr>
        <w:t xml:space="preserve"> </w:t>
      </w:r>
      <w:r w:rsidRPr="000C7171">
        <w:rPr>
          <w:rFonts w:cs="Arial"/>
          <w:szCs w:val="22"/>
        </w:rPr>
        <w:t>‘Organisation of</w:t>
      </w:r>
      <w:r w:rsidR="005E0CF8" w:rsidRPr="000C7171">
        <w:rPr>
          <w:rFonts w:cs="Arial"/>
          <w:szCs w:val="22"/>
        </w:rPr>
        <w:t xml:space="preserve"> studies in the secondary cycle’ Working Group</w:t>
      </w:r>
      <w:r w:rsidR="004C04D6" w:rsidRPr="000C7171">
        <w:rPr>
          <w:rFonts w:cs="Arial"/>
          <w:szCs w:val="22"/>
        </w:rPr>
        <w:t xml:space="preserve"> to present a new proposal for the Joint Teaching Committee</w:t>
      </w:r>
      <w:r w:rsidR="00625976">
        <w:rPr>
          <w:rFonts w:cs="Arial"/>
          <w:szCs w:val="22"/>
        </w:rPr>
        <w:t>’s</w:t>
      </w:r>
      <w:r w:rsidR="004C04D6" w:rsidRPr="000C7171">
        <w:rPr>
          <w:rFonts w:cs="Arial"/>
          <w:szCs w:val="22"/>
        </w:rPr>
        <w:t xml:space="preserve"> </w:t>
      </w:r>
      <w:r w:rsidR="00625976">
        <w:rPr>
          <w:rFonts w:cs="Arial"/>
          <w:szCs w:val="22"/>
        </w:rPr>
        <w:t xml:space="preserve">October 2013 meeting. </w:t>
      </w:r>
    </w:p>
    <w:p w:rsidR="00835FA0" w:rsidRPr="000C7171" w:rsidRDefault="00835FA0" w:rsidP="00AD1B99">
      <w:pPr>
        <w:spacing w:before="0" w:after="0"/>
        <w:rPr>
          <w:rFonts w:cs="Arial"/>
          <w:sz w:val="24"/>
          <w:szCs w:val="24"/>
        </w:rPr>
        <w:sectPr w:rsidR="00835FA0" w:rsidRPr="000C7171" w:rsidSect="007846D9">
          <w:footerReference w:type="default" r:id="rId11"/>
          <w:pgSz w:w="12240" w:h="15840"/>
          <w:pgMar w:top="1440" w:right="1440" w:bottom="1440" w:left="1440" w:header="708" w:footer="708" w:gutter="0"/>
          <w:cols w:space="708"/>
          <w:docGrid w:linePitch="360"/>
        </w:sectPr>
      </w:pPr>
    </w:p>
    <w:p w:rsidR="00835FA0" w:rsidRPr="000C7171" w:rsidRDefault="00835FA0" w:rsidP="00835FA0">
      <w:pPr>
        <w:pStyle w:val="Standard"/>
        <w:pageBreakBefore/>
        <w:spacing w:after="0" w:line="100" w:lineRule="atLeast"/>
        <w:jc w:val="right"/>
        <w:rPr>
          <w:rFonts w:ascii="Arial" w:hAnsi="Arial" w:cs="Arial"/>
          <w:b/>
          <w:lang w:val="en-GB"/>
        </w:rPr>
      </w:pPr>
      <w:r w:rsidRPr="000C7171">
        <w:rPr>
          <w:rFonts w:ascii="Arial" w:hAnsi="Arial" w:cs="Arial"/>
          <w:b/>
          <w:lang w:val="en-GB"/>
        </w:rPr>
        <w:t>ANNEX I</w:t>
      </w:r>
    </w:p>
    <w:p w:rsidR="00835FA0" w:rsidRPr="000C7171" w:rsidRDefault="00835FA0" w:rsidP="00835FA0">
      <w:pPr>
        <w:pStyle w:val="PlainText"/>
        <w:rPr>
          <w:rFonts w:cs="Arial"/>
          <w:b/>
        </w:rPr>
      </w:pPr>
    </w:p>
    <w:p w:rsidR="00835FA0" w:rsidRPr="000C7171" w:rsidRDefault="00835FA0" w:rsidP="00835FA0">
      <w:pPr>
        <w:pStyle w:val="PlainText"/>
        <w:jc w:val="both"/>
        <w:rPr>
          <w:rFonts w:cs="Arial"/>
          <w:b/>
        </w:rPr>
      </w:pPr>
      <w:r w:rsidRPr="000C7171">
        <w:rPr>
          <w:rFonts w:cs="Arial"/>
          <w:b/>
          <w:bCs/>
        </w:rPr>
        <w:t>Approved by the Board of Governors at its meeting in Stockholm on 21-23 April 2009</w:t>
      </w:r>
    </w:p>
    <w:p w:rsidR="00835FA0" w:rsidRPr="000C7171" w:rsidRDefault="00835FA0" w:rsidP="00835FA0">
      <w:pPr>
        <w:pStyle w:val="PlainText"/>
        <w:jc w:val="both"/>
        <w:rPr>
          <w:rFonts w:cs="Arial"/>
          <w:b/>
        </w:rPr>
      </w:pPr>
    </w:p>
    <w:p w:rsidR="00835FA0" w:rsidRPr="000C7171" w:rsidRDefault="00835FA0" w:rsidP="00835FA0">
      <w:pPr>
        <w:pStyle w:val="PlainText"/>
        <w:jc w:val="both"/>
        <w:rPr>
          <w:rFonts w:cs="Arial"/>
          <w:b/>
        </w:rPr>
      </w:pPr>
      <w:r w:rsidRPr="000C7171">
        <w:rPr>
          <w:rFonts w:cs="Arial"/>
          <w:b/>
        </w:rPr>
        <w:t>SHARING OF THE COSTS OF SECONDED STAFF AMONGST THE MEMBER STATES (Cost Sharing)</w:t>
      </w:r>
    </w:p>
    <w:p w:rsidR="00835FA0" w:rsidRPr="000C7171" w:rsidRDefault="00835FA0" w:rsidP="00835FA0">
      <w:pPr>
        <w:pStyle w:val="PlainText"/>
        <w:jc w:val="both"/>
        <w:rPr>
          <w:rFonts w:cs="Arial"/>
          <w:sz w:val="22"/>
          <w:szCs w:val="22"/>
        </w:rPr>
      </w:pPr>
      <w:r w:rsidRPr="000C7171">
        <w:rPr>
          <w:rFonts w:cs="Arial"/>
        </w:rPr>
        <w:t> </w:t>
      </w:r>
    </w:p>
    <w:p w:rsidR="00835FA0" w:rsidRPr="000C7171" w:rsidRDefault="00835FA0" w:rsidP="00835FA0">
      <w:pPr>
        <w:pStyle w:val="PlainText"/>
        <w:jc w:val="both"/>
        <w:rPr>
          <w:rFonts w:cs="Arial"/>
          <w:sz w:val="22"/>
          <w:szCs w:val="22"/>
        </w:rPr>
      </w:pPr>
      <w:r w:rsidRPr="000C7171">
        <w:rPr>
          <w:rFonts w:cs="Arial"/>
          <w:sz w:val="22"/>
          <w:szCs w:val="22"/>
        </w:rPr>
        <w:t>All seconded posts needed should be taken into account, not just teachers</w:t>
      </w:r>
      <w:r w:rsidRPr="000C7171">
        <w:rPr>
          <w:rStyle w:val="FootnoteReference"/>
          <w:rFonts w:cs="Arial"/>
          <w:sz w:val="22"/>
          <w:szCs w:val="22"/>
        </w:rPr>
        <w:footnoteReference w:id="1"/>
      </w:r>
      <w:r w:rsidRPr="000C7171">
        <w:rPr>
          <w:rFonts w:cs="Arial"/>
          <w:sz w:val="22"/>
          <w:szCs w:val="22"/>
        </w:rPr>
        <w:t xml:space="preserve"> but also Directors and Deputy Directors and other posts (Office, etc.), including unfilled posts (BoG, 7 March 2008, doc. Addendum).</w:t>
      </w:r>
    </w:p>
    <w:p w:rsidR="00835FA0" w:rsidRPr="000C7171" w:rsidRDefault="00835FA0" w:rsidP="00835FA0">
      <w:pPr>
        <w:pStyle w:val="PlainText"/>
        <w:jc w:val="both"/>
        <w:rPr>
          <w:rFonts w:cs="Arial"/>
          <w:sz w:val="22"/>
          <w:szCs w:val="22"/>
        </w:rPr>
      </w:pPr>
    </w:p>
    <w:p w:rsidR="00835FA0" w:rsidRPr="000C7171" w:rsidRDefault="00835FA0" w:rsidP="00835FA0">
      <w:pPr>
        <w:pStyle w:val="PlainText"/>
        <w:jc w:val="both"/>
        <w:rPr>
          <w:rFonts w:cs="Arial"/>
          <w:sz w:val="22"/>
          <w:szCs w:val="22"/>
        </w:rPr>
      </w:pPr>
      <w:r w:rsidRPr="000C7171">
        <w:rPr>
          <w:rFonts w:cs="Arial"/>
          <w:sz w:val="22"/>
          <w:szCs w:val="22"/>
        </w:rPr>
        <w:t>As a starting point, an indicative reference will therefore be determined for each Member State on the basis of the percentage of all categories of pupils who are nationals (BoG decision, January 2008</w:t>
      </w:r>
      <w:r w:rsidRPr="000C7171">
        <w:rPr>
          <w:rFonts w:cs="Arial"/>
          <w:b/>
          <w:sz w:val="22"/>
          <w:szCs w:val="22"/>
        </w:rPr>
        <w:t xml:space="preserve">, </w:t>
      </w:r>
      <w:r w:rsidRPr="000C7171">
        <w:rPr>
          <w:rFonts w:cs="Arial"/>
          <w:sz w:val="22"/>
          <w:szCs w:val="22"/>
        </w:rPr>
        <w:t xml:space="preserve">see </w:t>
      </w:r>
      <w:r w:rsidR="0041436B" w:rsidRPr="000C7171">
        <w:rPr>
          <w:rFonts w:cs="Arial"/>
          <w:sz w:val="22"/>
          <w:szCs w:val="22"/>
        </w:rPr>
        <w:t>A</w:t>
      </w:r>
      <w:r w:rsidR="00BB5EA4" w:rsidRPr="000C7171">
        <w:rPr>
          <w:rFonts w:cs="Arial"/>
          <w:sz w:val="22"/>
          <w:szCs w:val="22"/>
        </w:rPr>
        <w:t>nnex</w:t>
      </w:r>
      <w:r w:rsidR="00D65760" w:rsidRPr="000C7171">
        <w:rPr>
          <w:rFonts w:cs="Arial"/>
          <w:sz w:val="22"/>
          <w:szCs w:val="22"/>
        </w:rPr>
        <w:t xml:space="preserve"> </w:t>
      </w:r>
      <w:r w:rsidR="00D56790" w:rsidRPr="000C7171">
        <w:rPr>
          <w:rFonts w:cs="Arial"/>
          <w:sz w:val="22"/>
          <w:szCs w:val="22"/>
        </w:rPr>
        <w:t>III</w:t>
      </w:r>
      <w:r w:rsidRPr="000C7171">
        <w:rPr>
          <w:rFonts w:cs="Arial"/>
          <w:sz w:val="22"/>
          <w:szCs w:val="22"/>
        </w:rPr>
        <w:t>).</w:t>
      </w:r>
    </w:p>
    <w:p w:rsidR="00835FA0" w:rsidRPr="000C7171" w:rsidRDefault="00835FA0" w:rsidP="00835FA0">
      <w:pPr>
        <w:pStyle w:val="PlainText"/>
        <w:jc w:val="both"/>
        <w:rPr>
          <w:rFonts w:cs="Arial"/>
          <w:sz w:val="22"/>
          <w:szCs w:val="22"/>
        </w:rPr>
      </w:pPr>
    </w:p>
    <w:p w:rsidR="00835FA0" w:rsidRPr="000C7171" w:rsidRDefault="00835FA0" w:rsidP="00835FA0">
      <w:pPr>
        <w:pStyle w:val="PlainText"/>
        <w:jc w:val="both"/>
        <w:rPr>
          <w:rFonts w:cs="Arial"/>
          <w:sz w:val="22"/>
          <w:szCs w:val="22"/>
        </w:rPr>
      </w:pPr>
      <w:r w:rsidRPr="000C7171">
        <w:rPr>
          <w:rFonts w:cs="Arial"/>
          <w:sz w:val="22"/>
          <w:szCs w:val="22"/>
        </w:rPr>
        <w:t>It has been agreed that Member States are free to exceed this indicative reference on a voluntary basis and second more staff.</w:t>
      </w:r>
      <w:r w:rsidR="001825B0" w:rsidRPr="000C7171">
        <w:rPr>
          <w:rStyle w:val="FootnoteReference"/>
          <w:rFonts w:cs="Arial"/>
          <w:sz w:val="22"/>
          <w:szCs w:val="22"/>
        </w:rPr>
        <w:footnoteReference w:id="2"/>
      </w:r>
    </w:p>
    <w:p w:rsidR="00835FA0" w:rsidRPr="000C7171" w:rsidRDefault="00835FA0" w:rsidP="00835FA0">
      <w:pPr>
        <w:pStyle w:val="PlainText"/>
        <w:jc w:val="both"/>
        <w:rPr>
          <w:rFonts w:cs="Arial"/>
          <w:sz w:val="22"/>
          <w:szCs w:val="22"/>
        </w:rPr>
      </w:pPr>
    </w:p>
    <w:p w:rsidR="00835FA0" w:rsidRPr="000C7171" w:rsidRDefault="00835FA0" w:rsidP="00835FA0">
      <w:pPr>
        <w:pStyle w:val="PlainText"/>
        <w:jc w:val="both"/>
        <w:rPr>
          <w:rFonts w:cs="Arial"/>
          <w:strike/>
          <w:sz w:val="22"/>
          <w:szCs w:val="22"/>
        </w:rPr>
      </w:pPr>
      <w:r w:rsidRPr="000C7171">
        <w:rPr>
          <w:rFonts w:cs="Arial"/>
          <w:sz w:val="22"/>
          <w:szCs w:val="22"/>
        </w:rPr>
        <w:t>The principle of the structural approach (and not a financial method) was agreed by the BoG in</w:t>
      </w:r>
      <w:r w:rsidR="00D65760" w:rsidRPr="000C7171">
        <w:rPr>
          <w:rFonts w:cs="Arial"/>
          <w:sz w:val="22"/>
          <w:szCs w:val="22"/>
        </w:rPr>
        <w:t xml:space="preserve"> </w:t>
      </w:r>
      <w:r w:rsidR="00520919" w:rsidRPr="000C7171">
        <w:rPr>
          <w:rFonts w:cs="Arial"/>
          <w:sz w:val="22"/>
          <w:szCs w:val="22"/>
        </w:rPr>
        <w:t>January 2008</w:t>
      </w:r>
      <w:r w:rsidRPr="000C7171">
        <w:rPr>
          <w:rFonts w:cs="Arial"/>
          <w:sz w:val="22"/>
          <w:szCs w:val="22"/>
        </w:rPr>
        <w:t>. This structural approach opens up the possibility of teaching by non-native speakers in certain limited cases.</w:t>
      </w:r>
    </w:p>
    <w:p w:rsidR="00835FA0" w:rsidRPr="000C7171" w:rsidRDefault="00835FA0" w:rsidP="00835FA0">
      <w:pPr>
        <w:pStyle w:val="PlainText"/>
        <w:jc w:val="both"/>
        <w:rPr>
          <w:rFonts w:cs="Arial"/>
          <w:sz w:val="22"/>
          <w:szCs w:val="22"/>
        </w:rPr>
      </w:pPr>
    </w:p>
    <w:p w:rsidR="00835FA0" w:rsidRPr="000C7171" w:rsidRDefault="00835FA0" w:rsidP="00835FA0">
      <w:pPr>
        <w:pStyle w:val="PlainText"/>
        <w:jc w:val="both"/>
        <w:rPr>
          <w:rFonts w:cs="Arial"/>
          <w:strike/>
          <w:sz w:val="22"/>
          <w:szCs w:val="22"/>
        </w:rPr>
      </w:pPr>
      <w:r w:rsidRPr="000C7171">
        <w:rPr>
          <w:rFonts w:cs="Arial"/>
          <w:sz w:val="22"/>
          <w:szCs w:val="22"/>
        </w:rPr>
        <w:t>Quality control of linguistic competence will be carried out prior to recruitment and by establishing criteria for this purpose</w:t>
      </w:r>
      <w:r w:rsidR="00D56790" w:rsidRPr="000C7171">
        <w:rPr>
          <w:rFonts w:cs="Arial"/>
          <w:sz w:val="22"/>
          <w:szCs w:val="22"/>
        </w:rPr>
        <w:t xml:space="preserve">. </w:t>
      </w:r>
    </w:p>
    <w:p w:rsidR="00835FA0" w:rsidRPr="000C7171" w:rsidRDefault="00835FA0" w:rsidP="00835FA0">
      <w:pPr>
        <w:pStyle w:val="PlainText"/>
        <w:jc w:val="both"/>
        <w:rPr>
          <w:rFonts w:cs="Arial"/>
          <w:sz w:val="22"/>
          <w:szCs w:val="22"/>
        </w:rPr>
      </w:pPr>
    </w:p>
    <w:p w:rsidR="00835FA0" w:rsidRPr="000C7171" w:rsidRDefault="00835FA0" w:rsidP="00835FA0">
      <w:pPr>
        <w:pStyle w:val="PlainText"/>
        <w:jc w:val="both"/>
        <w:rPr>
          <w:rFonts w:cs="Arial"/>
          <w:sz w:val="22"/>
          <w:szCs w:val="22"/>
        </w:rPr>
      </w:pPr>
      <w:r w:rsidRPr="000C7171">
        <w:rPr>
          <w:rFonts w:cs="Arial"/>
          <w:sz w:val="22"/>
          <w:szCs w:val="22"/>
        </w:rPr>
        <w:t>Indicative objectives will be used to start a dialogue with Member States in order to facilitate the process designed to ensure that all Member States contribute to the system.</w:t>
      </w:r>
    </w:p>
    <w:p w:rsidR="00835FA0" w:rsidRPr="000C7171" w:rsidRDefault="00835FA0" w:rsidP="00835FA0">
      <w:pPr>
        <w:pStyle w:val="PlainText"/>
        <w:jc w:val="both"/>
        <w:rPr>
          <w:rFonts w:cs="Arial"/>
          <w:sz w:val="22"/>
          <w:szCs w:val="22"/>
        </w:rPr>
      </w:pPr>
    </w:p>
    <w:p w:rsidR="00835FA0" w:rsidRPr="000C7171" w:rsidRDefault="00835FA0" w:rsidP="00835FA0">
      <w:pPr>
        <w:pStyle w:val="PlainText"/>
        <w:jc w:val="both"/>
        <w:rPr>
          <w:rFonts w:cs="Arial"/>
        </w:rPr>
      </w:pPr>
      <w:r w:rsidRPr="000C7171">
        <w:rPr>
          <w:rFonts w:cs="Arial"/>
          <w:sz w:val="22"/>
          <w:szCs w:val="22"/>
        </w:rPr>
        <w:t>In the case where there is a need to call on the EU budget to cover a possible deficit at the end of this process, this community contribution by means of the financing of locally recruited teachers shall be clearly identified and shall be subject to annual monitoring</w:t>
      </w:r>
      <w:r w:rsidRPr="000C7171">
        <w:rPr>
          <w:rFonts w:cs="Arial"/>
        </w:rPr>
        <w:t>.</w:t>
      </w:r>
    </w:p>
    <w:p w:rsidR="00835FA0" w:rsidRPr="00C94503" w:rsidRDefault="00835FA0" w:rsidP="00835FA0">
      <w:pPr>
        <w:pStyle w:val="Standard"/>
        <w:pageBreakBefore/>
        <w:spacing w:after="0" w:line="100" w:lineRule="atLeast"/>
        <w:jc w:val="right"/>
        <w:rPr>
          <w:rFonts w:ascii="Arial" w:hAnsi="Arial" w:cs="Arial"/>
          <w:b/>
          <w:lang w:val="fr-CH"/>
        </w:rPr>
      </w:pPr>
      <w:r w:rsidRPr="00C94503">
        <w:rPr>
          <w:rFonts w:ascii="Arial" w:hAnsi="Arial" w:cs="Arial"/>
          <w:b/>
          <w:lang w:val="fr-CH"/>
        </w:rPr>
        <w:t>ANNEX II</w:t>
      </w:r>
    </w:p>
    <w:p w:rsidR="00835FA0" w:rsidRPr="00C94503" w:rsidRDefault="00835FA0" w:rsidP="00835FA0">
      <w:pPr>
        <w:pStyle w:val="Standard"/>
        <w:spacing w:after="0" w:line="100" w:lineRule="atLeast"/>
        <w:jc w:val="both"/>
        <w:rPr>
          <w:rFonts w:ascii="Arial" w:hAnsi="Arial" w:cs="Arial"/>
          <w:sz w:val="24"/>
          <w:szCs w:val="24"/>
          <w:lang w:val="fr-CH"/>
        </w:rPr>
      </w:pPr>
    </w:p>
    <w:p w:rsidR="00835FA0" w:rsidRPr="00C94503" w:rsidRDefault="00835FA0" w:rsidP="00835FA0">
      <w:pPr>
        <w:pStyle w:val="Standard"/>
        <w:spacing w:after="0" w:line="100" w:lineRule="atLeast"/>
        <w:jc w:val="both"/>
        <w:rPr>
          <w:rFonts w:ascii="Arial" w:hAnsi="Arial" w:cs="Arial"/>
          <w:lang w:val="fr-CH"/>
        </w:rPr>
      </w:pPr>
      <w:r w:rsidRPr="00C94503">
        <w:rPr>
          <w:rFonts w:ascii="Arial" w:hAnsi="Arial" w:cs="Arial"/>
          <w:sz w:val="24"/>
          <w:szCs w:val="24"/>
          <w:lang w:val="fr-CH"/>
        </w:rPr>
        <w:t>9406/13 (OR. en)</w:t>
      </w:r>
    </w:p>
    <w:p w:rsidR="00835FA0" w:rsidRPr="00C94503" w:rsidRDefault="00835FA0" w:rsidP="00835FA0">
      <w:pPr>
        <w:pStyle w:val="Standard"/>
        <w:spacing w:after="0" w:line="100" w:lineRule="atLeast"/>
        <w:jc w:val="both"/>
        <w:rPr>
          <w:rFonts w:ascii="Arial" w:hAnsi="Arial" w:cs="Arial"/>
          <w:lang w:val="fr-CH"/>
        </w:rPr>
      </w:pPr>
      <w:r w:rsidRPr="00C94503">
        <w:rPr>
          <w:rFonts w:ascii="Arial" w:hAnsi="Arial" w:cs="Arial"/>
          <w:b/>
          <w:bCs/>
          <w:i/>
          <w:iCs/>
          <w:sz w:val="24"/>
          <w:szCs w:val="24"/>
          <w:lang w:val="fr-CH"/>
        </w:rPr>
        <w:t>PROVISIONAL VERSION</w:t>
      </w: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sz w:val="24"/>
          <w:szCs w:val="24"/>
          <w:lang w:val="en-GB"/>
        </w:rPr>
        <w:t>PRESSE 186</w:t>
      </w: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sz w:val="24"/>
          <w:szCs w:val="24"/>
          <w:lang w:val="en-GB"/>
        </w:rPr>
        <w:t>PR CO 25</w:t>
      </w:r>
    </w:p>
    <w:p w:rsidR="00835FA0" w:rsidRPr="00C2351E" w:rsidRDefault="00835FA0" w:rsidP="00835FA0">
      <w:pPr>
        <w:pStyle w:val="Standard"/>
        <w:spacing w:after="0" w:line="100" w:lineRule="atLeast"/>
        <w:jc w:val="both"/>
        <w:rPr>
          <w:rFonts w:ascii="Arial" w:hAnsi="Arial" w:cs="Arial"/>
          <w:lang w:val="en-GB"/>
        </w:rPr>
      </w:pP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b/>
          <w:bCs/>
          <w:sz w:val="28"/>
          <w:szCs w:val="28"/>
          <w:lang w:val="en-GB"/>
        </w:rPr>
        <w:t>PRESS RELEASE</w:t>
      </w:r>
    </w:p>
    <w:p w:rsidR="00835FA0" w:rsidRPr="00C2351E" w:rsidRDefault="00835FA0" w:rsidP="00835FA0">
      <w:pPr>
        <w:pStyle w:val="Standard"/>
        <w:spacing w:after="0" w:line="100" w:lineRule="atLeast"/>
        <w:jc w:val="both"/>
        <w:rPr>
          <w:rFonts w:ascii="Arial" w:hAnsi="Arial" w:cs="Arial"/>
          <w:lang w:val="en-GB"/>
        </w:rPr>
      </w:pP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sz w:val="24"/>
          <w:szCs w:val="24"/>
          <w:lang w:val="en-GB"/>
        </w:rPr>
        <w:t>3239th Council meeting</w:t>
      </w:r>
    </w:p>
    <w:p w:rsidR="00835FA0" w:rsidRPr="00C2351E" w:rsidRDefault="00835FA0" w:rsidP="00835FA0">
      <w:pPr>
        <w:pStyle w:val="Standard"/>
        <w:spacing w:after="0" w:line="100" w:lineRule="atLeast"/>
        <w:jc w:val="both"/>
        <w:rPr>
          <w:rFonts w:ascii="Arial" w:hAnsi="Arial" w:cs="Arial"/>
          <w:lang w:val="en-GB"/>
        </w:rPr>
      </w:pP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b/>
          <w:bCs/>
          <w:sz w:val="28"/>
          <w:szCs w:val="28"/>
          <w:lang w:val="en-GB"/>
        </w:rPr>
        <w:t>Education, Youth, Culture and Sport</w:t>
      </w:r>
    </w:p>
    <w:p w:rsidR="00835FA0" w:rsidRPr="00C2351E" w:rsidRDefault="00835FA0" w:rsidP="00835FA0">
      <w:pPr>
        <w:pStyle w:val="Standard"/>
        <w:spacing w:after="0" w:line="100" w:lineRule="atLeast"/>
        <w:jc w:val="both"/>
        <w:rPr>
          <w:rFonts w:ascii="Arial" w:hAnsi="Arial" w:cs="Arial"/>
          <w:lang w:val="en-GB"/>
        </w:rPr>
      </w:pP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sz w:val="24"/>
          <w:szCs w:val="24"/>
          <w:lang w:val="en-GB"/>
        </w:rPr>
        <w:t>Brussels, 16-17 May 2013</w:t>
      </w:r>
    </w:p>
    <w:p w:rsidR="00835FA0" w:rsidRPr="00C2351E" w:rsidRDefault="00835FA0" w:rsidP="00835FA0">
      <w:pPr>
        <w:pStyle w:val="Standard"/>
        <w:spacing w:after="0" w:line="100" w:lineRule="atLeast"/>
        <w:jc w:val="both"/>
        <w:rPr>
          <w:rFonts w:ascii="Arial" w:hAnsi="Arial" w:cs="Arial"/>
          <w:lang w:val="en-GB"/>
        </w:rPr>
      </w:pPr>
    </w:p>
    <w:p w:rsidR="00835FA0" w:rsidRPr="00C2351E" w:rsidRDefault="00835FA0" w:rsidP="00835FA0">
      <w:pPr>
        <w:pStyle w:val="Standard"/>
        <w:spacing w:after="0" w:line="100" w:lineRule="atLeast"/>
        <w:jc w:val="both"/>
        <w:rPr>
          <w:rFonts w:ascii="Arial" w:hAnsi="Arial" w:cs="Arial"/>
          <w:lang w:val="en-GB"/>
        </w:rPr>
      </w:pPr>
      <w:r w:rsidRPr="00C2351E">
        <w:rPr>
          <w:rFonts w:ascii="Arial" w:hAnsi="Arial" w:cs="Arial"/>
          <w:bCs/>
          <w:i/>
          <w:iCs/>
          <w:color w:val="000000"/>
          <w:sz w:val="24"/>
          <w:szCs w:val="24"/>
          <w:lang w:val="en-GB"/>
        </w:rPr>
        <w:t>AOB (page 8):</w:t>
      </w:r>
    </w:p>
    <w:p w:rsidR="00835FA0" w:rsidRPr="00C2351E" w:rsidRDefault="00835FA0" w:rsidP="00835FA0">
      <w:pPr>
        <w:pStyle w:val="Standard"/>
        <w:spacing w:after="0" w:line="100" w:lineRule="atLeast"/>
        <w:jc w:val="both"/>
        <w:rPr>
          <w:rFonts w:ascii="Arial" w:hAnsi="Arial" w:cs="Arial"/>
          <w:lang w:val="en-GB"/>
        </w:rPr>
      </w:pPr>
    </w:p>
    <w:p w:rsidR="00835FA0" w:rsidRPr="00C2351E" w:rsidRDefault="00835FA0" w:rsidP="00835FA0">
      <w:pPr>
        <w:pStyle w:val="Standard"/>
        <w:spacing w:after="0" w:line="100" w:lineRule="atLeast"/>
        <w:ind w:left="720"/>
        <w:jc w:val="both"/>
        <w:rPr>
          <w:rFonts w:ascii="Arial" w:hAnsi="Arial" w:cs="Arial"/>
          <w:lang w:val="en-GB"/>
        </w:rPr>
      </w:pPr>
      <w:r w:rsidRPr="00C2351E">
        <w:rPr>
          <w:rFonts w:ascii="Arial" w:hAnsi="Arial" w:cs="Arial"/>
          <w:b/>
          <w:bCs/>
          <w:i/>
          <w:iCs/>
          <w:color w:val="000000"/>
          <w:sz w:val="24"/>
          <w:szCs w:val="24"/>
          <w:lang w:val="en-GB"/>
        </w:rPr>
        <w:t>European Schools</w:t>
      </w:r>
    </w:p>
    <w:p w:rsidR="00835FA0" w:rsidRPr="00C2351E" w:rsidRDefault="00835FA0" w:rsidP="00835FA0">
      <w:pPr>
        <w:pStyle w:val="Standard"/>
        <w:spacing w:after="0" w:line="100" w:lineRule="atLeast"/>
        <w:ind w:left="720"/>
        <w:jc w:val="both"/>
        <w:rPr>
          <w:rFonts w:ascii="Arial" w:hAnsi="Arial" w:cs="Arial"/>
          <w:lang w:val="en-GB"/>
        </w:rPr>
      </w:pPr>
    </w:p>
    <w:p w:rsidR="00835FA0" w:rsidRPr="00C2351E" w:rsidRDefault="00835FA0" w:rsidP="00835FA0">
      <w:pPr>
        <w:pStyle w:val="Standard"/>
        <w:spacing w:after="0" w:line="100" w:lineRule="atLeast"/>
        <w:ind w:left="720"/>
        <w:jc w:val="both"/>
        <w:rPr>
          <w:rFonts w:ascii="Arial" w:hAnsi="Arial" w:cs="Arial"/>
          <w:lang w:val="en-GB"/>
        </w:rPr>
      </w:pPr>
      <w:r w:rsidRPr="00C2351E">
        <w:rPr>
          <w:rFonts w:ascii="Arial" w:hAnsi="Arial" w:cs="Arial"/>
          <w:i/>
          <w:color w:val="000000"/>
          <w:lang w:val="en-GB"/>
        </w:rPr>
        <w:t>The Council took note of information from the Presidency concerning the secondment of teachers in the European schools</w:t>
      </w:r>
      <w:r w:rsidRPr="00C2351E">
        <w:rPr>
          <w:rStyle w:val="Appeldenote"/>
          <w:rFonts w:ascii="Arial" w:hAnsi="Arial" w:cs="Arial"/>
          <w:lang w:val="en-GB"/>
        </w:rPr>
        <w:footnoteReference w:id="3"/>
      </w:r>
      <w:r w:rsidRPr="00C2351E">
        <w:rPr>
          <w:rFonts w:ascii="Arial" w:hAnsi="Arial" w:cs="Arial"/>
          <w:i/>
          <w:iCs/>
          <w:color w:val="000000"/>
          <w:lang w:val="en-GB"/>
        </w:rPr>
        <w:t xml:space="preserve">. </w:t>
      </w:r>
      <w:r w:rsidRPr="00C2351E">
        <w:rPr>
          <w:rFonts w:ascii="Arial" w:hAnsi="Arial" w:cs="Arial"/>
          <w:i/>
          <w:color w:val="000000"/>
          <w:lang w:val="en-GB"/>
        </w:rPr>
        <w:t xml:space="preserve">There are 14 European schools located close to the European institutions. All were set up under an intergovernmental agreement with the aim of teaching the children of staff in the EU institutions in their maternal language, although - depending on their location - they can also take pupils from other backgrounds. </w:t>
      </w:r>
    </w:p>
    <w:p w:rsidR="00835FA0" w:rsidRPr="00C2351E" w:rsidRDefault="00835FA0" w:rsidP="00835FA0">
      <w:pPr>
        <w:pStyle w:val="Standard"/>
        <w:spacing w:after="0" w:line="100" w:lineRule="atLeast"/>
        <w:ind w:left="720"/>
        <w:jc w:val="both"/>
        <w:rPr>
          <w:rFonts w:ascii="Arial" w:hAnsi="Arial" w:cs="Arial"/>
          <w:lang w:val="en-GB"/>
        </w:rPr>
      </w:pPr>
    </w:p>
    <w:p w:rsidR="00835FA0" w:rsidRPr="00C2351E" w:rsidRDefault="00835FA0" w:rsidP="00835FA0">
      <w:pPr>
        <w:pStyle w:val="Standard"/>
        <w:spacing w:after="0" w:line="100" w:lineRule="atLeast"/>
        <w:ind w:left="720"/>
        <w:jc w:val="both"/>
        <w:rPr>
          <w:rFonts w:ascii="Arial" w:hAnsi="Arial" w:cs="Arial"/>
          <w:lang w:val="en-GB"/>
        </w:rPr>
      </w:pPr>
      <w:r w:rsidRPr="00C2351E">
        <w:rPr>
          <w:rFonts w:ascii="Arial" w:hAnsi="Arial" w:cs="Arial"/>
          <w:i/>
          <w:color w:val="000000"/>
          <w:lang w:val="en-GB"/>
        </w:rPr>
        <w:t>A number of Member States are of the view that there are serious underlying problems with the European School system’s current model, particularly with respect to cost-sharing. Statistics show that some countries are currently sending a disproportionate percentage of staff in proportion to the number of pupils of their nationality.</w:t>
      </w:r>
    </w:p>
    <w:p w:rsidR="00835FA0" w:rsidRPr="00C2351E" w:rsidRDefault="00835FA0" w:rsidP="00835FA0">
      <w:pPr>
        <w:pStyle w:val="Standard"/>
        <w:spacing w:after="0" w:line="100" w:lineRule="atLeast"/>
        <w:ind w:left="720"/>
        <w:jc w:val="both"/>
        <w:rPr>
          <w:rFonts w:ascii="Arial" w:hAnsi="Arial" w:cs="Arial"/>
          <w:lang w:val="en-GB"/>
        </w:rPr>
      </w:pPr>
    </w:p>
    <w:p w:rsidR="00835FA0" w:rsidRPr="00C2351E" w:rsidRDefault="00835FA0" w:rsidP="00835FA0">
      <w:pPr>
        <w:pStyle w:val="Standard"/>
        <w:spacing w:after="0" w:line="100" w:lineRule="atLeast"/>
        <w:ind w:left="720"/>
        <w:jc w:val="both"/>
        <w:rPr>
          <w:rFonts w:ascii="Arial" w:hAnsi="Arial" w:cs="Arial"/>
          <w:lang w:val="en-GB"/>
        </w:rPr>
      </w:pPr>
      <w:r w:rsidRPr="00C2351E">
        <w:rPr>
          <w:rFonts w:ascii="Arial" w:hAnsi="Arial" w:cs="Arial"/>
          <w:i/>
          <w:color w:val="000000"/>
          <w:lang w:val="en-GB"/>
        </w:rPr>
        <w:t>It is in the interests of all Member States to find a solution which can find unanimous support and which is in the best interest of learners and their families. The Irish Presidency stands ready to use its good offices to assist in any way it can and the Commission agreed that a solution must be found to the imbalance in cost-sharing at the highest level</w:t>
      </w:r>
      <w:r w:rsidRPr="00C2351E">
        <w:rPr>
          <w:rFonts w:ascii="Arial" w:hAnsi="Arial" w:cs="Arial"/>
          <w:b/>
          <w:bCs/>
          <w:i/>
          <w:color w:val="000000"/>
          <w:lang w:val="en-GB"/>
        </w:rPr>
        <w:t>.</w:t>
      </w:r>
    </w:p>
    <w:p w:rsidR="00835FA0" w:rsidRPr="00C2351E" w:rsidRDefault="00835FA0" w:rsidP="00835FA0">
      <w:pPr>
        <w:pStyle w:val="Standard"/>
        <w:spacing w:after="0" w:line="100" w:lineRule="atLeast"/>
        <w:ind w:left="720"/>
        <w:jc w:val="both"/>
        <w:rPr>
          <w:rFonts w:ascii="Arial" w:hAnsi="Arial" w:cs="Arial"/>
          <w:lang w:val="en-GB"/>
        </w:rPr>
      </w:pPr>
    </w:p>
    <w:p w:rsidR="00151BF3" w:rsidRPr="00C2351E" w:rsidRDefault="00835FA0" w:rsidP="00835FA0">
      <w:pPr>
        <w:spacing w:before="0" w:after="0"/>
        <w:rPr>
          <w:rFonts w:cs="Arial"/>
          <w:i/>
          <w:color w:val="000000"/>
        </w:rPr>
        <w:sectPr w:rsidR="00151BF3" w:rsidRPr="00C2351E" w:rsidSect="007846D9">
          <w:pgSz w:w="12240" w:h="15840"/>
          <w:pgMar w:top="1440" w:right="1440" w:bottom="1440" w:left="1440" w:header="708" w:footer="708" w:gutter="0"/>
          <w:cols w:space="708"/>
          <w:docGrid w:linePitch="360"/>
        </w:sectPr>
      </w:pPr>
      <w:r w:rsidRPr="00C2351E">
        <w:rPr>
          <w:rFonts w:cs="Arial"/>
          <w:i/>
          <w:color w:val="000000"/>
        </w:rPr>
        <w:t>The Commission underlined the importance of the European schools who have more than 25 000 pupils throughout Europe and proposed that an extraordinary meeting of EU Education ministers should be convened as soon as possible in order to discuss the current crisis.</w:t>
      </w:r>
      <w:r w:rsidRPr="00C2351E">
        <w:rPr>
          <w:rFonts w:cs="Arial"/>
          <w:i/>
          <w:color w:val="000000"/>
        </w:rPr>
        <w:tab/>
      </w:r>
    </w:p>
    <w:p w:rsidR="00867DD2" w:rsidRDefault="00303B93" w:rsidP="00867DD2">
      <w:pPr>
        <w:spacing w:before="0" w:after="0" w:line="276" w:lineRule="auto"/>
        <w:jc w:val="left"/>
        <w:rPr>
          <w:rFonts w:cs="Arial"/>
          <w:color w:val="000000" w:themeColor="text1"/>
          <w:sz w:val="16"/>
          <w:szCs w:val="16"/>
        </w:rPr>
      </w:pPr>
      <w:r w:rsidRPr="00625976">
        <w:rPr>
          <w:rFonts w:ascii="Calibri" w:eastAsia="SimSun" w:hAnsi="Calibri" w:cs="Calibri"/>
          <w:b/>
          <w:szCs w:val="22"/>
          <w:lang w:eastAsia="en-US"/>
        </w:rPr>
        <w:t xml:space="preserve"> ANNEX III:</w:t>
      </w:r>
      <w:r w:rsidRPr="00C2351E">
        <w:rPr>
          <w:rFonts w:ascii="Calibri" w:eastAsia="SimSun" w:hAnsi="Calibri" w:cs="Calibri"/>
          <w:szCs w:val="22"/>
          <w:lang w:eastAsia="en-US"/>
        </w:rPr>
        <w:t xml:space="preserve"> </w:t>
      </w:r>
      <w:r w:rsidR="00BB5EA4" w:rsidRPr="00C2351E">
        <w:rPr>
          <w:rFonts w:cs="Arial"/>
          <w:sz w:val="16"/>
          <w:szCs w:val="16"/>
        </w:rPr>
        <w:t>An indicative reference will therefore be determined for each Member State on the basis of the percentage of all categories of pupils who are nationals (</w:t>
      </w:r>
      <w:r w:rsidR="00BB5EA4" w:rsidRPr="00C2351E">
        <w:rPr>
          <w:rFonts w:cs="Arial"/>
          <w:color w:val="000000" w:themeColor="text1"/>
          <w:sz w:val="16"/>
          <w:szCs w:val="16"/>
        </w:rPr>
        <w:t>BoG decision, January 2008</w:t>
      </w:r>
      <w:r w:rsidR="007371D8" w:rsidRPr="00C2351E">
        <w:rPr>
          <w:rFonts w:cs="Arial"/>
          <w:color w:val="000000" w:themeColor="text1"/>
          <w:sz w:val="16"/>
          <w:szCs w:val="16"/>
        </w:rPr>
        <w:t>)</w:t>
      </w:r>
    </w:p>
    <w:tbl>
      <w:tblPr>
        <w:tblW w:w="12660" w:type="dxa"/>
        <w:tblInd w:w="55" w:type="dxa"/>
        <w:tblCellMar>
          <w:left w:w="70" w:type="dxa"/>
          <w:right w:w="70" w:type="dxa"/>
        </w:tblCellMar>
        <w:tblLook w:val="04A0" w:firstRow="1" w:lastRow="0" w:firstColumn="1" w:lastColumn="0" w:noHBand="0" w:noVBand="1"/>
      </w:tblPr>
      <w:tblGrid>
        <w:gridCol w:w="2120"/>
        <w:gridCol w:w="2080"/>
        <w:gridCol w:w="2640"/>
        <w:gridCol w:w="1660"/>
        <w:gridCol w:w="1480"/>
        <w:gridCol w:w="1360"/>
        <w:gridCol w:w="1320"/>
      </w:tblGrid>
      <w:tr w:rsidR="00867DD2" w:rsidRPr="00867DD2" w:rsidTr="00867DD2">
        <w:trPr>
          <w:trHeight w:val="567"/>
        </w:trPr>
        <w:tc>
          <w:tcPr>
            <w:tcW w:w="2120" w:type="dxa"/>
            <w:tcBorders>
              <w:top w:val="single" w:sz="8" w:space="0" w:color="000000"/>
              <w:left w:val="single" w:sz="8" w:space="0" w:color="000000"/>
              <w:bottom w:val="nil"/>
              <w:right w:val="single" w:sz="8" w:space="0" w:color="000000"/>
            </w:tcBorders>
            <w:shd w:val="clear" w:color="auto" w:fill="auto"/>
            <w:vAlign w:val="center"/>
            <w:hideMark/>
          </w:tcPr>
          <w:p w:rsidR="00867DD2" w:rsidRPr="00C94503" w:rsidRDefault="00867DD2" w:rsidP="00867DD2">
            <w:pPr>
              <w:spacing w:before="0" w:after="0"/>
              <w:jc w:val="left"/>
              <w:rPr>
                <w:rFonts w:cs="Arial"/>
                <w:b/>
                <w:bCs/>
                <w:color w:val="FF0000"/>
                <w:sz w:val="16"/>
                <w:szCs w:val="16"/>
                <w:lang w:val="en-US" w:eastAsia="fr-FR"/>
              </w:rPr>
            </w:pPr>
            <w:r w:rsidRPr="00C94503">
              <w:rPr>
                <w:rFonts w:cs="Arial"/>
                <w:b/>
                <w:bCs/>
                <w:color w:val="FF0000"/>
                <w:sz w:val="16"/>
                <w:szCs w:val="16"/>
                <w:lang w:val="en-US" w:eastAsia="fr-FR"/>
              </w:rPr>
              <w:t>Indicative reference table with Munich 2012/2013</w:t>
            </w:r>
          </w:p>
        </w:tc>
        <w:tc>
          <w:tcPr>
            <w:tcW w:w="2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DD2" w:rsidRPr="00C94503" w:rsidRDefault="00867DD2" w:rsidP="00867DD2">
            <w:pPr>
              <w:spacing w:before="0" w:after="0"/>
              <w:jc w:val="center"/>
              <w:rPr>
                <w:rFonts w:cs="Arial"/>
                <w:b/>
                <w:bCs/>
                <w:color w:val="000000"/>
                <w:sz w:val="16"/>
                <w:szCs w:val="16"/>
                <w:lang w:val="en-US" w:eastAsia="fr-FR"/>
              </w:rPr>
            </w:pPr>
            <w:r w:rsidRPr="00C94503">
              <w:rPr>
                <w:rFonts w:cs="Arial"/>
                <w:b/>
                <w:bCs/>
                <w:color w:val="000000"/>
                <w:sz w:val="16"/>
                <w:szCs w:val="16"/>
                <w:lang w:val="en-US" w:eastAsia="fr-FR"/>
              </w:rPr>
              <w:t>Number of pupils per country</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 of pupils per country</w:t>
            </w:r>
          </w:p>
        </w:tc>
        <w:tc>
          <w:tcPr>
            <w:tcW w:w="16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u w:val="single"/>
                <w:lang w:val="fr-FR" w:eastAsia="fr-FR"/>
              </w:rPr>
            </w:pPr>
            <w:r w:rsidRPr="00867DD2">
              <w:rPr>
                <w:rFonts w:cs="Arial"/>
                <w:b/>
                <w:bCs/>
                <w:color w:val="000000"/>
                <w:sz w:val="16"/>
                <w:szCs w:val="16"/>
                <w:u w:val="single"/>
                <w:lang w:val="fr-FR" w:eastAsia="fr-FR"/>
              </w:rPr>
              <w:t>Seconded staff members</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 xml:space="preserve"> (%) of seconded staff members</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u w:val="single"/>
                <w:lang w:val="fr-FR" w:eastAsia="fr-FR"/>
              </w:rPr>
            </w:pPr>
            <w:r w:rsidRPr="00867DD2">
              <w:rPr>
                <w:rFonts w:cs="Arial"/>
                <w:b/>
                <w:bCs/>
                <w:color w:val="000000"/>
                <w:sz w:val="16"/>
                <w:szCs w:val="16"/>
                <w:u w:val="single"/>
                <w:lang w:val="fr-FR" w:eastAsia="fr-FR"/>
              </w:rPr>
              <w:t>Seconded staff members quota</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Difference</w:t>
            </w:r>
          </w:p>
        </w:tc>
      </w:tr>
      <w:tr w:rsidR="00867DD2" w:rsidRPr="00867DD2" w:rsidTr="00867DD2">
        <w:trPr>
          <w:trHeight w:val="57"/>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Nationality</w:t>
            </w:r>
          </w:p>
        </w:tc>
        <w:tc>
          <w:tcPr>
            <w:tcW w:w="2080" w:type="dxa"/>
            <w:vMerge/>
            <w:tcBorders>
              <w:top w:val="single" w:sz="8" w:space="0" w:color="000000"/>
              <w:left w:val="single" w:sz="8" w:space="0" w:color="000000"/>
              <w:bottom w:val="single" w:sz="8" w:space="0" w:color="000000"/>
              <w:right w:val="single" w:sz="8" w:space="0" w:color="000000"/>
            </w:tcBorders>
            <w:vAlign w:val="center"/>
            <w:hideMark/>
          </w:tcPr>
          <w:p w:rsidR="00867DD2" w:rsidRPr="00867DD2" w:rsidRDefault="00867DD2" w:rsidP="00867DD2">
            <w:pPr>
              <w:spacing w:before="0" w:after="0"/>
              <w:jc w:val="left"/>
              <w:rPr>
                <w:rFonts w:cs="Arial"/>
                <w:b/>
                <w:bCs/>
                <w:color w:val="000000"/>
                <w:sz w:val="16"/>
                <w:szCs w:val="16"/>
                <w:lang w:val="fr-FR" w:eastAsia="fr-FR"/>
              </w:rPr>
            </w:pPr>
          </w:p>
        </w:tc>
        <w:tc>
          <w:tcPr>
            <w:tcW w:w="2640" w:type="dxa"/>
            <w:vMerge/>
            <w:tcBorders>
              <w:top w:val="single" w:sz="8" w:space="0" w:color="000000"/>
              <w:left w:val="single" w:sz="8" w:space="0" w:color="000000"/>
              <w:bottom w:val="single" w:sz="8" w:space="0" w:color="000000"/>
              <w:right w:val="single" w:sz="8" w:space="0" w:color="000000"/>
            </w:tcBorders>
            <w:vAlign w:val="center"/>
            <w:hideMark/>
          </w:tcPr>
          <w:p w:rsidR="00867DD2" w:rsidRPr="00867DD2" w:rsidRDefault="00867DD2" w:rsidP="00867DD2">
            <w:pPr>
              <w:spacing w:before="0" w:after="0"/>
              <w:jc w:val="left"/>
              <w:rPr>
                <w:rFonts w:cs="Arial"/>
                <w:b/>
                <w:bCs/>
                <w:color w:val="000000"/>
                <w:sz w:val="16"/>
                <w:szCs w:val="16"/>
                <w:lang w:val="fr-FR" w:eastAsia="fr-FR"/>
              </w:rPr>
            </w:pPr>
          </w:p>
        </w:tc>
        <w:tc>
          <w:tcPr>
            <w:tcW w:w="1660" w:type="dxa"/>
            <w:vMerge/>
            <w:tcBorders>
              <w:top w:val="single" w:sz="8" w:space="0" w:color="000000"/>
              <w:left w:val="single" w:sz="8" w:space="0" w:color="000000"/>
              <w:bottom w:val="single" w:sz="8" w:space="0" w:color="000000"/>
              <w:right w:val="single" w:sz="8" w:space="0" w:color="000000"/>
            </w:tcBorders>
            <w:vAlign w:val="center"/>
            <w:hideMark/>
          </w:tcPr>
          <w:p w:rsidR="00867DD2" w:rsidRPr="00867DD2" w:rsidRDefault="00867DD2" w:rsidP="00867DD2">
            <w:pPr>
              <w:spacing w:before="0" w:after="0"/>
              <w:jc w:val="left"/>
              <w:rPr>
                <w:rFonts w:cs="Arial"/>
                <w:b/>
                <w:bCs/>
                <w:color w:val="000000"/>
                <w:sz w:val="16"/>
                <w:szCs w:val="16"/>
                <w:u w:val="single"/>
                <w:lang w:val="fr-FR" w:eastAsia="fr-FR"/>
              </w:rPr>
            </w:pPr>
          </w:p>
        </w:tc>
        <w:tc>
          <w:tcPr>
            <w:tcW w:w="1480" w:type="dxa"/>
            <w:vMerge/>
            <w:tcBorders>
              <w:top w:val="single" w:sz="8" w:space="0" w:color="000000"/>
              <w:left w:val="single" w:sz="8" w:space="0" w:color="000000"/>
              <w:bottom w:val="single" w:sz="8" w:space="0" w:color="000000"/>
              <w:right w:val="single" w:sz="8" w:space="0" w:color="000000"/>
            </w:tcBorders>
            <w:vAlign w:val="center"/>
            <w:hideMark/>
          </w:tcPr>
          <w:p w:rsidR="00867DD2" w:rsidRPr="00867DD2" w:rsidRDefault="00867DD2" w:rsidP="00867DD2">
            <w:pPr>
              <w:spacing w:before="0" w:after="0"/>
              <w:jc w:val="left"/>
              <w:rPr>
                <w:rFonts w:cs="Arial"/>
                <w:b/>
                <w:bCs/>
                <w:color w:val="000000"/>
                <w:sz w:val="16"/>
                <w:szCs w:val="16"/>
                <w:lang w:val="fr-FR" w:eastAsia="fr-FR"/>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867DD2" w:rsidRPr="00867DD2" w:rsidRDefault="00867DD2" w:rsidP="00867DD2">
            <w:pPr>
              <w:spacing w:before="0" w:after="0"/>
              <w:jc w:val="left"/>
              <w:rPr>
                <w:rFonts w:cs="Arial"/>
                <w:b/>
                <w:bCs/>
                <w:color w:val="000000"/>
                <w:sz w:val="16"/>
                <w:szCs w:val="16"/>
                <w:u w:val="single"/>
                <w:lang w:val="fr-FR" w:eastAsia="fr-FR"/>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867DD2" w:rsidRPr="00867DD2" w:rsidRDefault="00867DD2" w:rsidP="00867DD2">
            <w:pPr>
              <w:spacing w:before="0" w:after="0"/>
              <w:jc w:val="left"/>
              <w:rPr>
                <w:rFonts w:cs="Arial"/>
                <w:b/>
                <w:bCs/>
                <w:color w:val="000000"/>
                <w:sz w:val="16"/>
                <w:szCs w:val="16"/>
                <w:lang w:val="fr-FR" w:eastAsia="fr-FR"/>
              </w:rPr>
            </w:pP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German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3527</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15.35%</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236</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15.82%</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229</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7</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Austrian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324</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1.41%</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23</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1.54%</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21</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Belgian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2371</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10.32%</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205</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13.74%</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154</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51</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British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1760</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7.66%</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219</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14.68%</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114</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105</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Bulgarian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310</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1.35%</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5</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0.34%</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20</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-15</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Cypriot</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38</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0.17%</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0</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0.00%</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-2</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Danish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650</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2.83%</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33</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2.21%</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42</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-9</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Spanish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1910</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8.31%</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92</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6.17%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124</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-32</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Estonian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207</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0.90%</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0.27%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13</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-9</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Finnnish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667</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2.90%</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34</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2.28%</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43</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-9</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French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3012</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13.11%</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184</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12.33%</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196</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-12</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Greek</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803</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3.49%</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44</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2.95%</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52</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-8</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Hungarian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319</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1.39%</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16</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21</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-5</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Irish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475</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2.07%</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61</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4.09%</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31</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30</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Italian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2331</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10.14%</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101</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6.77%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151</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-50</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Latvian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192</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0.84%</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0.07%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12</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-11</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Lithuanian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309</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1.34%</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8</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0.54%</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20</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-12</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Luxembourg</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230</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1.00%</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21</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1.41%</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15</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6</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Maltese</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72</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0.31%</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0.27%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5</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Dutch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1042</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4.53%</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82</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5.50%</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68</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14</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Polish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433</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1.88%</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25</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1.68%</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28</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-3</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Portuguese</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578</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2.52%</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31</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2.08%</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38</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-7</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Romanian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262</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1.14%</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0</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0.00%</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17</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-17</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Slovak</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199</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0.87%</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0.27%</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13</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-9</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Slovenian</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120</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0.52%</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0.20%</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8</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-5</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Swedish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584</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2.54%</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41</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2.75%</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38</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3</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left"/>
              <w:rPr>
                <w:rFonts w:cs="Arial"/>
                <w:b/>
                <w:bCs/>
                <w:color w:val="000000"/>
                <w:sz w:val="16"/>
                <w:szCs w:val="16"/>
                <w:lang w:val="fr-FR" w:eastAsia="fr-FR"/>
              </w:rPr>
            </w:pPr>
            <w:r w:rsidRPr="00867DD2">
              <w:rPr>
                <w:rFonts w:cs="Arial"/>
                <w:b/>
                <w:bCs/>
                <w:color w:val="000000"/>
                <w:sz w:val="16"/>
                <w:szCs w:val="16"/>
                <w:lang w:val="fr-FR" w:eastAsia="fr-FR"/>
              </w:rPr>
              <w:t>Czech</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252</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1.10%</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15</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1.01%</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16</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FF0000"/>
                <w:sz w:val="16"/>
                <w:szCs w:val="16"/>
                <w:lang w:val="fr-FR" w:eastAsia="fr-FR"/>
              </w:rPr>
            </w:pPr>
            <w:r w:rsidRPr="00867DD2">
              <w:rPr>
                <w:rFonts w:cs="Arial"/>
                <w:b/>
                <w:bCs/>
                <w:color w:val="FF0000"/>
                <w:sz w:val="16"/>
                <w:szCs w:val="16"/>
                <w:lang w:val="fr-FR" w:eastAsia="fr-FR"/>
              </w:rPr>
              <w:t>-1</w:t>
            </w:r>
          </w:p>
        </w:tc>
      </w:tr>
      <w:tr w:rsidR="00867DD2" w:rsidRPr="00867DD2" w:rsidTr="00867DD2">
        <w:trPr>
          <w:trHeight w:val="315"/>
        </w:trPr>
        <w:tc>
          <w:tcPr>
            <w:tcW w:w="2120" w:type="dxa"/>
            <w:tcBorders>
              <w:top w:val="nil"/>
              <w:left w:val="single" w:sz="8" w:space="0" w:color="000000"/>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TOTAL</w:t>
            </w:r>
          </w:p>
        </w:tc>
        <w:tc>
          <w:tcPr>
            <w:tcW w:w="20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22977</w:t>
            </w:r>
          </w:p>
        </w:tc>
        <w:tc>
          <w:tcPr>
            <w:tcW w:w="264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100.00%</w:t>
            </w:r>
          </w:p>
        </w:tc>
        <w:tc>
          <w:tcPr>
            <w:tcW w:w="16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1492</w:t>
            </w:r>
          </w:p>
        </w:tc>
        <w:tc>
          <w:tcPr>
            <w:tcW w:w="148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color w:val="000000"/>
                <w:sz w:val="16"/>
                <w:szCs w:val="16"/>
                <w:lang w:val="fr-FR" w:eastAsia="fr-FR"/>
              </w:rPr>
            </w:pPr>
            <w:r w:rsidRPr="00867DD2">
              <w:rPr>
                <w:rFonts w:cs="Arial"/>
                <w:color w:val="000000"/>
                <w:sz w:val="16"/>
                <w:szCs w:val="16"/>
                <w:lang w:val="fr-FR" w:eastAsia="fr-FR"/>
              </w:rPr>
              <w:t>100.00%</w:t>
            </w:r>
          </w:p>
        </w:tc>
        <w:tc>
          <w:tcPr>
            <w:tcW w:w="136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1492</w:t>
            </w:r>
          </w:p>
        </w:tc>
        <w:tc>
          <w:tcPr>
            <w:tcW w:w="1320" w:type="dxa"/>
            <w:tcBorders>
              <w:top w:val="nil"/>
              <w:left w:val="nil"/>
              <w:bottom w:val="single" w:sz="8" w:space="0" w:color="000000"/>
              <w:right w:val="single" w:sz="8" w:space="0" w:color="000000"/>
            </w:tcBorders>
            <w:shd w:val="clear" w:color="auto" w:fill="auto"/>
            <w:vAlign w:val="center"/>
            <w:hideMark/>
          </w:tcPr>
          <w:p w:rsidR="00867DD2" w:rsidRPr="00867DD2" w:rsidRDefault="00867DD2" w:rsidP="00867DD2">
            <w:pPr>
              <w:spacing w:before="0" w:after="0"/>
              <w:jc w:val="center"/>
              <w:rPr>
                <w:rFonts w:cs="Arial"/>
                <w:b/>
                <w:bCs/>
                <w:color w:val="000000"/>
                <w:sz w:val="16"/>
                <w:szCs w:val="16"/>
                <w:lang w:val="fr-FR" w:eastAsia="fr-FR"/>
              </w:rPr>
            </w:pPr>
            <w:r w:rsidRPr="00867DD2">
              <w:rPr>
                <w:rFonts w:cs="Arial"/>
                <w:b/>
                <w:bCs/>
                <w:color w:val="000000"/>
                <w:sz w:val="16"/>
                <w:szCs w:val="16"/>
                <w:lang w:val="fr-FR" w:eastAsia="fr-FR"/>
              </w:rPr>
              <w:t>0</w:t>
            </w:r>
          </w:p>
        </w:tc>
      </w:tr>
    </w:tbl>
    <w:p w:rsidR="00303B93" w:rsidRPr="00C2351E" w:rsidRDefault="00151BF3" w:rsidP="00303B93">
      <w:pPr>
        <w:pStyle w:val="Standard"/>
        <w:spacing w:after="0" w:line="100" w:lineRule="atLeast"/>
        <w:ind w:left="720"/>
        <w:jc w:val="both"/>
        <w:rPr>
          <w:lang w:val="en-GB"/>
        </w:rPr>
      </w:pP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r w:rsidRPr="00C2351E">
        <w:rPr>
          <w:lang w:val="en-GB"/>
        </w:rPr>
        <w:tab/>
      </w:r>
    </w:p>
    <w:p w:rsidR="00151BF3" w:rsidRPr="00C94503" w:rsidRDefault="00151BF3" w:rsidP="00303B93">
      <w:pPr>
        <w:pStyle w:val="Standard"/>
        <w:spacing w:after="0" w:line="100" w:lineRule="atLeast"/>
        <w:jc w:val="both"/>
        <w:rPr>
          <w:rFonts w:ascii="Arial" w:hAnsi="Arial" w:cs="Arial"/>
          <w:b/>
          <w:lang w:val="en-GB"/>
        </w:rPr>
      </w:pPr>
      <w:r w:rsidRPr="00C94503">
        <w:rPr>
          <w:rFonts w:ascii="Arial" w:hAnsi="Arial" w:cs="Arial"/>
          <w:b/>
          <w:lang w:val="en-GB"/>
        </w:rPr>
        <w:t xml:space="preserve">ANNEX </w:t>
      </w:r>
      <w:r w:rsidR="00303B93" w:rsidRPr="00C94503">
        <w:rPr>
          <w:rFonts w:ascii="Arial" w:hAnsi="Arial" w:cs="Arial"/>
          <w:b/>
          <w:lang w:val="en-GB"/>
        </w:rPr>
        <w:t>I</w:t>
      </w:r>
      <w:r w:rsidR="00BB5EA4" w:rsidRPr="00C94503">
        <w:rPr>
          <w:rFonts w:ascii="Arial" w:hAnsi="Arial" w:cs="Arial"/>
          <w:b/>
          <w:lang w:val="en-GB"/>
        </w:rPr>
        <w:t>V: UK proposal</w:t>
      </w:r>
      <w:r w:rsidR="00C94503" w:rsidRPr="00C94503">
        <w:rPr>
          <w:rFonts w:ascii="Arial" w:hAnsi="Arial" w:cs="Arial"/>
          <w:b/>
          <w:lang w:val="en-GB"/>
        </w:rPr>
        <w:t xml:space="preserve"> </w:t>
      </w:r>
      <w:r w:rsidR="00C94503" w:rsidRPr="00C94503">
        <w:rPr>
          <w:rFonts w:ascii="Arial" w:hAnsi="Arial" w:cs="Arial"/>
          <w:b/>
          <w:lang w:eastAsia="zh-CN"/>
        </w:rPr>
        <w:t xml:space="preserve">without Munich (pupils or seconded staff members), </w:t>
      </w:r>
      <w:r w:rsidR="00C94503" w:rsidRPr="00C94503">
        <w:rPr>
          <w:rFonts w:ascii="Arial" w:hAnsi="Arial" w:cs="Arial"/>
          <w:b/>
          <w:lang w:val="en-GB"/>
        </w:rPr>
        <w:t>(data 2012/2013)</w:t>
      </w:r>
    </w:p>
    <w:tbl>
      <w:tblPr>
        <w:tblW w:w="14709" w:type="dxa"/>
        <w:tblLayout w:type="fixed"/>
        <w:tblLook w:val="04A0" w:firstRow="1" w:lastRow="0" w:firstColumn="1" w:lastColumn="0" w:noHBand="0" w:noVBand="1"/>
      </w:tblPr>
      <w:tblGrid>
        <w:gridCol w:w="1291"/>
        <w:gridCol w:w="992"/>
        <w:gridCol w:w="1134"/>
        <w:gridCol w:w="1958"/>
        <w:gridCol w:w="1019"/>
        <w:gridCol w:w="992"/>
        <w:gridCol w:w="993"/>
        <w:gridCol w:w="992"/>
        <w:gridCol w:w="992"/>
        <w:gridCol w:w="1134"/>
        <w:gridCol w:w="1276"/>
        <w:gridCol w:w="802"/>
        <w:gridCol w:w="1134"/>
      </w:tblGrid>
      <w:tr w:rsidR="00151BF3" w:rsidRPr="00C2351E" w:rsidTr="00F063DF">
        <w:trPr>
          <w:trHeight w:val="828"/>
        </w:trPr>
        <w:tc>
          <w:tcPr>
            <w:tcW w:w="12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bookmarkStart w:id="2" w:name="RANGE!A2:M32"/>
            <w:r w:rsidRPr="00C2351E">
              <w:rPr>
                <w:rFonts w:cs="Arial"/>
                <w:b/>
                <w:bCs/>
                <w:sz w:val="16"/>
                <w:szCs w:val="16"/>
                <w:lang w:eastAsia="zh-CN"/>
              </w:rPr>
              <w:t>Nationality</w:t>
            </w:r>
            <w:bookmarkEnd w:id="2"/>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Number of pupils by country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Breakdown of pupils by Member State (%)</w:t>
            </w:r>
          </w:p>
        </w:tc>
        <w:tc>
          <w:tcPr>
            <w:tcW w:w="1958"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u w:val="single"/>
                <w:lang w:eastAsia="zh-CN"/>
              </w:rPr>
            </w:pPr>
            <w:r w:rsidRPr="00C2351E">
              <w:rPr>
                <w:rFonts w:cs="Arial"/>
                <w:b/>
                <w:bCs/>
                <w:sz w:val="16"/>
                <w:szCs w:val="16"/>
                <w:u w:val="single"/>
                <w:lang w:eastAsia="zh-CN"/>
              </w:rPr>
              <w:t>Seconded Staff</w:t>
            </w:r>
            <w:r w:rsidRPr="00C2351E">
              <w:rPr>
                <w:rFonts w:cs="Arial"/>
                <w:b/>
                <w:bCs/>
                <w:sz w:val="16"/>
                <w:szCs w:val="16"/>
                <w:lang w:eastAsia="zh-CN"/>
              </w:rPr>
              <w:t>: Teachers, Educational Advisers, Librarians and Directors and Deputy Directors</w:t>
            </w:r>
          </w:p>
        </w:tc>
        <w:tc>
          <w:tcPr>
            <w:tcW w:w="1019"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u w:val="single"/>
                <w:lang w:eastAsia="zh-CN"/>
              </w:rPr>
            </w:pPr>
            <w:r w:rsidRPr="00C2351E">
              <w:rPr>
                <w:rFonts w:cs="Arial"/>
                <w:b/>
                <w:bCs/>
                <w:sz w:val="16"/>
                <w:szCs w:val="16"/>
                <w:u w:val="single"/>
                <w:lang w:eastAsia="zh-CN"/>
              </w:rPr>
              <w:t>Seconded staff</w:t>
            </w:r>
            <w:r w:rsidRPr="00C2351E">
              <w:rPr>
                <w:rFonts w:cs="Arial"/>
                <w:b/>
                <w:bCs/>
                <w:sz w:val="16"/>
                <w:szCs w:val="16"/>
                <w:lang w:eastAsia="zh-CN"/>
              </w:rPr>
              <w:t>: Bursars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u w:val="single"/>
                <w:lang w:eastAsia="zh-CN"/>
              </w:rPr>
              <w:t>Seconded staff</w:t>
            </w:r>
            <w:r w:rsidRPr="00C2351E">
              <w:rPr>
                <w:rFonts w:cs="Arial"/>
                <w:b/>
                <w:bCs/>
                <w:sz w:val="16"/>
                <w:szCs w:val="16"/>
                <w:lang w:eastAsia="zh-CN"/>
              </w:rPr>
              <w:t>: OSGES</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u w:val="single"/>
                <w:lang w:eastAsia="zh-CN"/>
              </w:rPr>
            </w:pPr>
            <w:r w:rsidRPr="00C2351E">
              <w:rPr>
                <w:rFonts w:cs="Arial"/>
                <w:b/>
                <w:bCs/>
                <w:sz w:val="16"/>
                <w:szCs w:val="16"/>
                <w:u w:val="single"/>
                <w:lang w:eastAsia="zh-CN"/>
              </w:rPr>
              <w:t>TOTAL Seconded staff in post</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u w:val="single"/>
                <w:lang w:eastAsia="zh-CN"/>
              </w:rPr>
            </w:pPr>
            <w:r w:rsidRPr="00C2351E">
              <w:rPr>
                <w:rFonts w:cs="Arial"/>
                <w:b/>
                <w:bCs/>
                <w:sz w:val="16"/>
                <w:szCs w:val="16"/>
                <w:u w:val="single"/>
                <w:lang w:eastAsia="zh-CN"/>
              </w:rPr>
              <w:t>Seconded staff required according to pupils of the MS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Difference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u w:val="single"/>
                <w:lang w:eastAsia="zh-CN"/>
              </w:rPr>
            </w:pPr>
            <w:r w:rsidRPr="00C2351E">
              <w:rPr>
                <w:rFonts w:cs="Arial"/>
                <w:b/>
                <w:bCs/>
                <w:sz w:val="16"/>
                <w:szCs w:val="16"/>
                <w:u w:val="single"/>
                <w:lang w:eastAsia="zh-CN"/>
              </w:rPr>
              <w:t>Staff salaries in 2012</w:t>
            </w:r>
          </w:p>
        </w:tc>
        <w:tc>
          <w:tcPr>
            <w:tcW w:w="802"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u w:val="single"/>
                <w:lang w:eastAsia="zh-CN"/>
              </w:rPr>
            </w:pPr>
            <w:r w:rsidRPr="00C2351E">
              <w:rPr>
                <w:rFonts w:cs="Arial"/>
                <w:b/>
                <w:bCs/>
                <w:sz w:val="16"/>
                <w:szCs w:val="16"/>
                <w:u w:val="single"/>
                <w:lang w:eastAsia="zh-CN"/>
              </w:rPr>
              <w:t>Percentage of funding</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Over/</w:t>
            </w:r>
            <w:r w:rsidRPr="00C2351E">
              <w:rPr>
                <w:rFonts w:cs="Arial"/>
                <w:b/>
                <w:bCs/>
                <w:color w:val="FF0000"/>
                <w:sz w:val="16"/>
                <w:szCs w:val="16"/>
                <w:lang w:eastAsia="zh-CN"/>
              </w:rPr>
              <w:t>Under</w:t>
            </w:r>
            <w:r w:rsidRPr="00C2351E">
              <w:rPr>
                <w:rFonts w:cs="Arial"/>
                <w:b/>
                <w:bCs/>
                <w:sz w:val="16"/>
                <w:szCs w:val="16"/>
                <w:lang w:eastAsia="zh-CN"/>
              </w:rPr>
              <w:t xml:space="preserve"> Contributor by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German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778</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w:t>
            </w:r>
            <w:r w:rsidR="004C67FC">
              <w:rPr>
                <w:rFonts w:cs="Arial"/>
                <w:b/>
                <w:bCs/>
                <w:sz w:val="16"/>
                <w:szCs w:val="16"/>
                <w:lang w:eastAsia="zh-CN"/>
              </w:rPr>
              <w:t>.</w:t>
            </w:r>
            <w:r w:rsidRPr="00C2351E">
              <w:rPr>
                <w:rFonts w:cs="Arial"/>
                <w:b/>
                <w:bCs/>
                <w:sz w:val="16"/>
                <w:szCs w:val="16"/>
                <w:lang w:eastAsia="zh-CN"/>
              </w:rPr>
              <w:t>25%</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197</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14</w:t>
            </w:r>
            <w:r w:rsidR="004C67FC">
              <w:rPr>
                <w:rFonts w:cs="Arial"/>
                <w:b/>
                <w:bCs/>
                <w:sz w:val="16"/>
                <w:szCs w:val="16"/>
                <w:lang w:eastAsia="zh-CN"/>
              </w:rPr>
              <w:t>.</w:t>
            </w:r>
            <w:r w:rsidRPr="00C2351E">
              <w:rPr>
                <w:rFonts w:cs="Arial"/>
                <w:b/>
                <w:bCs/>
                <w:sz w:val="16"/>
                <w:szCs w:val="16"/>
                <w:lang w:eastAsia="zh-CN"/>
              </w:rPr>
              <w:t>51%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183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18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10</w:t>
            </w:r>
            <w:r w:rsidR="004C67FC">
              <w:rPr>
                <w:rFonts w:cs="Arial"/>
                <w:b/>
                <w:bCs/>
                <w:sz w:val="16"/>
                <w:szCs w:val="16"/>
                <w:lang w:eastAsia="zh-CN"/>
              </w:rPr>
              <w:t>,</w:t>
            </w:r>
            <w:r w:rsidRPr="00C2351E">
              <w:rPr>
                <w:rFonts w:cs="Arial"/>
                <w:b/>
                <w:bCs/>
                <w:sz w:val="16"/>
                <w:szCs w:val="16"/>
                <w:lang w:eastAsia="zh-CN"/>
              </w:rPr>
              <w:t>721</w:t>
            </w:r>
            <w:r w:rsidR="004C67FC">
              <w:rPr>
                <w:rFonts w:cs="Arial"/>
                <w:b/>
                <w:bCs/>
                <w:sz w:val="16"/>
                <w:szCs w:val="16"/>
                <w:lang w:eastAsia="zh-CN"/>
              </w:rPr>
              <w:t>,</w:t>
            </w:r>
            <w:r w:rsidRPr="00C2351E">
              <w:rPr>
                <w:rFonts w:cs="Arial"/>
                <w:b/>
                <w:bCs/>
                <w:sz w:val="16"/>
                <w:szCs w:val="16"/>
                <w:lang w:eastAsia="zh-CN"/>
              </w:rPr>
              <w:t>559</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w:t>
            </w:r>
            <w:r w:rsidR="004C67FC">
              <w:rPr>
                <w:rFonts w:cs="Arial"/>
                <w:b/>
                <w:bCs/>
                <w:sz w:val="16"/>
                <w:szCs w:val="16"/>
                <w:lang w:eastAsia="zh-CN"/>
              </w:rPr>
              <w:t>.</w:t>
            </w:r>
            <w:r w:rsidRPr="00C2351E">
              <w:rPr>
                <w:rFonts w:cs="Arial"/>
                <w:b/>
                <w:bCs/>
                <w:sz w:val="16"/>
                <w:szCs w:val="16"/>
                <w:lang w:eastAsia="zh-CN"/>
              </w:rPr>
              <w:t>74</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523</w:t>
            </w:r>
            <w:r w:rsidR="004C67FC">
              <w:rPr>
                <w:rFonts w:cs="Arial"/>
                <w:b/>
                <w:bCs/>
                <w:sz w:val="16"/>
                <w:szCs w:val="16"/>
                <w:lang w:eastAsia="zh-CN"/>
              </w:rPr>
              <w:t>,</w:t>
            </w:r>
            <w:r w:rsidRPr="00C2351E">
              <w:rPr>
                <w:rFonts w:cs="Arial"/>
                <w:b/>
                <w:bCs/>
                <w:sz w:val="16"/>
                <w:szCs w:val="16"/>
                <w:lang w:eastAsia="zh-CN"/>
              </w:rPr>
              <w:t xml:space="preserve">698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Austrian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287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37%</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17</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17</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23%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-2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701</w:t>
            </w:r>
            <w:r w:rsidR="004C67FC">
              <w:rPr>
                <w:rFonts w:cs="Arial"/>
                <w:b/>
                <w:bCs/>
                <w:sz w:val="16"/>
                <w:szCs w:val="16"/>
                <w:lang w:eastAsia="zh-CN"/>
              </w:rPr>
              <w:t>,</w:t>
            </w:r>
            <w:r w:rsidRPr="00C2351E">
              <w:rPr>
                <w:rFonts w:cs="Arial"/>
                <w:b/>
                <w:bCs/>
                <w:sz w:val="16"/>
                <w:szCs w:val="16"/>
                <w:lang w:eastAsia="zh-CN"/>
              </w:rPr>
              <w:t>360</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29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-42</w:t>
            </w:r>
            <w:r w:rsidR="004C67FC">
              <w:rPr>
                <w:rFonts w:cs="Arial"/>
                <w:b/>
                <w:bCs/>
                <w:color w:val="FF0000"/>
                <w:sz w:val="16"/>
                <w:szCs w:val="16"/>
                <w:lang w:eastAsia="zh-CN"/>
              </w:rPr>
              <w:t>,</w:t>
            </w:r>
            <w:r w:rsidRPr="00C2351E">
              <w:rPr>
                <w:rFonts w:cs="Arial"/>
                <w:b/>
                <w:bCs/>
                <w:color w:val="FF0000"/>
                <w:sz w:val="16"/>
                <w:szCs w:val="16"/>
                <w:lang w:eastAsia="zh-CN"/>
              </w:rPr>
              <w:t xml:space="preserve">263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Belgian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322</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11</w:t>
            </w:r>
            <w:r w:rsidR="004C67FC">
              <w:rPr>
                <w:rFonts w:cs="Arial"/>
                <w:b/>
                <w:bCs/>
                <w:sz w:val="16"/>
                <w:szCs w:val="16"/>
                <w:lang w:eastAsia="zh-CN"/>
              </w:rPr>
              <w:t>.</w:t>
            </w:r>
            <w:r w:rsidRPr="00C2351E">
              <w:rPr>
                <w:rFonts w:cs="Arial"/>
                <w:b/>
                <w:bCs/>
                <w:sz w:val="16"/>
                <w:szCs w:val="16"/>
                <w:lang w:eastAsia="zh-CN"/>
              </w:rPr>
              <w:t>08%</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193</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198</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14</w:t>
            </w:r>
            <w:r w:rsidR="004C67FC">
              <w:rPr>
                <w:rFonts w:cs="Arial"/>
                <w:b/>
                <w:bCs/>
                <w:sz w:val="16"/>
                <w:szCs w:val="16"/>
                <w:lang w:eastAsia="zh-CN"/>
              </w:rPr>
              <w:t>.</w:t>
            </w:r>
            <w:r w:rsidRPr="00C2351E">
              <w:rPr>
                <w:rFonts w:cs="Arial"/>
                <w:b/>
                <w:bCs/>
                <w:sz w:val="16"/>
                <w:szCs w:val="16"/>
                <w:lang w:eastAsia="zh-CN"/>
              </w:rPr>
              <w:t>30%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153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45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10</w:t>
            </w:r>
            <w:r w:rsidR="004C67FC">
              <w:rPr>
                <w:rFonts w:cs="Arial"/>
                <w:b/>
                <w:bCs/>
                <w:sz w:val="16"/>
                <w:szCs w:val="16"/>
                <w:lang w:eastAsia="zh-CN"/>
              </w:rPr>
              <w:t>,</w:t>
            </w:r>
            <w:r w:rsidRPr="00C2351E">
              <w:rPr>
                <w:rFonts w:cs="Arial"/>
                <w:b/>
                <w:bCs/>
                <w:sz w:val="16"/>
                <w:szCs w:val="16"/>
                <w:lang w:eastAsia="zh-CN"/>
              </w:rPr>
              <w:t>083</w:t>
            </w:r>
            <w:r w:rsidR="004C67FC">
              <w:rPr>
                <w:rFonts w:cs="Arial"/>
                <w:b/>
                <w:bCs/>
                <w:sz w:val="16"/>
                <w:szCs w:val="16"/>
                <w:lang w:eastAsia="zh-CN"/>
              </w:rPr>
              <w:t>,</w:t>
            </w:r>
            <w:r w:rsidRPr="00C2351E">
              <w:rPr>
                <w:rFonts w:cs="Arial"/>
                <w:b/>
                <w:bCs/>
                <w:sz w:val="16"/>
                <w:szCs w:val="16"/>
                <w:lang w:eastAsia="zh-CN"/>
              </w:rPr>
              <w:t>131</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18</w:t>
            </w:r>
            <w:r w:rsidR="004C67FC">
              <w:rPr>
                <w:rFonts w:cs="Arial"/>
                <w:b/>
                <w:bCs/>
                <w:sz w:val="16"/>
                <w:szCs w:val="16"/>
                <w:lang w:eastAsia="zh-CN"/>
              </w:rPr>
              <w:t>.</w:t>
            </w:r>
            <w:r w:rsidRPr="00C2351E">
              <w:rPr>
                <w:rFonts w:cs="Arial"/>
                <w:b/>
                <w:bCs/>
                <w:sz w:val="16"/>
                <w:szCs w:val="16"/>
                <w:lang w:eastAsia="zh-CN"/>
              </w:rPr>
              <w:t>57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r w:rsidR="004C67FC">
              <w:rPr>
                <w:rFonts w:cs="Arial"/>
                <w:b/>
                <w:bCs/>
                <w:sz w:val="16"/>
                <w:szCs w:val="16"/>
                <w:lang w:eastAsia="zh-CN"/>
              </w:rPr>
              <w:t>,</w:t>
            </w:r>
            <w:r w:rsidRPr="00C2351E">
              <w:rPr>
                <w:rFonts w:cs="Arial"/>
                <w:b/>
                <w:bCs/>
                <w:sz w:val="16"/>
                <w:szCs w:val="16"/>
                <w:lang w:eastAsia="zh-CN"/>
              </w:rPr>
              <w:t>066</w:t>
            </w:r>
            <w:r w:rsidR="004C67FC">
              <w:rPr>
                <w:rFonts w:cs="Arial"/>
                <w:b/>
                <w:bCs/>
                <w:sz w:val="16"/>
                <w:szCs w:val="16"/>
                <w:lang w:eastAsia="zh-CN"/>
              </w:rPr>
              <w:t>,</w:t>
            </w:r>
            <w:r w:rsidRPr="00C2351E">
              <w:rPr>
                <w:rFonts w:cs="Arial"/>
                <w:b/>
                <w:bCs/>
                <w:sz w:val="16"/>
                <w:szCs w:val="16"/>
                <w:lang w:eastAsia="zh-CN"/>
              </w:rPr>
              <w:t xml:space="preserve">776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British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610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w:t>
            </w:r>
            <w:r w:rsidR="004C67FC">
              <w:rPr>
                <w:rFonts w:cs="Arial"/>
                <w:b/>
                <w:bCs/>
                <w:sz w:val="16"/>
                <w:szCs w:val="16"/>
                <w:lang w:eastAsia="zh-CN"/>
              </w:rPr>
              <w:t>.</w:t>
            </w:r>
            <w:r w:rsidRPr="00C2351E">
              <w:rPr>
                <w:rFonts w:cs="Arial"/>
                <w:b/>
                <w:bCs/>
                <w:sz w:val="16"/>
                <w:szCs w:val="16"/>
                <w:lang w:eastAsia="zh-CN"/>
              </w:rPr>
              <w:t>68%</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203</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14</w:t>
            </w:r>
            <w:r w:rsidR="004C67FC">
              <w:rPr>
                <w:rFonts w:cs="Arial"/>
                <w:b/>
                <w:bCs/>
                <w:sz w:val="16"/>
                <w:szCs w:val="16"/>
                <w:lang w:eastAsia="zh-CN"/>
              </w:rPr>
              <w:t>.</w:t>
            </w:r>
            <w:r w:rsidRPr="00C2351E">
              <w:rPr>
                <w:rFonts w:cs="Arial"/>
                <w:b/>
                <w:bCs/>
                <w:sz w:val="16"/>
                <w:szCs w:val="16"/>
                <w:lang w:eastAsia="zh-CN"/>
              </w:rPr>
              <w:t>66%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106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97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w:t>
            </w:r>
            <w:r w:rsidR="004C67FC">
              <w:rPr>
                <w:rFonts w:cs="Arial"/>
                <w:b/>
                <w:bCs/>
                <w:sz w:val="16"/>
                <w:szCs w:val="16"/>
                <w:lang w:eastAsia="zh-CN"/>
              </w:rPr>
              <w:t>,</w:t>
            </w:r>
            <w:r w:rsidRPr="00C2351E">
              <w:rPr>
                <w:rFonts w:cs="Arial"/>
                <w:b/>
                <w:bCs/>
                <w:sz w:val="16"/>
                <w:szCs w:val="16"/>
                <w:lang w:eastAsia="zh-CN"/>
              </w:rPr>
              <w:t>434</w:t>
            </w:r>
            <w:r w:rsidR="004C67FC">
              <w:rPr>
                <w:rFonts w:cs="Arial"/>
                <w:b/>
                <w:bCs/>
                <w:sz w:val="16"/>
                <w:szCs w:val="16"/>
                <w:lang w:eastAsia="zh-CN"/>
              </w:rPr>
              <w:t>,</w:t>
            </w:r>
            <w:r w:rsidRPr="00C2351E">
              <w:rPr>
                <w:rFonts w:cs="Arial"/>
                <w:b/>
                <w:bCs/>
                <w:sz w:val="16"/>
                <w:szCs w:val="16"/>
                <w:lang w:eastAsia="zh-CN"/>
              </w:rPr>
              <w:t>406</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w:t>
            </w:r>
            <w:r w:rsidR="004C67FC">
              <w:rPr>
                <w:rFonts w:cs="Arial"/>
                <w:b/>
                <w:bCs/>
                <w:sz w:val="16"/>
                <w:szCs w:val="16"/>
                <w:lang w:eastAsia="zh-CN"/>
              </w:rPr>
              <w:t>.</w:t>
            </w:r>
            <w:r w:rsidRPr="00C2351E">
              <w:rPr>
                <w:rFonts w:cs="Arial"/>
                <w:b/>
                <w:bCs/>
                <w:sz w:val="16"/>
                <w:szCs w:val="16"/>
                <w:lang w:eastAsia="zh-CN"/>
              </w:rPr>
              <w:t>69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262</w:t>
            </w:r>
            <w:r w:rsidR="004C67FC">
              <w:rPr>
                <w:rFonts w:cs="Arial"/>
                <w:b/>
                <w:bCs/>
                <w:sz w:val="16"/>
                <w:szCs w:val="16"/>
                <w:lang w:eastAsia="zh-CN"/>
              </w:rPr>
              <w:t>,</w:t>
            </w:r>
            <w:r w:rsidRPr="00C2351E">
              <w:rPr>
                <w:rFonts w:cs="Arial"/>
                <w:b/>
                <w:bCs/>
                <w:sz w:val="16"/>
                <w:szCs w:val="16"/>
                <w:lang w:eastAsia="zh-CN"/>
              </w:rPr>
              <w:t xml:space="preserve">860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Bulgarian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297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42%</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36%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-15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w:t>
            </w:r>
            <w:r w:rsidR="004C67FC">
              <w:rPr>
                <w:rFonts w:cs="Arial"/>
                <w:b/>
                <w:bCs/>
                <w:sz w:val="16"/>
                <w:szCs w:val="16"/>
                <w:lang w:eastAsia="zh-CN"/>
              </w:rPr>
              <w:t>,</w:t>
            </w:r>
            <w:r w:rsidRPr="00C2351E">
              <w:rPr>
                <w:rFonts w:cs="Arial"/>
                <w:b/>
                <w:bCs/>
                <w:sz w:val="16"/>
                <w:szCs w:val="16"/>
                <w:lang w:eastAsia="zh-CN"/>
              </w:rPr>
              <w:t>972</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-762</w:t>
            </w:r>
            <w:r w:rsidR="004C67FC">
              <w:rPr>
                <w:rFonts w:cs="Arial"/>
                <w:b/>
                <w:bCs/>
                <w:color w:val="FF0000"/>
                <w:sz w:val="16"/>
                <w:szCs w:val="16"/>
                <w:lang w:eastAsia="zh-CN"/>
              </w:rPr>
              <w:t>,</w:t>
            </w:r>
            <w:r w:rsidRPr="00C2351E">
              <w:rPr>
                <w:rFonts w:cs="Arial"/>
                <w:b/>
                <w:bCs/>
                <w:color w:val="FF0000"/>
                <w:sz w:val="16"/>
                <w:szCs w:val="16"/>
                <w:lang w:eastAsia="zh-CN"/>
              </w:rPr>
              <w:t xml:space="preserve">562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Cypriot</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38</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18%</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-3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-98</w:t>
            </w:r>
            <w:r w:rsidR="004C67FC">
              <w:rPr>
                <w:rFonts w:cs="Arial"/>
                <w:b/>
                <w:bCs/>
                <w:color w:val="FF0000"/>
                <w:sz w:val="16"/>
                <w:szCs w:val="16"/>
                <w:lang w:eastAsia="zh-CN"/>
              </w:rPr>
              <w:t>,</w:t>
            </w:r>
            <w:r w:rsidRPr="00C2351E">
              <w:rPr>
                <w:rFonts w:cs="Arial"/>
                <w:b/>
                <w:bCs/>
                <w:color w:val="FF0000"/>
                <w:sz w:val="16"/>
                <w:szCs w:val="16"/>
                <w:lang w:eastAsia="zh-CN"/>
              </w:rPr>
              <w:t xml:space="preserve">459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Danish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610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91%</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31</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24%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-9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645</w:t>
            </w:r>
            <w:r w:rsidR="004C67FC">
              <w:rPr>
                <w:rFonts w:cs="Arial"/>
                <w:b/>
                <w:bCs/>
                <w:sz w:val="16"/>
                <w:szCs w:val="16"/>
                <w:lang w:eastAsia="zh-CN"/>
              </w:rPr>
              <w:t>,</w:t>
            </w:r>
            <w:r w:rsidRPr="00C2351E">
              <w:rPr>
                <w:rFonts w:cs="Arial"/>
                <w:b/>
                <w:bCs/>
                <w:sz w:val="16"/>
                <w:szCs w:val="16"/>
                <w:lang w:eastAsia="zh-CN"/>
              </w:rPr>
              <w:t>160</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03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64</w:t>
            </w:r>
            <w:r w:rsidR="004C67FC">
              <w:rPr>
                <w:rFonts w:cs="Arial"/>
                <w:b/>
                <w:bCs/>
                <w:sz w:val="16"/>
                <w:szCs w:val="16"/>
                <w:lang w:eastAsia="zh-CN"/>
              </w:rPr>
              <w:t>,</w:t>
            </w:r>
            <w:r w:rsidRPr="00C2351E">
              <w:rPr>
                <w:rFonts w:cs="Arial"/>
                <w:b/>
                <w:bCs/>
                <w:sz w:val="16"/>
                <w:szCs w:val="16"/>
                <w:lang w:eastAsia="zh-CN"/>
              </w:rPr>
              <w:t xml:space="preserve">636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Spanish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793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w:t>
            </w:r>
            <w:r w:rsidR="004C67FC">
              <w:rPr>
                <w:rFonts w:cs="Arial"/>
                <w:b/>
                <w:bCs/>
                <w:sz w:val="16"/>
                <w:szCs w:val="16"/>
                <w:lang w:eastAsia="zh-CN"/>
              </w:rPr>
              <w:t>.</w:t>
            </w:r>
            <w:r w:rsidRPr="00C2351E">
              <w:rPr>
                <w:rFonts w:cs="Arial"/>
                <w:b/>
                <w:bCs/>
                <w:sz w:val="16"/>
                <w:szCs w:val="16"/>
                <w:lang w:eastAsia="zh-CN"/>
              </w:rPr>
              <w:t>55%</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86</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w:t>
            </w:r>
            <w:r w:rsidR="004C67FC">
              <w:rPr>
                <w:rFonts w:cs="Arial"/>
                <w:b/>
                <w:bCs/>
                <w:sz w:val="16"/>
                <w:szCs w:val="16"/>
                <w:lang w:eastAsia="zh-CN"/>
              </w:rPr>
              <w:t>.</w:t>
            </w:r>
            <w:r w:rsidRPr="00C2351E">
              <w:rPr>
                <w:rFonts w:cs="Arial"/>
                <w:b/>
                <w:bCs/>
                <w:sz w:val="16"/>
                <w:szCs w:val="16"/>
                <w:lang w:eastAsia="zh-CN"/>
              </w:rPr>
              <w:t>43%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118</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-29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664</w:t>
            </w:r>
            <w:r w:rsidR="004C67FC">
              <w:rPr>
                <w:rFonts w:cs="Arial"/>
                <w:b/>
                <w:bCs/>
                <w:sz w:val="16"/>
                <w:szCs w:val="16"/>
                <w:lang w:eastAsia="zh-CN"/>
              </w:rPr>
              <w:t>,</w:t>
            </w:r>
            <w:r w:rsidRPr="00C2351E">
              <w:rPr>
                <w:rFonts w:cs="Arial"/>
                <w:b/>
                <w:bCs/>
                <w:sz w:val="16"/>
                <w:szCs w:val="16"/>
                <w:lang w:eastAsia="zh-CN"/>
              </w:rPr>
              <w:t>866</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r w:rsidR="004C67FC">
              <w:rPr>
                <w:rFonts w:cs="Arial"/>
                <w:b/>
                <w:bCs/>
                <w:sz w:val="16"/>
                <w:szCs w:val="16"/>
                <w:lang w:eastAsia="zh-CN"/>
              </w:rPr>
              <w:t>.</w:t>
            </w:r>
            <w:r w:rsidRPr="00C2351E">
              <w:rPr>
                <w:rFonts w:cs="Arial"/>
                <w:b/>
                <w:bCs/>
                <w:sz w:val="16"/>
                <w:szCs w:val="16"/>
                <w:lang w:eastAsia="zh-CN"/>
              </w:rPr>
              <w:t>91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-1</w:t>
            </w:r>
            <w:r w:rsidR="004C67FC">
              <w:rPr>
                <w:rFonts w:cs="Arial"/>
                <w:b/>
                <w:bCs/>
                <w:color w:val="FF0000"/>
                <w:sz w:val="16"/>
                <w:szCs w:val="16"/>
                <w:lang w:eastAsia="zh-CN"/>
              </w:rPr>
              <w:t>,</w:t>
            </w:r>
            <w:r w:rsidRPr="00C2351E">
              <w:rPr>
                <w:rFonts w:cs="Arial"/>
                <w:b/>
                <w:bCs/>
                <w:color w:val="FF0000"/>
                <w:sz w:val="16"/>
                <w:szCs w:val="16"/>
                <w:lang w:eastAsia="zh-CN"/>
              </w:rPr>
              <w:t>980</w:t>
            </w:r>
            <w:r w:rsidR="004C67FC">
              <w:rPr>
                <w:rFonts w:cs="Arial"/>
                <w:b/>
                <w:bCs/>
                <w:color w:val="FF0000"/>
                <w:sz w:val="16"/>
                <w:szCs w:val="16"/>
                <w:lang w:eastAsia="zh-CN"/>
              </w:rPr>
              <w:t>,</w:t>
            </w:r>
            <w:r w:rsidRPr="00C2351E">
              <w:rPr>
                <w:rFonts w:cs="Arial"/>
                <w:b/>
                <w:bCs/>
                <w:color w:val="FF0000"/>
                <w:sz w:val="16"/>
                <w:szCs w:val="16"/>
                <w:lang w:eastAsia="zh-CN"/>
              </w:rPr>
              <w:t xml:space="preserve">838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Estonian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97%</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29%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-9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36</w:t>
            </w:r>
            <w:r w:rsidR="004C67FC">
              <w:rPr>
                <w:rFonts w:cs="Arial"/>
                <w:b/>
                <w:bCs/>
                <w:sz w:val="16"/>
                <w:szCs w:val="16"/>
                <w:lang w:eastAsia="zh-CN"/>
              </w:rPr>
              <w:t>,</w:t>
            </w:r>
            <w:r w:rsidRPr="00C2351E">
              <w:rPr>
                <w:rFonts w:cs="Arial"/>
                <w:b/>
                <w:bCs/>
                <w:sz w:val="16"/>
                <w:szCs w:val="16"/>
                <w:lang w:eastAsia="zh-CN"/>
              </w:rPr>
              <w:t>858</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-489</w:t>
            </w:r>
            <w:r w:rsidR="004C67FC">
              <w:rPr>
                <w:rFonts w:cs="Arial"/>
                <w:b/>
                <w:bCs/>
                <w:color w:val="FF0000"/>
                <w:sz w:val="16"/>
                <w:szCs w:val="16"/>
                <w:lang w:eastAsia="zh-CN"/>
              </w:rPr>
              <w:t>,</w:t>
            </w:r>
            <w:r w:rsidRPr="00C2351E">
              <w:rPr>
                <w:rFonts w:cs="Arial"/>
                <w:b/>
                <w:bCs/>
                <w:color w:val="FF0000"/>
                <w:sz w:val="16"/>
                <w:szCs w:val="16"/>
                <w:lang w:eastAsia="zh-CN"/>
              </w:rPr>
              <w:t xml:space="preserve">120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Finnish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653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12%</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32</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38%</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-10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197</w:t>
            </w:r>
            <w:r w:rsidR="004C67FC">
              <w:rPr>
                <w:rFonts w:cs="Arial"/>
                <w:b/>
                <w:bCs/>
                <w:sz w:val="16"/>
                <w:szCs w:val="16"/>
                <w:lang w:eastAsia="zh-CN"/>
              </w:rPr>
              <w:t>,</w:t>
            </w:r>
            <w:r w:rsidRPr="00C2351E">
              <w:rPr>
                <w:rFonts w:cs="Arial"/>
                <w:b/>
                <w:bCs/>
                <w:sz w:val="16"/>
                <w:szCs w:val="16"/>
                <w:lang w:eastAsia="zh-CN"/>
              </w:rPr>
              <w:t>728</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21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-494</w:t>
            </w:r>
            <w:r w:rsidR="004C67FC">
              <w:rPr>
                <w:rFonts w:cs="Arial"/>
                <w:b/>
                <w:bCs/>
                <w:color w:val="FF0000"/>
                <w:sz w:val="16"/>
                <w:szCs w:val="16"/>
                <w:lang w:eastAsia="zh-CN"/>
              </w:rPr>
              <w:t>,</w:t>
            </w:r>
            <w:r w:rsidRPr="00C2351E">
              <w:rPr>
                <w:rFonts w:cs="Arial"/>
                <w:b/>
                <w:bCs/>
                <w:color w:val="FF0000"/>
                <w:sz w:val="16"/>
                <w:szCs w:val="16"/>
                <w:lang w:eastAsia="zh-CN"/>
              </w:rPr>
              <w:t xml:space="preserve">210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French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756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w:t>
            </w:r>
            <w:r w:rsidR="004C67FC">
              <w:rPr>
                <w:rFonts w:cs="Arial"/>
                <w:b/>
                <w:bCs/>
                <w:sz w:val="16"/>
                <w:szCs w:val="16"/>
                <w:lang w:eastAsia="zh-CN"/>
              </w:rPr>
              <w:t>.</w:t>
            </w:r>
            <w:r w:rsidRPr="00C2351E">
              <w:rPr>
                <w:rFonts w:cs="Arial"/>
                <w:b/>
                <w:bCs/>
                <w:sz w:val="16"/>
                <w:szCs w:val="16"/>
                <w:lang w:eastAsia="zh-CN"/>
              </w:rPr>
              <w:t>15%</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175</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175</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12</w:t>
            </w:r>
            <w:r w:rsidR="004C67FC">
              <w:rPr>
                <w:rFonts w:cs="Arial"/>
                <w:b/>
                <w:bCs/>
                <w:sz w:val="16"/>
                <w:szCs w:val="16"/>
                <w:lang w:eastAsia="zh-CN"/>
              </w:rPr>
              <w:t>.</w:t>
            </w:r>
            <w:r w:rsidRPr="00C2351E">
              <w:rPr>
                <w:rFonts w:cs="Arial"/>
                <w:b/>
                <w:bCs/>
                <w:sz w:val="16"/>
                <w:szCs w:val="16"/>
                <w:lang w:eastAsia="zh-CN"/>
              </w:rPr>
              <w:t>64%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182</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-7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r w:rsidR="004C67FC">
              <w:rPr>
                <w:rFonts w:cs="Arial"/>
                <w:b/>
                <w:bCs/>
                <w:sz w:val="16"/>
                <w:szCs w:val="16"/>
                <w:lang w:eastAsia="zh-CN"/>
              </w:rPr>
              <w:t>,</w:t>
            </w:r>
            <w:r w:rsidRPr="00C2351E">
              <w:rPr>
                <w:rFonts w:cs="Arial"/>
                <w:b/>
                <w:bCs/>
                <w:sz w:val="16"/>
                <w:szCs w:val="16"/>
                <w:lang w:eastAsia="zh-CN"/>
              </w:rPr>
              <w:t>482</w:t>
            </w:r>
            <w:r w:rsidR="004C67FC">
              <w:rPr>
                <w:rFonts w:cs="Arial"/>
                <w:b/>
                <w:bCs/>
                <w:sz w:val="16"/>
                <w:szCs w:val="16"/>
                <w:lang w:eastAsia="zh-CN"/>
              </w:rPr>
              <w:t>,</w:t>
            </w:r>
            <w:r w:rsidRPr="00C2351E">
              <w:rPr>
                <w:rFonts w:cs="Arial"/>
                <w:b/>
                <w:bCs/>
                <w:sz w:val="16"/>
                <w:szCs w:val="16"/>
                <w:lang w:eastAsia="zh-CN"/>
              </w:rPr>
              <w:t>375</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10</w:t>
            </w:r>
            <w:r w:rsidR="004C67FC">
              <w:rPr>
                <w:rFonts w:cs="Arial"/>
                <w:b/>
                <w:bCs/>
                <w:sz w:val="16"/>
                <w:szCs w:val="16"/>
                <w:lang w:eastAsia="zh-CN"/>
              </w:rPr>
              <w:t>.</w:t>
            </w:r>
            <w:r w:rsidRPr="00C2351E">
              <w:rPr>
                <w:rFonts w:cs="Arial"/>
                <w:b/>
                <w:bCs/>
                <w:sz w:val="16"/>
                <w:szCs w:val="16"/>
                <w:lang w:eastAsia="zh-CN"/>
              </w:rPr>
              <w:t>09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-1</w:t>
            </w:r>
            <w:r w:rsidR="004C67FC">
              <w:rPr>
                <w:rFonts w:cs="Arial"/>
                <w:b/>
                <w:bCs/>
                <w:color w:val="FF0000"/>
                <w:sz w:val="16"/>
                <w:szCs w:val="16"/>
                <w:lang w:eastAsia="zh-CN"/>
              </w:rPr>
              <w:t>,</w:t>
            </w:r>
            <w:r w:rsidRPr="00C2351E">
              <w:rPr>
                <w:rFonts w:cs="Arial"/>
                <w:b/>
                <w:bCs/>
                <w:color w:val="FF0000"/>
                <w:sz w:val="16"/>
                <w:szCs w:val="16"/>
                <w:lang w:eastAsia="zh-CN"/>
              </w:rPr>
              <w:t>658</w:t>
            </w:r>
            <w:r w:rsidR="004C67FC">
              <w:rPr>
                <w:rFonts w:cs="Arial"/>
                <w:b/>
                <w:bCs/>
                <w:color w:val="FF0000"/>
                <w:sz w:val="16"/>
                <w:szCs w:val="16"/>
                <w:lang w:eastAsia="zh-CN"/>
              </w:rPr>
              <w:t>,</w:t>
            </w:r>
            <w:r w:rsidRPr="00C2351E">
              <w:rPr>
                <w:rFonts w:cs="Arial"/>
                <w:b/>
                <w:bCs/>
                <w:color w:val="FF0000"/>
                <w:sz w:val="16"/>
                <w:szCs w:val="16"/>
                <w:lang w:eastAsia="zh-CN"/>
              </w:rPr>
              <w:t xml:space="preserve">483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Greek</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697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33%</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39</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96%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-5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770</w:t>
            </w:r>
            <w:r w:rsidR="004C67FC">
              <w:rPr>
                <w:rFonts w:cs="Arial"/>
                <w:b/>
                <w:bCs/>
                <w:sz w:val="16"/>
                <w:szCs w:val="16"/>
                <w:lang w:eastAsia="zh-CN"/>
              </w:rPr>
              <w:t>,</w:t>
            </w:r>
            <w:r w:rsidRPr="00C2351E">
              <w:rPr>
                <w:rFonts w:cs="Arial"/>
                <w:b/>
                <w:bCs/>
                <w:sz w:val="16"/>
                <w:szCs w:val="16"/>
                <w:lang w:eastAsia="zh-CN"/>
              </w:rPr>
              <w:t>334</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42</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-1</w:t>
            </w:r>
            <w:r w:rsidR="004C67FC">
              <w:rPr>
                <w:rFonts w:cs="Arial"/>
                <w:b/>
                <w:bCs/>
                <w:color w:val="FF0000"/>
                <w:sz w:val="16"/>
                <w:szCs w:val="16"/>
                <w:lang w:eastAsia="zh-CN"/>
              </w:rPr>
              <w:t>,</w:t>
            </w:r>
            <w:r w:rsidRPr="00C2351E">
              <w:rPr>
                <w:rFonts w:cs="Arial"/>
                <w:b/>
                <w:bCs/>
                <w:color w:val="FF0000"/>
                <w:sz w:val="16"/>
                <w:szCs w:val="16"/>
                <w:lang w:eastAsia="zh-CN"/>
              </w:rPr>
              <w:t>035</w:t>
            </w:r>
            <w:r w:rsidR="004C67FC">
              <w:rPr>
                <w:rFonts w:cs="Arial"/>
                <w:b/>
                <w:bCs/>
                <w:color w:val="FF0000"/>
                <w:sz w:val="16"/>
                <w:szCs w:val="16"/>
                <w:lang w:eastAsia="zh-CN"/>
              </w:rPr>
              <w:t>,</w:t>
            </w:r>
            <w:r w:rsidRPr="00C2351E">
              <w:rPr>
                <w:rFonts w:cs="Arial"/>
                <w:b/>
                <w:bCs/>
                <w:color w:val="FF0000"/>
                <w:sz w:val="16"/>
                <w:szCs w:val="16"/>
                <w:lang w:eastAsia="zh-CN"/>
              </w:rPr>
              <w:t xml:space="preserve">609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Hungarian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301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44%</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16</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16%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-4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100</w:t>
            </w:r>
            <w:r w:rsidR="004C67FC">
              <w:rPr>
                <w:rFonts w:cs="Arial"/>
                <w:b/>
                <w:bCs/>
                <w:sz w:val="16"/>
                <w:szCs w:val="16"/>
                <w:lang w:eastAsia="zh-CN"/>
              </w:rPr>
              <w:t>,</w:t>
            </w:r>
            <w:r w:rsidRPr="00C2351E">
              <w:rPr>
                <w:rFonts w:cs="Arial"/>
                <w:b/>
                <w:bCs/>
                <w:sz w:val="16"/>
                <w:szCs w:val="16"/>
                <w:lang w:eastAsia="zh-CN"/>
              </w:rPr>
              <w:t>799</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19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-679</w:t>
            </w:r>
            <w:r w:rsidR="004C67FC">
              <w:rPr>
                <w:rFonts w:cs="Arial"/>
                <w:b/>
                <w:bCs/>
                <w:color w:val="FF0000"/>
                <w:sz w:val="16"/>
                <w:szCs w:val="16"/>
                <w:lang w:eastAsia="zh-CN"/>
              </w:rPr>
              <w:t>,</w:t>
            </w:r>
            <w:r w:rsidRPr="00C2351E">
              <w:rPr>
                <w:rFonts w:cs="Arial"/>
                <w:b/>
                <w:bCs/>
                <w:color w:val="FF0000"/>
                <w:sz w:val="16"/>
                <w:szCs w:val="16"/>
                <w:lang w:eastAsia="zh-CN"/>
              </w:rPr>
              <w:t xml:space="preserve">099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Irish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440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10%</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59</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r w:rsidR="004C67FC">
              <w:rPr>
                <w:rFonts w:cs="Arial"/>
                <w:b/>
                <w:bCs/>
                <w:sz w:val="16"/>
                <w:szCs w:val="16"/>
                <w:lang w:eastAsia="zh-CN"/>
              </w:rPr>
              <w:t>.</w:t>
            </w:r>
            <w:r w:rsidRPr="00C2351E">
              <w:rPr>
                <w:rFonts w:cs="Arial"/>
                <w:b/>
                <w:bCs/>
                <w:sz w:val="16"/>
                <w:szCs w:val="16"/>
                <w:lang w:eastAsia="zh-CN"/>
              </w:rPr>
              <w:t>26%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30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774</w:t>
            </w:r>
            <w:r w:rsidR="004C67FC">
              <w:rPr>
                <w:rFonts w:cs="Arial"/>
                <w:b/>
                <w:bCs/>
                <w:sz w:val="16"/>
                <w:szCs w:val="16"/>
                <w:lang w:eastAsia="zh-CN"/>
              </w:rPr>
              <w:t>,</w:t>
            </w:r>
            <w:r w:rsidRPr="00C2351E">
              <w:rPr>
                <w:rFonts w:cs="Arial"/>
                <w:b/>
                <w:bCs/>
                <w:sz w:val="16"/>
                <w:szCs w:val="16"/>
                <w:lang w:eastAsia="zh-CN"/>
              </w:rPr>
              <w:t>308</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r w:rsidR="004C67FC">
              <w:rPr>
                <w:rFonts w:cs="Arial"/>
                <w:b/>
                <w:bCs/>
                <w:sz w:val="16"/>
                <w:szCs w:val="16"/>
                <w:lang w:eastAsia="zh-CN"/>
              </w:rPr>
              <w:t>.</w:t>
            </w:r>
            <w:r w:rsidRPr="00C2351E">
              <w:rPr>
                <w:rFonts w:cs="Arial"/>
                <w:b/>
                <w:bCs/>
                <w:sz w:val="16"/>
                <w:szCs w:val="16"/>
                <w:lang w:eastAsia="zh-CN"/>
              </w:rPr>
              <w:t>11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634</w:t>
            </w:r>
            <w:r w:rsidR="004C67FC">
              <w:rPr>
                <w:rFonts w:cs="Arial"/>
                <w:b/>
                <w:bCs/>
                <w:sz w:val="16"/>
                <w:szCs w:val="16"/>
                <w:lang w:eastAsia="zh-CN"/>
              </w:rPr>
              <w:t>,</w:t>
            </w:r>
            <w:r w:rsidRPr="00C2351E">
              <w:rPr>
                <w:rFonts w:cs="Arial"/>
                <w:b/>
                <w:bCs/>
                <w:sz w:val="16"/>
                <w:szCs w:val="16"/>
                <w:lang w:eastAsia="zh-CN"/>
              </w:rPr>
              <w:t xml:space="preserve">258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Italian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097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10</w:t>
            </w:r>
            <w:r w:rsidR="004C67FC">
              <w:rPr>
                <w:rFonts w:cs="Arial"/>
                <w:b/>
                <w:bCs/>
                <w:sz w:val="16"/>
                <w:szCs w:val="16"/>
                <w:lang w:eastAsia="zh-CN"/>
              </w:rPr>
              <w:t>.</w:t>
            </w:r>
            <w:r w:rsidRPr="00C2351E">
              <w:rPr>
                <w:rFonts w:cs="Arial"/>
                <w:b/>
                <w:bCs/>
                <w:sz w:val="16"/>
                <w:szCs w:val="16"/>
                <w:lang w:eastAsia="zh-CN"/>
              </w:rPr>
              <w:t>00%</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87</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88</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w:t>
            </w:r>
            <w:r w:rsidR="004C67FC">
              <w:rPr>
                <w:rFonts w:cs="Arial"/>
                <w:b/>
                <w:bCs/>
                <w:sz w:val="16"/>
                <w:szCs w:val="16"/>
                <w:lang w:eastAsia="zh-CN"/>
              </w:rPr>
              <w:t>.</w:t>
            </w:r>
            <w:r w:rsidRPr="00C2351E">
              <w:rPr>
                <w:rFonts w:cs="Arial"/>
                <w:b/>
                <w:bCs/>
                <w:sz w:val="16"/>
                <w:szCs w:val="16"/>
                <w:lang w:eastAsia="zh-CN"/>
              </w:rPr>
              <w:t>35%</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138</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-50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501</w:t>
            </w:r>
            <w:r w:rsidR="004C67FC">
              <w:rPr>
                <w:rFonts w:cs="Arial"/>
                <w:b/>
                <w:bCs/>
                <w:sz w:val="16"/>
                <w:szCs w:val="16"/>
                <w:lang w:eastAsia="zh-CN"/>
              </w:rPr>
              <w:t>,</w:t>
            </w:r>
            <w:r w:rsidRPr="00C2351E">
              <w:rPr>
                <w:rFonts w:cs="Arial"/>
                <w:b/>
                <w:bCs/>
                <w:sz w:val="16"/>
                <w:szCs w:val="16"/>
                <w:lang w:eastAsia="zh-CN"/>
              </w:rPr>
              <w:t>774</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r w:rsidR="004C67FC">
              <w:rPr>
                <w:rFonts w:cs="Arial"/>
                <w:b/>
                <w:bCs/>
                <w:sz w:val="16"/>
                <w:szCs w:val="16"/>
                <w:lang w:eastAsia="zh-CN"/>
              </w:rPr>
              <w:t>.</w:t>
            </w:r>
            <w:r w:rsidRPr="00C2351E">
              <w:rPr>
                <w:rFonts w:cs="Arial"/>
                <w:b/>
                <w:bCs/>
                <w:sz w:val="16"/>
                <w:szCs w:val="16"/>
                <w:lang w:eastAsia="zh-CN"/>
              </w:rPr>
              <w:t>61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-2</w:t>
            </w:r>
            <w:r w:rsidR="004C67FC">
              <w:rPr>
                <w:rFonts w:cs="Arial"/>
                <w:b/>
                <w:bCs/>
                <w:color w:val="FF0000"/>
                <w:sz w:val="16"/>
                <w:szCs w:val="16"/>
                <w:lang w:eastAsia="zh-CN"/>
              </w:rPr>
              <w:t>,</w:t>
            </w:r>
            <w:r w:rsidRPr="00C2351E">
              <w:rPr>
                <w:rFonts w:cs="Arial"/>
                <w:b/>
                <w:bCs/>
                <w:color w:val="FF0000"/>
                <w:sz w:val="16"/>
                <w:szCs w:val="16"/>
                <w:lang w:eastAsia="zh-CN"/>
              </w:rPr>
              <w:t>931</w:t>
            </w:r>
            <w:r w:rsidR="004C67FC">
              <w:rPr>
                <w:rFonts w:cs="Arial"/>
                <w:b/>
                <w:bCs/>
                <w:color w:val="FF0000"/>
                <w:sz w:val="16"/>
                <w:szCs w:val="16"/>
                <w:lang w:eastAsia="zh-CN"/>
              </w:rPr>
              <w:t>,</w:t>
            </w:r>
            <w:r w:rsidRPr="00C2351E">
              <w:rPr>
                <w:rFonts w:cs="Arial"/>
                <w:b/>
                <w:bCs/>
                <w:color w:val="FF0000"/>
                <w:sz w:val="16"/>
                <w:szCs w:val="16"/>
                <w:lang w:eastAsia="zh-CN"/>
              </w:rPr>
              <w:t xml:space="preserve">600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Latvian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91%</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07%</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-12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052</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-491</w:t>
            </w:r>
            <w:r w:rsidR="004C67FC">
              <w:rPr>
                <w:rFonts w:cs="Arial"/>
                <w:b/>
                <w:bCs/>
                <w:color w:val="FF0000"/>
                <w:sz w:val="16"/>
                <w:szCs w:val="16"/>
                <w:lang w:eastAsia="zh-CN"/>
              </w:rPr>
              <w:t>,</w:t>
            </w:r>
            <w:r w:rsidRPr="00C2351E">
              <w:rPr>
                <w:rFonts w:cs="Arial"/>
                <w:b/>
                <w:bCs/>
                <w:color w:val="FF0000"/>
                <w:sz w:val="16"/>
                <w:szCs w:val="16"/>
                <w:lang w:eastAsia="zh-CN"/>
              </w:rPr>
              <w:t xml:space="preserve">833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Lithuanian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306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46%</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58%</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-12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45</w:t>
            </w:r>
            <w:r w:rsidR="004C67FC">
              <w:rPr>
                <w:rFonts w:cs="Arial"/>
                <w:b/>
                <w:bCs/>
                <w:sz w:val="16"/>
                <w:szCs w:val="16"/>
                <w:lang w:eastAsia="zh-CN"/>
              </w:rPr>
              <w:t>,</w:t>
            </w:r>
            <w:r w:rsidRPr="00C2351E">
              <w:rPr>
                <w:rFonts w:cs="Arial"/>
                <w:b/>
                <w:bCs/>
                <w:sz w:val="16"/>
                <w:szCs w:val="16"/>
                <w:lang w:eastAsia="zh-CN"/>
              </w:rPr>
              <w:t>696</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08</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-747</w:t>
            </w:r>
            <w:r w:rsidR="004C67FC">
              <w:rPr>
                <w:rFonts w:cs="Arial"/>
                <w:b/>
                <w:bCs/>
                <w:color w:val="FF0000"/>
                <w:sz w:val="16"/>
                <w:szCs w:val="16"/>
                <w:lang w:eastAsia="zh-CN"/>
              </w:rPr>
              <w:t>,</w:t>
            </w:r>
            <w:r w:rsidRPr="00C2351E">
              <w:rPr>
                <w:rFonts w:cs="Arial"/>
                <w:b/>
                <w:bCs/>
                <w:color w:val="FF0000"/>
                <w:sz w:val="16"/>
                <w:szCs w:val="16"/>
                <w:lang w:eastAsia="zh-CN"/>
              </w:rPr>
              <w:t xml:space="preserve">157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Luxembourg</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222</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06%</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18</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37%</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15</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4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604</w:t>
            </w:r>
            <w:r w:rsidR="004C67FC">
              <w:rPr>
                <w:rFonts w:cs="Arial"/>
                <w:b/>
                <w:bCs/>
                <w:sz w:val="16"/>
                <w:szCs w:val="16"/>
                <w:lang w:eastAsia="zh-CN"/>
              </w:rPr>
              <w:t>,</w:t>
            </w:r>
            <w:r w:rsidRPr="00C2351E">
              <w:rPr>
                <w:rFonts w:cs="Arial"/>
                <w:b/>
                <w:bCs/>
                <w:sz w:val="16"/>
                <w:szCs w:val="16"/>
                <w:lang w:eastAsia="zh-CN"/>
              </w:rPr>
              <w:t>665</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95</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029</w:t>
            </w:r>
            <w:r w:rsidR="004C67FC">
              <w:rPr>
                <w:rFonts w:cs="Arial"/>
                <w:b/>
                <w:bCs/>
                <w:sz w:val="16"/>
                <w:szCs w:val="16"/>
                <w:lang w:eastAsia="zh-CN"/>
              </w:rPr>
              <w:t>,</w:t>
            </w:r>
            <w:r w:rsidRPr="00C2351E">
              <w:rPr>
                <w:rFonts w:cs="Arial"/>
                <w:b/>
                <w:bCs/>
                <w:sz w:val="16"/>
                <w:szCs w:val="16"/>
                <w:lang w:eastAsia="zh-CN"/>
              </w:rPr>
              <w:t xml:space="preserve">458 </w:t>
            </w:r>
          </w:p>
        </w:tc>
      </w:tr>
      <w:tr w:rsidR="00151BF3" w:rsidRPr="00C2351E" w:rsidTr="00F063DF">
        <w:trPr>
          <w:trHeight w:val="282"/>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Maltese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72</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34%</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22%</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-2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60</w:t>
            </w:r>
            <w:r w:rsidR="004C67FC">
              <w:rPr>
                <w:rFonts w:cs="Arial"/>
                <w:b/>
                <w:bCs/>
                <w:sz w:val="16"/>
                <w:szCs w:val="16"/>
                <w:lang w:eastAsia="zh-CN"/>
              </w:rPr>
              <w:t>,</w:t>
            </w:r>
            <w:r w:rsidRPr="00C2351E">
              <w:rPr>
                <w:rFonts w:cs="Arial"/>
                <w:b/>
                <w:bCs/>
                <w:sz w:val="16"/>
                <w:szCs w:val="16"/>
                <w:lang w:eastAsia="zh-CN"/>
              </w:rPr>
              <w:t>429</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11</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-126</w:t>
            </w:r>
            <w:r w:rsidR="004C67FC">
              <w:rPr>
                <w:rFonts w:cs="Arial"/>
                <w:b/>
                <w:bCs/>
                <w:color w:val="FF0000"/>
                <w:sz w:val="16"/>
                <w:szCs w:val="16"/>
                <w:lang w:eastAsia="zh-CN"/>
              </w:rPr>
              <w:t>,</w:t>
            </w:r>
            <w:r w:rsidRPr="00C2351E">
              <w:rPr>
                <w:rFonts w:cs="Arial"/>
                <w:b/>
                <w:bCs/>
                <w:color w:val="FF0000"/>
                <w:sz w:val="16"/>
                <w:szCs w:val="16"/>
                <w:lang w:eastAsia="zh-CN"/>
              </w:rPr>
              <w:t xml:space="preserve">125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Dutch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956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r w:rsidR="004C67FC">
              <w:rPr>
                <w:rFonts w:cs="Arial"/>
                <w:b/>
                <w:bCs/>
                <w:sz w:val="16"/>
                <w:szCs w:val="16"/>
                <w:lang w:eastAsia="zh-CN"/>
              </w:rPr>
              <w:t>.</w:t>
            </w:r>
            <w:r w:rsidRPr="00C2351E">
              <w:rPr>
                <w:rFonts w:cs="Arial"/>
                <w:b/>
                <w:bCs/>
                <w:sz w:val="16"/>
                <w:szCs w:val="16"/>
                <w:lang w:eastAsia="zh-CN"/>
              </w:rPr>
              <w:t>56%</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75</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76</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w:t>
            </w:r>
            <w:r w:rsidR="004C67FC">
              <w:rPr>
                <w:rFonts w:cs="Arial"/>
                <w:b/>
                <w:bCs/>
                <w:sz w:val="16"/>
                <w:szCs w:val="16"/>
                <w:lang w:eastAsia="zh-CN"/>
              </w:rPr>
              <w:t>.</w:t>
            </w:r>
            <w:r w:rsidRPr="00C2351E">
              <w:rPr>
                <w:rFonts w:cs="Arial"/>
                <w:b/>
                <w:bCs/>
                <w:sz w:val="16"/>
                <w:szCs w:val="16"/>
                <w:lang w:eastAsia="zh-CN"/>
              </w:rPr>
              <w:t>49%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13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529</w:t>
            </w:r>
            <w:r w:rsidR="004C67FC">
              <w:rPr>
                <w:rFonts w:cs="Arial"/>
                <w:b/>
                <w:bCs/>
                <w:sz w:val="16"/>
                <w:szCs w:val="16"/>
                <w:lang w:eastAsia="zh-CN"/>
              </w:rPr>
              <w:t>,</w:t>
            </w:r>
            <w:r w:rsidRPr="00C2351E">
              <w:rPr>
                <w:rFonts w:cs="Arial"/>
                <w:b/>
                <w:bCs/>
                <w:sz w:val="16"/>
                <w:szCs w:val="16"/>
                <w:lang w:eastAsia="zh-CN"/>
              </w:rPr>
              <w:t>104</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6</w:t>
            </w:r>
            <w:r w:rsidR="004C67FC">
              <w:rPr>
                <w:rFonts w:cs="Arial"/>
                <w:b/>
                <w:bCs/>
                <w:sz w:val="16"/>
                <w:szCs w:val="16"/>
                <w:lang w:eastAsia="zh-CN"/>
              </w:rPr>
              <w:t>.</w:t>
            </w:r>
            <w:r w:rsidRPr="00C2351E">
              <w:rPr>
                <w:rFonts w:cs="Arial"/>
                <w:b/>
                <w:bCs/>
                <w:sz w:val="16"/>
                <w:szCs w:val="16"/>
                <w:lang w:eastAsia="zh-CN"/>
              </w:rPr>
              <w:t>50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052</w:t>
            </w:r>
            <w:r w:rsidR="004C67FC">
              <w:rPr>
                <w:rFonts w:cs="Arial"/>
                <w:b/>
                <w:bCs/>
                <w:sz w:val="16"/>
                <w:szCs w:val="16"/>
                <w:lang w:eastAsia="zh-CN"/>
              </w:rPr>
              <w:t>,</w:t>
            </w:r>
            <w:r w:rsidRPr="00C2351E">
              <w:rPr>
                <w:rFonts w:cs="Arial"/>
                <w:b/>
                <w:bCs/>
                <w:sz w:val="16"/>
                <w:szCs w:val="16"/>
                <w:lang w:eastAsia="zh-CN"/>
              </w:rPr>
              <w:t xml:space="preserve">086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Polish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413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97%</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24</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73%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-3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213</w:t>
            </w:r>
            <w:r w:rsidR="004C67FC">
              <w:rPr>
                <w:rFonts w:cs="Arial"/>
                <w:b/>
                <w:bCs/>
                <w:sz w:val="16"/>
                <w:szCs w:val="16"/>
                <w:lang w:eastAsia="zh-CN"/>
              </w:rPr>
              <w:t>,</w:t>
            </w:r>
            <w:r w:rsidRPr="00C2351E">
              <w:rPr>
                <w:rFonts w:cs="Arial"/>
                <w:b/>
                <w:bCs/>
                <w:sz w:val="16"/>
                <w:szCs w:val="16"/>
                <w:lang w:eastAsia="zh-CN"/>
              </w:rPr>
              <w:t>295</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39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-856</w:t>
            </w:r>
            <w:r w:rsidR="004C67FC">
              <w:rPr>
                <w:rFonts w:cs="Arial"/>
                <w:b/>
                <w:bCs/>
                <w:color w:val="FF0000"/>
                <w:sz w:val="16"/>
                <w:szCs w:val="16"/>
                <w:lang w:eastAsia="zh-CN"/>
              </w:rPr>
              <w:t>,</w:t>
            </w:r>
            <w:r w:rsidRPr="00C2351E">
              <w:rPr>
                <w:rFonts w:cs="Arial"/>
                <w:b/>
                <w:bCs/>
                <w:color w:val="FF0000"/>
                <w:sz w:val="16"/>
                <w:szCs w:val="16"/>
                <w:lang w:eastAsia="zh-CN"/>
              </w:rPr>
              <w:t xml:space="preserve">797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Portuguese</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564</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69%</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31</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31</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24%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-6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743</w:t>
            </w:r>
            <w:r w:rsidR="004C67FC">
              <w:rPr>
                <w:rFonts w:cs="Arial"/>
                <w:b/>
                <w:bCs/>
                <w:sz w:val="16"/>
                <w:szCs w:val="16"/>
                <w:lang w:eastAsia="zh-CN"/>
              </w:rPr>
              <w:t>,</w:t>
            </w:r>
            <w:r w:rsidRPr="00C2351E">
              <w:rPr>
                <w:rFonts w:cs="Arial"/>
                <w:b/>
                <w:bCs/>
                <w:sz w:val="16"/>
                <w:szCs w:val="16"/>
                <w:lang w:eastAsia="zh-CN"/>
              </w:rPr>
              <w:t>425</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37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-717</w:t>
            </w:r>
            <w:r w:rsidR="004C67FC">
              <w:rPr>
                <w:rFonts w:cs="Arial"/>
                <w:b/>
                <w:bCs/>
                <w:color w:val="FF0000"/>
                <w:sz w:val="16"/>
                <w:szCs w:val="16"/>
                <w:lang w:eastAsia="zh-CN"/>
              </w:rPr>
              <w:t>,</w:t>
            </w:r>
            <w:r w:rsidRPr="00C2351E">
              <w:rPr>
                <w:rFonts w:cs="Arial"/>
                <w:b/>
                <w:bCs/>
                <w:color w:val="FF0000"/>
                <w:sz w:val="16"/>
                <w:szCs w:val="16"/>
                <w:lang w:eastAsia="zh-CN"/>
              </w:rPr>
              <w:t xml:space="preserve">912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Romanian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237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13%</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-16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-614</w:t>
            </w:r>
            <w:r w:rsidR="004C67FC">
              <w:rPr>
                <w:rFonts w:cs="Arial"/>
                <w:b/>
                <w:bCs/>
                <w:color w:val="FF0000"/>
                <w:sz w:val="16"/>
                <w:szCs w:val="16"/>
                <w:lang w:eastAsia="zh-CN"/>
              </w:rPr>
              <w:t>,</w:t>
            </w:r>
            <w:r w:rsidRPr="00C2351E">
              <w:rPr>
                <w:rFonts w:cs="Arial"/>
                <w:b/>
                <w:bCs/>
                <w:color w:val="FF0000"/>
                <w:sz w:val="16"/>
                <w:szCs w:val="16"/>
                <w:lang w:eastAsia="zh-CN"/>
              </w:rPr>
              <w:t xml:space="preserve">072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Slovak</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197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94%</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29%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13</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-9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26</w:t>
            </w:r>
            <w:r w:rsidR="004C67FC">
              <w:rPr>
                <w:rFonts w:cs="Arial"/>
                <w:b/>
                <w:bCs/>
                <w:sz w:val="16"/>
                <w:szCs w:val="16"/>
                <w:lang w:eastAsia="zh-CN"/>
              </w:rPr>
              <w:t>,</w:t>
            </w:r>
            <w:r w:rsidRPr="00C2351E">
              <w:rPr>
                <w:rFonts w:cs="Arial"/>
                <w:b/>
                <w:bCs/>
                <w:sz w:val="16"/>
                <w:szCs w:val="16"/>
                <w:lang w:eastAsia="zh-CN"/>
              </w:rPr>
              <w:t>411</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05</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-484</w:t>
            </w:r>
            <w:r w:rsidR="004C67FC">
              <w:rPr>
                <w:rFonts w:cs="Arial"/>
                <w:b/>
                <w:bCs/>
                <w:color w:val="FF0000"/>
                <w:sz w:val="16"/>
                <w:szCs w:val="16"/>
                <w:lang w:eastAsia="zh-CN"/>
              </w:rPr>
              <w:t>,</w:t>
            </w:r>
            <w:r w:rsidRPr="00C2351E">
              <w:rPr>
                <w:rFonts w:cs="Arial"/>
                <w:b/>
                <w:bCs/>
                <w:color w:val="FF0000"/>
                <w:sz w:val="16"/>
                <w:szCs w:val="16"/>
                <w:lang w:eastAsia="zh-CN"/>
              </w:rPr>
              <w:t xml:space="preserve">020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Slovenian</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117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56%</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22%</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8</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-5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53</w:t>
            </w:r>
            <w:r w:rsidR="004C67FC">
              <w:rPr>
                <w:rFonts w:cs="Arial"/>
                <w:b/>
                <w:bCs/>
                <w:sz w:val="16"/>
                <w:szCs w:val="16"/>
                <w:lang w:eastAsia="zh-CN"/>
              </w:rPr>
              <w:t>,</w:t>
            </w:r>
            <w:r w:rsidRPr="00C2351E">
              <w:rPr>
                <w:rFonts w:cs="Arial"/>
                <w:b/>
                <w:bCs/>
                <w:sz w:val="16"/>
                <w:szCs w:val="16"/>
                <w:lang w:eastAsia="zh-CN"/>
              </w:rPr>
              <w:t>508</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10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-249</w:t>
            </w:r>
            <w:r w:rsidR="004C67FC">
              <w:rPr>
                <w:rFonts w:cs="Arial"/>
                <w:b/>
                <w:bCs/>
                <w:color w:val="FF0000"/>
                <w:sz w:val="16"/>
                <w:szCs w:val="16"/>
                <w:lang w:eastAsia="zh-CN"/>
              </w:rPr>
              <w:t>,</w:t>
            </w:r>
            <w:r w:rsidRPr="00C2351E">
              <w:rPr>
                <w:rFonts w:cs="Arial"/>
                <w:b/>
                <w:bCs/>
                <w:color w:val="FF0000"/>
                <w:sz w:val="16"/>
                <w:szCs w:val="16"/>
                <w:lang w:eastAsia="zh-CN"/>
              </w:rPr>
              <w:t xml:space="preserve">642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Swedish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556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65%</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40</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40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w:t>
            </w:r>
            <w:r w:rsidR="004C67FC">
              <w:rPr>
                <w:rFonts w:cs="Arial"/>
                <w:b/>
                <w:bCs/>
                <w:sz w:val="16"/>
                <w:szCs w:val="16"/>
                <w:lang w:eastAsia="zh-CN"/>
              </w:rPr>
              <w:t>.</w:t>
            </w:r>
            <w:r w:rsidRPr="00C2351E">
              <w:rPr>
                <w:rFonts w:cs="Arial"/>
                <w:b/>
                <w:bCs/>
                <w:sz w:val="16"/>
                <w:szCs w:val="16"/>
                <w:lang w:eastAsia="zh-CN"/>
              </w:rPr>
              <w:t>89%</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 xml:space="preserve">3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732</w:t>
            </w:r>
            <w:r w:rsidR="004C67FC">
              <w:rPr>
                <w:rFonts w:cs="Arial"/>
                <w:b/>
                <w:bCs/>
                <w:sz w:val="16"/>
                <w:szCs w:val="16"/>
                <w:lang w:eastAsia="zh-CN"/>
              </w:rPr>
              <w:t>,</w:t>
            </w:r>
            <w:r w:rsidRPr="00C2351E">
              <w:rPr>
                <w:rFonts w:cs="Arial"/>
                <w:b/>
                <w:bCs/>
                <w:sz w:val="16"/>
                <w:szCs w:val="16"/>
                <w:lang w:eastAsia="zh-CN"/>
              </w:rPr>
              <w:t>836</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3</w:t>
            </w:r>
            <w:r w:rsidR="004C67FC">
              <w:rPr>
                <w:rFonts w:cs="Arial"/>
                <w:b/>
                <w:bCs/>
                <w:sz w:val="16"/>
                <w:szCs w:val="16"/>
                <w:lang w:eastAsia="zh-CN"/>
              </w:rPr>
              <w:t>.</w:t>
            </w:r>
            <w:r w:rsidRPr="00C2351E">
              <w:rPr>
                <w:rFonts w:cs="Arial"/>
                <w:b/>
                <w:bCs/>
                <w:sz w:val="16"/>
                <w:szCs w:val="16"/>
                <w:lang w:eastAsia="zh-CN"/>
              </w:rPr>
              <w:t>19</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292</w:t>
            </w:r>
            <w:r w:rsidR="004C67FC">
              <w:rPr>
                <w:rFonts w:cs="Arial"/>
                <w:b/>
                <w:bCs/>
                <w:sz w:val="16"/>
                <w:szCs w:val="16"/>
                <w:lang w:eastAsia="zh-CN"/>
              </w:rPr>
              <w:t>,</w:t>
            </w:r>
            <w:r w:rsidRPr="00C2351E">
              <w:rPr>
                <w:rFonts w:cs="Arial"/>
                <w:b/>
                <w:bCs/>
                <w:sz w:val="16"/>
                <w:szCs w:val="16"/>
                <w:lang w:eastAsia="zh-CN"/>
              </w:rPr>
              <w:t xml:space="preserve">227 </w:t>
            </w:r>
          </w:p>
        </w:tc>
      </w:tr>
      <w:tr w:rsidR="00151BF3" w:rsidRPr="00C2351E" w:rsidTr="00F063DF">
        <w:trPr>
          <w:trHeight w:val="282"/>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Czech</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247</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18%</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15</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r w:rsidRPr="00C2351E">
              <w:rPr>
                <w:rFonts w:cs="Arial"/>
                <w:sz w:val="16"/>
                <w:szCs w:val="16"/>
                <w:lang w:eastAsia="zh-CN"/>
              </w:rPr>
              <w:t> </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15</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w:t>
            </w:r>
            <w:r w:rsidR="004C67FC">
              <w:rPr>
                <w:rFonts w:cs="Arial"/>
                <w:b/>
                <w:bCs/>
                <w:sz w:val="16"/>
                <w:szCs w:val="16"/>
                <w:lang w:eastAsia="zh-CN"/>
              </w:rPr>
              <w:t>.</w:t>
            </w:r>
            <w:r w:rsidRPr="00C2351E">
              <w:rPr>
                <w:rFonts w:cs="Arial"/>
                <w:b/>
                <w:bCs/>
                <w:sz w:val="16"/>
                <w:szCs w:val="16"/>
                <w:lang w:eastAsia="zh-CN"/>
              </w:rPr>
              <w:t>08%</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16</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 xml:space="preserve">-1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173</w:t>
            </w:r>
            <w:r w:rsidR="004C67FC">
              <w:rPr>
                <w:rFonts w:cs="Arial"/>
                <w:b/>
                <w:bCs/>
                <w:sz w:val="16"/>
                <w:szCs w:val="16"/>
                <w:lang w:eastAsia="zh-CN"/>
              </w:rPr>
              <w:t>,</w:t>
            </w:r>
            <w:r w:rsidRPr="00C2351E">
              <w:rPr>
                <w:rFonts w:cs="Arial"/>
                <w:b/>
                <w:bCs/>
                <w:sz w:val="16"/>
                <w:szCs w:val="16"/>
                <w:lang w:eastAsia="zh-CN"/>
              </w:rPr>
              <w:t>783</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sz w:val="16"/>
                <w:szCs w:val="16"/>
                <w:lang w:eastAsia="zh-CN"/>
              </w:rPr>
              <w:t>0</w:t>
            </w:r>
            <w:r w:rsidR="004C67FC">
              <w:rPr>
                <w:rFonts w:cs="Arial"/>
                <w:b/>
                <w:bCs/>
                <w:sz w:val="16"/>
                <w:szCs w:val="16"/>
                <w:lang w:eastAsia="zh-CN"/>
              </w:rPr>
              <w:t>.</w:t>
            </w:r>
            <w:r w:rsidRPr="00C2351E">
              <w:rPr>
                <w:rFonts w:cs="Arial"/>
                <w:b/>
                <w:bCs/>
                <w:sz w:val="16"/>
                <w:szCs w:val="16"/>
                <w:lang w:eastAsia="zh-CN"/>
              </w:rPr>
              <w:t>32</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r w:rsidRPr="00C2351E">
              <w:rPr>
                <w:rFonts w:cs="Arial"/>
                <w:b/>
                <w:bCs/>
                <w:color w:val="FF0000"/>
                <w:sz w:val="16"/>
                <w:szCs w:val="16"/>
                <w:lang w:eastAsia="zh-CN"/>
              </w:rPr>
              <w:t>-466</w:t>
            </w:r>
            <w:r w:rsidR="004C67FC">
              <w:rPr>
                <w:rFonts w:cs="Arial"/>
                <w:b/>
                <w:bCs/>
                <w:color w:val="FF0000"/>
                <w:sz w:val="16"/>
                <w:szCs w:val="16"/>
                <w:lang w:eastAsia="zh-CN"/>
              </w:rPr>
              <w:t>,</w:t>
            </w:r>
            <w:r w:rsidRPr="00C2351E">
              <w:rPr>
                <w:rFonts w:cs="Arial"/>
                <w:b/>
                <w:bCs/>
                <w:color w:val="FF0000"/>
                <w:sz w:val="16"/>
                <w:szCs w:val="16"/>
                <w:lang w:eastAsia="zh-CN"/>
              </w:rPr>
              <w:t xml:space="preserve">200 </w:t>
            </w:r>
          </w:p>
        </w:tc>
      </w:tr>
      <w:tr w:rsidR="00151BF3" w:rsidRPr="00C2351E" w:rsidTr="00F063DF">
        <w:trPr>
          <w:trHeight w:val="276"/>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51BF3" w:rsidRPr="00C2351E" w:rsidRDefault="00151BF3" w:rsidP="009F7928">
            <w:pPr>
              <w:spacing w:before="0" w:after="0"/>
              <w:jc w:val="center"/>
              <w:rPr>
                <w:rFonts w:cs="Arial"/>
                <w:b/>
                <w:bCs/>
                <w:sz w:val="20"/>
                <w:lang w:eastAsia="zh-CN"/>
              </w:rPr>
            </w:pPr>
            <w:r w:rsidRPr="00C2351E">
              <w:rPr>
                <w:rFonts w:cs="Arial"/>
                <w:b/>
                <w:bCs/>
                <w:sz w:val="20"/>
                <w:lang w:eastAsia="zh-CN"/>
              </w:rPr>
              <w:t>TOTAL</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20</w:t>
            </w:r>
            <w:r w:rsidR="004C67FC">
              <w:rPr>
                <w:rFonts w:cs="Arial"/>
                <w:b/>
                <w:bCs/>
                <w:sz w:val="18"/>
                <w:szCs w:val="18"/>
                <w:lang w:eastAsia="zh-CN"/>
              </w:rPr>
              <w:t>,</w:t>
            </w:r>
            <w:r w:rsidRPr="00C2351E">
              <w:rPr>
                <w:rFonts w:cs="Arial"/>
                <w:b/>
                <w:bCs/>
                <w:sz w:val="18"/>
                <w:szCs w:val="18"/>
                <w:lang w:eastAsia="zh-CN"/>
              </w:rPr>
              <w:t>960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100</w:t>
            </w:r>
            <w:r w:rsidR="004C67FC">
              <w:rPr>
                <w:rFonts w:cs="Arial"/>
                <w:b/>
                <w:bCs/>
                <w:sz w:val="18"/>
                <w:szCs w:val="18"/>
                <w:lang w:eastAsia="zh-CN"/>
              </w:rPr>
              <w:t>.</w:t>
            </w:r>
            <w:r w:rsidRPr="00C2351E">
              <w:rPr>
                <w:rFonts w:cs="Arial"/>
                <w:b/>
                <w:bCs/>
                <w:sz w:val="18"/>
                <w:szCs w:val="18"/>
                <w:lang w:eastAsia="zh-CN"/>
              </w:rPr>
              <w:t>00%</w:t>
            </w:r>
          </w:p>
        </w:tc>
        <w:tc>
          <w:tcPr>
            <w:tcW w:w="1958"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1366</w:t>
            </w:r>
          </w:p>
        </w:tc>
        <w:tc>
          <w:tcPr>
            <w:tcW w:w="1019"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10</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8</w:t>
            </w:r>
          </w:p>
        </w:tc>
        <w:tc>
          <w:tcPr>
            <w:tcW w:w="993"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1384</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99</w:t>
            </w:r>
            <w:r w:rsidR="004C67FC">
              <w:rPr>
                <w:rFonts w:cs="Arial"/>
                <w:b/>
                <w:bCs/>
                <w:sz w:val="18"/>
                <w:szCs w:val="18"/>
                <w:lang w:eastAsia="zh-CN"/>
              </w:rPr>
              <w:t>.</w:t>
            </w:r>
            <w:r w:rsidRPr="00C2351E">
              <w:rPr>
                <w:rFonts w:cs="Arial"/>
                <w:b/>
                <w:bCs/>
                <w:sz w:val="18"/>
                <w:szCs w:val="18"/>
                <w:lang w:eastAsia="zh-CN"/>
              </w:rPr>
              <w:t>93%</w:t>
            </w:r>
          </w:p>
        </w:tc>
        <w:tc>
          <w:tcPr>
            <w:tcW w:w="99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1384</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 xml:space="preserve">0 </w:t>
            </w:r>
          </w:p>
        </w:tc>
        <w:tc>
          <w:tcPr>
            <w:tcW w:w="1276"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54</w:t>
            </w:r>
            <w:r w:rsidR="004C67FC">
              <w:rPr>
                <w:rFonts w:cs="Arial"/>
                <w:b/>
                <w:bCs/>
                <w:sz w:val="18"/>
                <w:szCs w:val="18"/>
                <w:lang w:eastAsia="zh-CN"/>
              </w:rPr>
              <w:t>,</w:t>
            </w:r>
            <w:r w:rsidRPr="00C2351E">
              <w:rPr>
                <w:rFonts w:cs="Arial"/>
                <w:b/>
                <w:bCs/>
                <w:sz w:val="18"/>
                <w:szCs w:val="18"/>
                <w:lang w:eastAsia="zh-CN"/>
              </w:rPr>
              <w:t>307</w:t>
            </w:r>
            <w:r w:rsidR="004C67FC">
              <w:rPr>
                <w:rFonts w:cs="Arial"/>
                <w:b/>
                <w:bCs/>
                <w:sz w:val="18"/>
                <w:szCs w:val="18"/>
                <w:lang w:eastAsia="zh-CN"/>
              </w:rPr>
              <w:t>,</w:t>
            </w:r>
            <w:r w:rsidRPr="00C2351E">
              <w:rPr>
                <w:rFonts w:cs="Arial"/>
                <w:b/>
                <w:bCs/>
                <w:sz w:val="18"/>
                <w:szCs w:val="18"/>
                <w:lang w:eastAsia="zh-CN"/>
              </w:rPr>
              <w:t>834</w:t>
            </w:r>
          </w:p>
        </w:tc>
        <w:tc>
          <w:tcPr>
            <w:tcW w:w="802"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100</w:t>
            </w:r>
            <w:r w:rsidR="004C67FC">
              <w:rPr>
                <w:rFonts w:cs="Arial"/>
                <w:b/>
                <w:bCs/>
                <w:sz w:val="18"/>
                <w:szCs w:val="18"/>
                <w:lang w:eastAsia="zh-CN"/>
              </w:rPr>
              <w:t>.</w:t>
            </w:r>
            <w:r w:rsidRPr="00C2351E">
              <w:rPr>
                <w:rFonts w:cs="Arial"/>
                <w:b/>
                <w:bCs/>
                <w:sz w:val="18"/>
                <w:szCs w:val="18"/>
                <w:lang w:eastAsia="zh-CN"/>
              </w:rPr>
              <w:t>00</w:t>
            </w:r>
          </w:p>
        </w:tc>
        <w:tc>
          <w:tcPr>
            <w:tcW w:w="1134" w:type="dxa"/>
            <w:tcBorders>
              <w:top w:val="nil"/>
              <w:left w:val="nil"/>
              <w:bottom w:val="single" w:sz="8" w:space="0" w:color="auto"/>
              <w:right w:val="single" w:sz="8" w:space="0" w:color="auto"/>
            </w:tcBorders>
            <w:shd w:val="clear" w:color="auto" w:fill="auto"/>
            <w:noWrap/>
            <w:vAlign w:val="center"/>
            <w:hideMark/>
          </w:tcPr>
          <w:p w:rsidR="00151BF3" w:rsidRPr="00C2351E" w:rsidRDefault="00151BF3" w:rsidP="009F7928">
            <w:pPr>
              <w:spacing w:before="0" w:after="0"/>
              <w:jc w:val="center"/>
              <w:rPr>
                <w:rFonts w:cs="Arial"/>
                <w:b/>
                <w:bCs/>
                <w:sz w:val="18"/>
                <w:szCs w:val="18"/>
                <w:lang w:eastAsia="zh-CN"/>
              </w:rPr>
            </w:pPr>
            <w:r w:rsidRPr="00C2351E">
              <w:rPr>
                <w:rFonts w:cs="Arial"/>
                <w:b/>
                <w:bCs/>
                <w:sz w:val="18"/>
                <w:szCs w:val="18"/>
                <w:lang w:eastAsia="zh-CN"/>
              </w:rPr>
              <w:t xml:space="preserve">0 </w:t>
            </w:r>
          </w:p>
        </w:tc>
      </w:tr>
      <w:tr w:rsidR="00151BF3" w:rsidRPr="00C2351E" w:rsidTr="00F063DF">
        <w:trPr>
          <w:trHeight w:val="282"/>
        </w:trPr>
        <w:tc>
          <w:tcPr>
            <w:tcW w:w="5375" w:type="dxa"/>
            <w:gridSpan w:val="4"/>
            <w:tcBorders>
              <w:top w:val="nil"/>
              <w:left w:val="nil"/>
              <w:bottom w:val="nil"/>
              <w:right w:val="nil"/>
            </w:tcBorders>
            <w:shd w:val="clear" w:color="auto" w:fill="auto"/>
            <w:noWrap/>
            <w:vAlign w:val="center"/>
            <w:hideMark/>
          </w:tcPr>
          <w:p w:rsidR="00303B93" w:rsidRPr="00C2351E" w:rsidRDefault="00151BF3" w:rsidP="009F7928">
            <w:pPr>
              <w:spacing w:before="0" w:after="0"/>
              <w:jc w:val="left"/>
              <w:rPr>
                <w:rFonts w:cs="Arial"/>
                <w:b/>
                <w:bCs/>
                <w:sz w:val="16"/>
                <w:szCs w:val="16"/>
                <w:u w:val="single"/>
                <w:lang w:eastAsia="zh-CN"/>
              </w:rPr>
            </w:pPr>
            <w:r w:rsidRPr="00C2351E">
              <w:rPr>
                <w:rFonts w:cs="Arial"/>
                <w:b/>
                <w:bCs/>
                <w:sz w:val="16"/>
                <w:szCs w:val="16"/>
                <w:u w:val="single"/>
                <w:lang w:eastAsia="zh-CN"/>
              </w:rPr>
              <w:t>Note: STATISTICS WITHOUT MUNICH SCHOOL</w:t>
            </w:r>
          </w:p>
          <w:p w:rsidR="00151BF3" w:rsidRPr="00C2351E" w:rsidRDefault="00151BF3" w:rsidP="00303B93">
            <w:pPr>
              <w:spacing w:before="0" w:after="0"/>
              <w:jc w:val="left"/>
              <w:rPr>
                <w:rFonts w:cs="Arial"/>
                <w:b/>
                <w:bCs/>
                <w:sz w:val="16"/>
                <w:szCs w:val="16"/>
                <w:u w:val="single"/>
                <w:lang w:eastAsia="zh-CN"/>
              </w:rPr>
            </w:pPr>
            <w:r w:rsidRPr="00C2351E">
              <w:rPr>
                <w:rFonts w:cs="Arial"/>
                <w:sz w:val="16"/>
                <w:szCs w:val="16"/>
                <w:lang w:eastAsia="zh-CN"/>
              </w:rPr>
              <w:t xml:space="preserve">By adding to the total of 22,977, the </w:t>
            </w:r>
            <w:r w:rsidRPr="00C2351E">
              <w:rPr>
                <w:rFonts w:cs="Arial"/>
                <w:b/>
                <w:bCs/>
                <w:sz w:val="16"/>
                <w:szCs w:val="16"/>
                <w:lang w:eastAsia="zh-CN"/>
              </w:rPr>
              <w:t xml:space="preserve">892 </w:t>
            </w:r>
            <w:r w:rsidRPr="00C2351E">
              <w:rPr>
                <w:rFonts w:cs="Arial"/>
                <w:sz w:val="16"/>
                <w:szCs w:val="16"/>
                <w:lang w:eastAsia="zh-CN"/>
              </w:rPr>
              <w:t>pupils who are not nationals of</w:t>
            </w:r>
            <w:r w:rsidR="00867DD2">
              <w:rPr>
                <w:rFonts w:cs="Arial"/>
                <w:sz w:val="16"/>
                <w:szCs w:val="16"/>
                <w:lang w:eastAsia="zh-CN"/>
              </w:rPr>
              <w:t xml:space="preserve"> the </w:t>
            </w:r>
            <w:r w:rsidR="00303B93" w:rsidRPr="00C2351E">
              <w:rPr>
                <w:rFonts w:cs="Arial"/>
                <w:sz w:val="16"/>
                <w:szCs w:val="16"/>
                <w:lang w:eastAsia="zh-CN"/>
              </w:rPr>
              <w:t>27 Member States, the total pupil population is</w:t>
            </w:r>
            <w:r w:rsidR="00303B93" w:rsidRPr="00C2351E">
              <w:rPr>
                <w:rFonts w:cs="Arial"/>
                <w:b/>
                <w:bCs/>
                <w:sz w:val="16"/>
                <w:szCs w:val="16"/>
                <w:lang w:eastAsia="zh-CN"/>
              </w:rPr>
              <w:t xml:space="preserve"> 23,869</w:t>
            </w:r>
            <w:r w:rsidR="00303B93" w:rsidRPr="00C2351E">
              <w:rPr>
                <w:rFonts w:cs="Arial"/>
                <w:sz w:val="16"/>
                <w:szCs w:val="16"/>
                <w:lang w:eastAsia="zh-CN"/>
              </w:rPr>
              <w:t>.</w:t>
            </w:r>
          </w:p>
        </w:tc>
        <w:tc>
          <w:tcPr>
            <w:tcW w:w="1019"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992"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993"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992"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992"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b/>
                <w:bCs/>
                <w:sz w:val="16"/>
                <w:szCs w:val="16"/>
                <w:lang w:eastAsia="zh-CN"/>
              </w:rPr>
            </w:pPr>
          </w:p>
        </w:tc>
        <w:tc>
          <w:tcPr>
            <w:tcW w:w="1134"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1276"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802"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c>
          <w:tcPr>
            <w:tcW w:w="1134" w:type="dxa"/>
            <w:tcBorders>
              <w:top w:val="nil"/>
              <w:left w:val="nil"/>
              <w:bottom w:val="nil"/>
              <w:right w:val="nil"/>
            </w:tcBorders>
            <w:shd w:val="clear" w:color="auto" w:fill="auto"/>
            <w:noWrap/>
            <w:vAlign w:val="center"/>
            <w:hideMark/>
          </w:tcPr>
          <w:p w:rsidR="00151BF3" w:rsidRPr="00C2351E" w:rsidRDefault="00151BF3" w:rsidP="009F7928">
            <w:pPr>
              <w:spacing w:before="0" w:after="0"/>
              <w:jc w:val="center"/>
              <w:rPr>
                <w:rFonts w:cs="Arial"/>
                <w:sz w:val="16"/>
                <w:szCs w:val="16"/>
                <w:lang w:eastAsia="zh-CN"/>
              </w:rPr>
            </w:pPr>
          </w:p>
        </w:tc>
      </w:tr>
    </w:tbl>
    <w:p w:rsidR="00151BF3" w:rsidRPr="00C2351E" w:rsidRDefault="00151BF3" w:rsidP="00151BF3">
      <w:pPr>
        <w:spacing w:before="0" w:after="0"/>
        <w:jc w:val="left"/>
        <w:rPr>
          <w:rFonts w:cs="Arial"/>
          <w:sz w:val="16"/>
          <w:szCs w:val="16"/>
          <w:lang w:eastAsia="zh-CN"/>
        </w:rPr>
        <w:sectPr w:rsidR="00151BF3" w:rsidRPr="00C2351E" w:rsidSect="009F7928">
          <w:pgSz w:w="15840" w:h="12240" w:orient="landscape"/>
          <w:pgMar w:top="397" w:right="720" w:bottom="340" w:left="720" w:header="709" w:footer="709" w:gutter="0"/>
          <w:cols w:space="708"/>
          <w:docGrid w:linePitch="360"/>
        </w:sectPr>
      </w:pPr>
    </w:p>
    <w:p w:rsidR="00625976" w:rsidRDefault="00625976" w:rsidP="00BB5EA4">
      <w:pPr>
        <w:spacing w:before="0" w:after="0"/>
        <w:jc w:val="left"/>
        <w:rPr>
          <w:rFonts w:cs="Arial"/>
          <w:b/>
          <w:sz w:val="20"/>
          <w:lang w:eastAsia="zh-CN"/>
        </w:rPr>
      </w:pPr>
    </w:p>
    <w:p w:rsidR="000C7171" w:rsidRDefault="00BB5EA4" w:rsidP="00BB5EA4">
      <w:pPr>
        <w:spacing w:before="0" w:after="0"/>
        <w:jc w:val="left"/>
        <w:rPr>
          <w:rFonts w:cs="Arial"/>
          <w:b/>
          <w:sz w:val="16"/>
          <w:szCs w:val="16"/>
          <w:lang w:eastAsia="zh-CN"/>
        </w:rPr>
      </w:pPr>
      <w:r w:rsidRPr="00C2351E">
        <w:rPr>
          <w:rFonts w:cs="Arial"/>
          <w:b/>
          <w:sz w:val="20"/>
          <w:lang w:eastAsia="zh-CN"/>
        </w:rPr>
        <w:t>ANNEX V:</w:t>
      </w:r>
      <w:r w:rsidRPr="00C94503">
        <w:rPr>
          <w:rFonts w:cs="Arial"/>
          <w:b/>
          <w:sz w:val="24"/>
          <w:szCs w:val="24"/>
          <w:lang w:eastAsia="zh-CN"/>
        </w:rPr>
        <w:t xml:space="preserve"> </w:t>
      </w:r>
      <w:r w:rsidR="00487541" w:rsidRPr="00C94503">
        <w:rPr>
          <w:rFonts w:cs="Arial"/>
          <w:b/>
          <w:sz w:val="24"/>
          <w:szCs w:val="24"/>
          <w:lang w:eastAsia="zh-CN"/>
        </w:rPr>
        <w:t>Structural model</w:t>
      </w:r>
      <w:r w:rsidR="000C7171" w:rsidRPr="00C94503">
        <w:rPr>
          <w:rFonts w:cs="Arial"/>
          <w:b/>
          <w:sz w:val="24"/>
          <w:szCs w:val="24"/>
          <w:lang w:eastAsia="zh-CN"/>
        </w:rPr>
        <w:t xml:space="preserve"> </w:t>
      </w:r>
      <w:r w:rsidR="008328BE" w:rsidRPr="00C94503">
        <w:rPr>
          <w:rFonts w:cs="Arial"/>
          <w:b/>
          <w:sz w:val="24"/>
          <w:szCs w:val="24"/>
          <w:lang w:eastAsia="zh-CN"/>
        </w:rPr>
        <w:t>without Munich (pupils or seconded staff members)</w:t>
      </w:r>
      <w:r w:rsidR="00C94503">
        <w:rPr>
          <w:rFonts w:cs="Arial"/>
          <w:b/>
          <w:sz w:val="24"/>
          <w:szCs w:val="24"/>
          <w:lang w:eastAsia="zh-CN"/>
        </w:rPr>
        <w:t xml:space="preserve">, </w:t>
      </w:r>
      <w:r w:rsidR="00C94503">
        <w:rPr>
          <w:rFonts w:cs="Arial"/>
          <w:b/>
        </w:rPr>
        <w:t>(data 2012/2013)</w:t>
      </w:r>
      <w:r w:rsidR="00A65186" w:rsidRPr="00C94503">
        <w:rPr>
          <w:rFonts w:cs="Arial"/>
          <w:b/>
          <w:sz w:val="24"/>
          <w:szCs w:val="24"/>
          <w:lang w:eastAsia="zh-CN"/>
        </w:rPr>
        <w:tab/>
      </w:r>
      <w:r w:rsidR="00A65186" w:rsidRPr="008328BE">
        <w:rPr>
          <w:rFonts w:cs="Arial"/>
          <w:b/>
          <w:sz w:val="16"/>
          <w:szCs w:val="16"/>
          <w:lang w:eastAsia="zh-CN"/>
        </w:rPr>
        <w:tab/>
      </w:r>
    </w:p>
    <w:p w:rsidR="00151BF3" w:rsidRPr="008328BE" w:rsidRDefault="00A65186" w:rsidP="00BB5EA4">
      <w:pPr>
        <w:spacing w:before="0" w:after="0"/>
        <w:jc w:val="left"/>
        <w:rPr>
          <w:b/>
        </w:rPr>
      </w:pPr>
      <w:r w:rsidRPr="008328BE">
        <w:rPr>
          <w:rFonts w:cs="Arial"/>
          <w:b/>
          <w:sz w:val="16"/>
          <w:szCs w:val="16"/>
          <w:lang w:eastAsia="zh-CN"/>
        </w:rPr>
        <w:tab/>
      </w:r>
      <w:r w:rsidRPr="008328BE">
        <w:rPr>
          <w:rFonts w:cs="Arial"/>
          <w:b/>
          <w:sz w:val="16"/>
          <w:szCs w:val="16"/>
          <w:lang w:eastAsia="zh-CN"/>
        </w:rPr>
        <w:tab/>
      </w:r>
      <w:r w:rsidRPr="008328BE">
        <w:rPr>
          <w:rFonts w:cs="Arial"/>
          <w:b/>
          <w:sz w:val="16"/>
          <w:szCs w:val="16"/>
          <w:lang w:eastAsia="zh-CN"/>
        </w:rPr>
        <w:tab/>
      </w:r>
      <w:r w:rsidRPr="008328BE">
        <w:rPr>
          <w:rFonts w:cs="Arial"/>
          <w:b/>
          <w:sz w:val="16"/>
          <w:szCs w:val="16"/>
          <w:lang w:eastAsia="zh-CN"/>
        </w:rPr>
        <w:tab/>
      </w:r>
      <w:r w:rsidRPr="008328BE">
        <w:rPr>
          <w:rFonts w:cs="Arial"/>
          <w:b/>
          <w:sz w:val="16"/>
          <w:szCs w:val="16"/>
          <w:lang w:eastAsia="zh-CN"/>
        </w:rPr>
        <w:tab/>
      </w:r>
      <w:r w:rsidRPr="008328BE">
        <w:rPr>
          <w:rFonts w:cs="Arial"/>
          <w:b/>
          <w:sz w:val="16"/>
          <w:szCs w:val="16"/>
          <w:lang w:eastAsia="zh-CN"/>
        </w:rPr>
        <w:tab/>
      </w:r>
      <w:r w:rsidRPr="008328BE">
        <w:rPr>
          <w:rFonts w:cs="Arial"/>
          <w:b/>
          <w:sz w:val="16"/>
          <w:szCs w:val="16"/>
          <w:lang w:eastAsia="zh-CN"/>
        </w:rPr>
        <w:tab/>
      </w:r>
    </w:p>
    <w:tbl>
      <w:tblPr>
        <w:tblW w:w="18782" w:type="dxa"/>
        <w:tblInd w:w="51" w:type="dxa"/>
        <w:tblCellMar>
          <w:left w:w="70" w:type="dxa"/>
          <w:right w:w="70" w:type="dxa"/>
        </w:tblCellMar>
        <w:tblLook w:val="04A0" w:firstRow="1" w:lastRow="0" w:firstColumn="1" w:lastColumn="0" w:noHBand="0" w:noVBand="1"/>
      </w:tblPr>
      <w:tblGrid>
        <w:gridCol w:w="1231"/>
        <w:gridCol w:w="821"/>
        <w:gridCol w:w="23"/>
        <w:gridCol w:w="1127"/>
        <w:gridCol w:w="97"/>
        <w:gridCol w:w="1417"/>
        <w:gridCol w:w="22"/>
        <w:gridCol w:w="979"/>
        <w:gridCol w:w="854"/>
        <w:gridCol w:w="147"/>
        <w:gridCol w:w="1020"/>
        <w:gridCol w:w="67"/>
        <w:gridCol w:w="670"/>
        <w:gridCol w:w="588"/>
        <w:gridCol w:w="603"/>
        <w:gridCol w:w="635"/>
        <w:gridCol w:w="484"/>
        <w:gridCol w:w="349"/>
        <w:gridCol w:w="942"/>
        <w:gridCol w:w="586"/>
        <w:gridCol w:w="395"/>
        <w:gridCol w:w="775"/>
        <w:gridCol w:w="346"/>
        <w:gridCol w:w="1244"/>
        <w:gridCol w:w="12"/>
        <w:gridCol w:w="1050"/>
        <w:gridCol w:w="1179"/>
        <w:gridCol w:w="1119"/>
      </w:tblGrid>
      <w:tr w:rsidR="008F33C1" w:rsidRPr="000C7171" w:rsidTr="00625976">
        <w:trPr>
          <w:gridAfter w:val="3"/>
          <w:wAfter w:w="3348" w:type="dxa"/>
          <w:trHeight w:val="1814"/>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bookmarkStart w:id="3" w:name="RANGE!A2:N32"/>
            <w:r w:rsidRPr="000C7171">
              <w:rPr>
                <w:rFonts w:cs="Arial"/>
                <w:b/>
                <w:bCs/>
                <w:sz w:val="18"/>
                <w:szCs w:val="18"/>
                <w:lang w:val="fr-FR" w:eastAsia="fr-FR"/>
              </w:rPr>
              <w:t>Nationality</w:t>
            </w:r>
            <w:bookmarkEnd w:id="3"/>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lang w:val="en-US" w:eastAsia="fr-FR"/>
              </w:rPr>
            </w:pPr>
            <w:r w:rsidRPr="00C94503">
              <w:rPr>
                <w:rFonts w:cs="Arial"/>
                <w:b/>
                <w:bCs/>
                <w:sz w:val="18"/>
                <w:szCs w:val="18"/>
                <w:lang w:val="en-US" w:eastAsia="fr-FR"/>
              </w:rPr>
              <w:t>Number of pupils per country</w:t>
            </w:r>
          </w:p>
        </w:tc>
        <w:tc>
          <w:tcPr>
            <w:tcW w:w="1247" w:type="dxa"/>
            <w:gridSpan w:val="3"/>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lang w:val="en-US" w:eastAsia="fr-FR"/>
              </w:rPr>
            </w:pPr>
            <w:r w:rsidRPr="00C94503">
              <w:rPr>
                <w:rFonts w:cs="Arial"/>
                <w:b/>
                <w:bCs/>
                <w:sz w:val="18"/>
                <w:szCs w:val="18"/>
                <w:lang w:val="en-US" w:eastAsia="fr-FR"/>
              </w:rPr>
              <w:t>Breakdown of pupils per Member State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u w:val="single"/>
                <w:lang w:val="en-US" w:eastAsia="fr-FR"/>
              </w:rPr>
            </w:pPr>
            <w:r w:rsidRPr="00C94503">
              <w:rPr>
                <w:rFonts w:cs="Arial"/>
                <w:b/>
                <w:bCs/>
                <w:sz w:val="18"/>
                <w:szCs w:val="18"/>
                <w:u w:val="single"/>
                <w:lang w:val="en-US" w:eastAsia="fr-FR"/>
              </w:rPr>
              <w:t>Seconded staff</w:t>
            </w:r>
            <w:r w:rsidRPr="00C94503">
              <w:rPr>
                <w:rFonts w:cs="Arial"/>
                <w:b/>
                <w:bCs/>
                <w:sz w:val="18"/>
                <w:szCs w:val="18"/>
                <w:lang w:val="en-US" w:eastAsia="fr-FR"/>
              </w:rPr>
              <w:t>: Teachers, Educational Adviser</w:t>
            </w:r>
            <w:r w:rsidR="00625976" w:rsidRPr="00C94503">
              <w:rPr>
                <w:rFonts w:cs="Arial"/>
                <w:b/>
                <w:bCs/>
                <w:sz w:val="18"/>
                <w:szCs w:val="18"/>
                <w:lang w:val="en-US" w:eastAsia="fr-FR"/>
              </w:rPr>
              <w:t>s</w:t>
            </w:r>
            <w:r w:rsidR="00094B1C" w:rsidRPr="00C94503">
              <w:rPr>
                <w:rFonts w:cs="Arial"/>
                <w:b/>
                <w:bCs/>
                <w:sz w:val="18"/>
                <w:szCs w:val="18"/>
                <w:lang w:val="en-US" w:eastAsia="fr-FR"/>
              </w:rPr>
              <w:t>, Librarians</w:t>
            </w:r>
            <w:r w:rsidRPr="00C94503">
              <w:rPr>
                <w:rFonts w:cs="Arial"/>
                <w:b/>
                <w:bCs/>
                <w:sz w:val="18"/>
                <w:szCs w:val="18"/>
                <w:lang w:val="en-US" w:eastAsia="fr-FR"/>
              </w:rPr>
              <w:t xml:space="preserve"> and Directors and Deputy Directors </w:t>
            </w: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u w:val="single"/>
                <w:lang w:val="fr-FR" w:eastAsia="fr-FR"/>
              </w:rPr>
              <w:t>Seconded staff</w:t>
            </w:r>
            <w:r w:rsidRPr="000C7171">
              <w:rPr>
                <w:rFonts w:cs="Arial"/>
                <w:b/>
                <w:bCs/>
                <w:sz w:val="18"/>
                <w:szCs w:val="18"/>
                <w:lang w:val="fr-FR" w:eastAsia="fr-FR"/>
              </w:rPr>
              <w:t>: Bursars</w:t>
            </w: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u w:val="single"/>
                <w:lang w:val="fr-FR" w:eastAsia="fr-FR"/>
              </w:rPr>
            </w:pPr>
            <w:r w:rsidRPr="000C7171">
              <w:rPr>
                <w:rFonts w:cs="Arial"/>
                <w:b/>
                <w:bCs/>
                <w:sz w:val="18"/>
                <w:szCs w:val="18"/>
                <w:u w:val="single"/>
                <w:lang w:val="fr-FR" w:eastAsia="fr-FR"/>
              </w:rPr>
              <w:t>Seconded staff</w:t>
            </w:r>
            <w:r w:rsidRPr="000C7171">
              <w:rPr>
                <w:rFonts w:cs="Arial"/>
                <w:b/>
                <w:bCs/>
                <w:sz w:val="18"/>
                <w:szCs w:val="18"/>
                <w:lang w:val="fr-FR" w:eastAsia="fr-FR"/>
              </w:rPr>
              <w:t>: OSGES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u w:val="single"/>
                <w:lang w:val="en-US" w:eastAsia="fr-FR"/>
              </w:rPr>
            </w:pPr>
            <w:r w:rsidRPr="00C94503">
              <w:rPr>
                <w:rFonts w:cs="Arial"/>
                <w:b/>
                <w:bCs/>
                <w:sz w:val="18"/>
                <w:szCs w:val="18"/>
                <w:u w:val="single"/>
                <w:lang w:val="en-US" w:eastAsia="fr-FR"/>
              </w:rPr>
              <w:t>TOTAL Seconded staff in post</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C94503">
              <w:rPr>
                <w:rFonts w:cs="Arial"/>
                <w:b/>
                <w:bCs/>
                <w:sz w:val="18"/>
                <w:szCs w:val="18"/>
                <w:lang w:val="en-US" w:eastAsia="fr-FR"/>
              </w:rPr>
              <w:t xml:space="preserve"> </w:t>
            </w:r>
            <w:r w:rsidRPr="000C7171">
              <w:rPr>
                <w:rFonts w:cs="Arial"/>
                <w:b/>
                <w:bCs/>
                <w:sz w:val="18"/>
                <w:szCs w:val="18"/>
                <w:lang w:val="fr-FR" w:eastAsia="fr-FR"/>
              </w:rPr>
              <w:t>(%)</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u w:val="single"/>
                <w:lang w:val="en-US" w:eastAsia="fr-FR"/>
              </w:rPr>
            </w:pPr>
            <w:r w:rsidRPr="00C94503">
              <w:rPr>
                <w:rFonts w:cs="Arial"/>
                <w:b/>
                <w:bCs/>
                <w:sz w:val="18"/>
                <w:szCs w:val="18"/>
                <w:u w:val="single"/>
                <w:lang w:val="en-US" w:eastAsia="fr-FR"/>
              </w:rPr>
              <w:t>Seconded staff required according to pupils of the Member State</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Difference</w:t>
            </w:r>
          </w:p>
        </w:tc>
        <w:tc>
          <w:tcPr>
            <w:tcW w:w="1291" w:type="dxa"/>
            <w:gridSpan w:val="2"/>
            <w:tcBorders>
              <w:top w:val="single" w:sz="4" w:space="0" w:color="auto"/>
              <w:left w:val="nil"/>
              <w:bottom w:val="single" w:sz="4" w:space="0" w:color="auto"/>
              <w:right w:val="single" w:sz="4" w:space="0" w:color="auto"/>
            </w:tcBorders>
            <w:shd w:val="clear" w:color="000000" w:fill="FFFF00"/>
            <w:vAlign w:val="center"/>
            <w:hideMark/>
          </w:tcPr>
          <w:p w:rsidR="008328BE" w:rsidRPr="000C7171" w:rsidRDefault="008328BE" w:rsidP="008328BE">
            <w:pPr>
              <w:spacing w:before="0" w:after="0"/>
              <w:jc w:val="center"/>
              <w:rPr>
                <w:rFonts w:cs="Arial"/>
                <w:b/>
                <w:bCs/>
                <w:sz w:val="18"/>
                <w:szCs w:val="18"/>
                <w:lang w:val="fr-FR" w:eastAsia="fr-FR"/>
              </w:rPr>
            </w:pPr>
            <w:r w:rsidRPr="00C94503">
              <w:rPr>
                <w:rFonts w:cs="Arial"/>
                <w:b/>
                <w:bCs/>
                <w:sz w:val="18"/>
                <w:szCs w:val="18"/>
                <w:lang w:val="en-US" w:eastAsia="fr-FR"/>
              </w:rPr>
              <w:t xml:space="preserve">2013 revenue according to staff on the spot from 01.01. to 31.08. </w:t>
            </w:r>
            <w:r w:rsidRPr="000C7171">
              <w:rPr>
                <w:rFonts w:cs="Arial"/>
                <w:b/>
                <w:bCs/>
                <w:sz w:val="18"/>
                <w:szCs w:val="18"/>
                <w:lang w:val="fr-FR" w:eastAsia="fr-FR"/>
              </w:rPr>
              <w:t>Extrapolation 01.01. to 31.12.  2013</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lang w:val="en-US" w:eastAsia="fr-FR"/>
              </w:rPr>
            </w:pPr>
            <w:r w:rsidRPr="00C94503">
              <w:rPr>
                <w:rFonts w:cs="Arial"/>
                <w:b/>
                <w:bCs/>
                <w:sz w:val="18"/>
                <w:szCs w:val="18"/>
                <w:lang w:val="en-US" w:eastAsia="fr-FR"/>
              </w:rPr>
              <w:t>Average national salary per seconded staff member</w:t>
            </w:r>
          </w:p>
        </w:tc>
        <w:tc>
          <w:tcPr>
            <w:tcW w:w="1121"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lang w:val="en-US" w:eastAsia="fr-FR"/>
              </w:rPr>
            </w:pPr>
            <w:r w:rsidRPr="00C94503">
              <w:rPr>
                <w:rFonts w:cs="Arial"/>
                <w:b/>
                <w:bCs/>
                <w:sz w:val="18"/>
                <w:szCs w:val="18"/>
                <w:lang w:val="en-US" w:eastAsia="fr-FR"/>
              </w:rPr>
              <w:t>Deficit because of required posts unfilled</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rsidR="008328BE" w:rsidRPr="00C94503" w:rsidRDefault="008328BE" w:rsidP="008328BE">
            <w:pPr>
              <w:spacing w:before="0" w:after="0"/>
              <w:jc w:val="center"/>
              <w:rPr>
                <w:rFonts w:cs="Arial"/>
                <w:b/>
                <w:bCs/>
                <w:sz w:val="18"/>
                <w:szCs w:val="18"/>
                <w:lang w:val="en-US" w:eastAsia="fr-FR"/>
              </w:rPr>
            </w:pPr>
            <w:r w:rsidRPr="00C94503">
              <w:rPr>
                <w:rFonts w:cs="Arial"/>
                <w:b/>
                <w:bCs/>
                <w:sz w:val="18"/>
                <w:szCs w:val="18"/>
                <w:lang w:val="en-US" w:eastAsia="fr-FR"/>
              </w:rPr>
              <w:t>Surplus in Member State's favour</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German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 xml:space="preserve">778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13</w:t>
            </w:r>
            <w:r w:rsidR="004C67FC">
              <w:rPr>
                <w:rFonts w:cs="Arial"/>
                <w:sz w:val="18"/>
                <w:szCs w:val="18"/>
                <w:lang w:val="fr-FR" w:eastAsia="fr-FR"/>
              </w:rPr>
              <w:t>.</w:t>
            </w:r>
            <w:r w:rsidRPr="000C7171">
              <w:rPr>
                <w:rFonts w:cs="Arial"/>
                <w:sz w:val="18"/>
                <w:szCs w:val="18"/>
                <w:lang w:val="fr-FR" w:eastAsia="fr-FR"/>
              </w:rPr>
              <w:t xml:space="preserve">25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197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201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14</w:t>
            </w:r>
            <w:r w:rsidR="004C67FC">
              <w:rPr>
                <w:rFonts w:cs="Arial"/>
                <w:sz w:val="18"/>
                <w:szCs w:val="18"/>
                <w:lang w:val="fr-FR" w:eastAsia="fr-FR"/>
              </w:rPr>
              <w:t>.</w:t>
            </w:r>
            <w:r w:rsidRPr="000C7171">
              <w:rPr>
                <w:rFonts w:cs="Arial"/>
                <w:sz w:val="18"/>
                <w:szCs w:val="18"/>
                <w:lang w:val="fr-FR" w:eastAsia="fr-FR"/>
              </w:rPr>
              <w:t xml:space="preserve">51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184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17</w:t>
            </w:r>
            <w:r w:rsidR="004C67FC">
              <w:rPr>
                <w:rFonts w:cs="Arial"/>
                <w:b/>
                <w:bCs/>
                <w:sz w:val="18"/>
                <w:szCs w:val="18"/>
                <w:lang w:val="fr-FR" w:eastAsia="fr-FR"/>
              </w:rPr>
              <w:t>.</w:t>
            </w:r>
            <w:r w:rsidRPr="000C7171">
              <w:rPr>
                <w:rFonts w:cs="Arial"/>
                <w:b/>
                <w:bCs/>
                <w:sz w:val="18"/>
                <w:szCs w:val="18"/>
                <w:lang w:val="fr-FR" w:eastAsia="fr-FR"/>
              </w:rPr>
              <w:t xml:space="preserve">4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10</w:t>
            </w:r>
            <w:r w:rsidR="004C67FC">
              <w:rPr>
                <w:rFonts w:cs="Arial"/>
                <w:b/>
                <w:bCs/>
                <w:sz w:val="18"/>
                <w:szCs w:val="18"/>
                <w:lang w:val="fr-FR" w:eastAsia="fr-FR"/>
              </w:rPr>
              <w:t>,</w:t>
            </w:r>
            <w:r w:rsidRPr="000C7171">
              <w:rPr>
                <w:rFonts w:cs="Arial"/>
                <w:b/>
                <w:bCs/>
                <w:sz w:val="18"/>
                <w:szCs w:val="18"/>
                <w:lang w:val="fr-FR" w:eastAsia="fr-FR"/>
              </w:rPr>
              <w:t>825</w:t>
            </w:r>
            <w:r w:rsidR="004C67FC">
              <w:rPr>
                <w:rFonts w:cs="Arial"/>
                <w:b/>
                <w:bCs/>
                <w:sz w:val="18"/>
                <w:szCs w:val="18"/>
                <w:lang w:val="fr-FR" w:eastAsia="fr-FR"/>
              </w:rPr>
              <w:t>,</w:t>
            </w:r>
            <w:r w:rsidRPr="000C7171">
              <w:rPr>
                <w:rFonts w:cs="Arial"/>
                <w:b/>
                <w:bCs/>
                <w:sz w:val="18"/>
                <w:szCs w:val="18"/>
                <w:lang w:val="fr-FR" w:eastAsia="fr-FR"/>
              </w:rPr>
              <w:t xml:space="preserve">812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53</w:t>
            </w:r>
            <w:r w:rsidR="004C67FC">
              <w:rPr>
                <w:rFonts w:cs="Arial"/>
                <w:b/>
                <w:bCs/>
                <w:sz w:val="18"/>
                <w:szCs w:val="18"/>
                <w:lang w:val="fr-FR" w:eastAsia="fr-FR"/>
              </w:rPr>
              <w:t>,</w:t>
            </w:r>
            <w:r w:rsidRPr="000C7171">
              <w:rPr>
                <w:rFonts w:cs="Arial"/>
                <w:b/>
                <w:bCs/>
                <w:sz w:val="18"/>
                <w:szCs w:val="18"/>
                <w:lang w:val="fr-FR" w:eastAsia="fr-FR"/>
              </w:rPr>
              <w:t xml:space="preserve">860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939</w:t>
            </w:r>
            <w:r w:rsidR="004C67FC">
              <w:rPr>
                <w:rFonts w:cs="Arial"/>
                <w:b/>
                <w:bCs/>
                <w:sz w:val="18"/>
                <w:szCs w:val="18"/>
                <w:lang w:val="fr-FR" w:eastAsia="fr-FR"/>
              </w:rPr>
              <w:t>,</w:t>
            </w:r>
            <w:r w:rsidRPr="000C7171">
              <w:rPr>
                <w:rFonts w:cs="Arial"/>
                <w:b/>
                <w:bCs/>
                <w:sz w:val="18"/>
                <w:szCs w:val="18"/>
                <w:lang w:val="fr-FR" w:eastAsia="fr-FR"/>
              </w:rPr>
              <w:t xml:space="preserve">025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Austrian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287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37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17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17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23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-2</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0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684</w:t>
            </w:r>
            <w:r w:rsidR="004C67FC">
              <w:rPr>
                <w:rFonts w:cs="Arial"/>
                <w:b/>
                <w:bCs/>
                <w:sz w:val="18"/>
                <w:szCs w:val="18"/>
                <w:lang w:val="fr-FR" w:eastAsia="fr-FR"/>
              </w:rPr>
              <w:t>,</w:t>
            </w:r>
            <w:r w:rsidRPr="000C7171">
              <w:rPr>
                <w:rFonts w:cs="Arial"/>
                <w:b/>
                <w:bCs/>
                <w:sz w:val="18"/>
                <w:szCs w:val="18"/>
                <w:lang w:val="fr-FR" w:eastAsia="fr-FR"/>
              </w:rPr>
              <w:t xml:space="preserve">822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40</w:t>
            </w:r>
            <w:r w:rsidR="004C67FC">
              <w:rPr>
                <w:rFonts w:cs="Arial"/>
                <w:b/>
                <w:bCs/>
                <w:sz w:val="18"/>
                <w:szCs w:val="18"/>
                <w:lang w:val="fr-FR" w:eastAsia="fr-FR"/>
              </w:rPr>
              <w:t>,</w:t>
            </w:r>
            <w:r w:rsidRPr="000C7171">
              <w:rPr>
                <w:rFonts w:cs="Arial"/>
                <w:b/>
                <w:bCs/>
                <w:sz w:val="18"/>
                <w:szCs w:val="18"/>
                <w:lang w:val="fr-FR" w:eastAsia="fr-FR"/>
              </w:rPr>
              <w:t xml:space="preserve">284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-79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135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Belgian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 xml:space="preserve">322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11</w:t>
            </w:r>
            <w:r w:rsidR="004C67FC">
              <w:rPr>
                <w:rFonts w:cs="Arial"/>
                <w:sz w:val="18"/>
                <w:szCs w:val="18"/>
                <w:lang w:val="fr-FR" w:eastAsia="fr-FR"/>
              </w:rPr>
              <w:t>.</w:t>
            </w:r>
            <w:r w:rsidRPr="000C7171">
              <w:rPr>
                <w:rFonts w:cs="Arial"/>
                <w:sz w:val="18"/>
                <w:szCs w:val="18"/>
                <w:lang w:val="fr-FR" w:eastAsia="fr-FR"/>
              </w:rPr>
              <w:t xml:space="preserve">08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193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198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14</w:t>
            </w:r>
            <w:r w:rsidR="004C67FC">
              <w:rPr>
                <w:rFonts w:cs="Arial"/>
                <w:sz w:val="18"/>
                <w:szCs w:val="18"/>
                <w:lang w:val="fr-FR" w:eastAsia="fr-FR"/>
              </w:rPr>
              <w:t>.</w:t>
            </w:r>
            <w:r w:rsidRPr="000C7171">
              <w:rPr>
                <w:rFonts w:cs="Arial"/>
                <w:sz w:val="18"/>
                <w:szCs w:val="18"/>
                <w:lang w:val="fr-FR" w:eastAsia="fr-FR"/>
              </w:rPr>
              <w:t xml:space="preserve">30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153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44</w:t>
            </w:r>
            <w:r w:rsidR="004C67FC">
              <w:rPr>
                <w:rFonts w:cs="Arial"/>
                <w:b/>
                <w:bCs/>
                <w:sz w:val="18"/>
                <w:szCs w:val="18"/>
                <w:lang w:val="fr-FR" w:eastAsia="fr-FR"/>
              </w:rPr>
              <w:t>.</w:t>
            </w:r>
            <w:r w:rsidRPr="000C7171">
              <w:rPr>
                <w:rFonts w:cs="Arial"/>
                <w:b/>
                <w:bCs/>
                <w:sz w:val="18"/>
                <w:szCs w:val="18"/>
                <w:lang w:val="fr-FR" w:eastAsia="fr-FR"/>
              </w:rPr>
              <w:t xml:space="preserve">6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10</w:t>
            </w:r>
            <w:r w:rsidR="004C67FC">
              <w:rPr>
                <w:rFonts w:cs="Arial"/>
                <w:b/>
                <w:bCs/>
                <w:sz w:val="18"/>
                <w:szCs w:val="18"/>
                <w:lang w:val="fr-FR" w:eastAsia="fr-FR"/>
              </w:rPr>
              <w:t>,</w:t>
            </w:r>
            <w:r w:rsidRPr="000C7171">
              <w:rPr>
                <w:rFonts w:cs="Arial"/>
                <w:b/>
                <w:bCs/>
                <w:sz w:val="18"/>
                <w:szCs w:val="18"/>
                <w:lang w:val="fr-FR" w:eastAsia="fr-FR"/>
              </w:rPr>
              <w:t>233</w:t>
            </w:r>
            <w:r w:rsidR="004C67FC">
              <w:rPr>
                <w:rFonts w:cs="Arial"/>
                <w:b/>
                <w:bCs/>
                <w:sz w:val="18"/>
                <w:szCs w:val="18"/>
                <w:lang w:val="fr-FR" w:eastAsia="fr-FR"/>
              </w:rPr>
              <w:t>,</w:t>
            </w:r>
            <w:r w:rsidRPr="000C7171">
              <w:rPr>
                <w:rFonts w:cs="Arial"/>
                <w:b/>
                <w:bCs/>
                <w:sz w:val="18"/>
                <w:szCs w:val="18"/>
                <w:lang w:val="fr-FR" w:eastAsia="fr-FR"/>
              </w:rPr>
              <w:t xml:space="preserve">160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51</w:t>
            </w:r>
            <w:r w:rsidR="004C67FC">
              <w:rPr>
                <w:rFonts w:cs="Arial"/>
                <w:b/>
                <w:bCs/>
                <w:sz w:val="18"/>
                <w:szCs w:val="18"/>
                <w:lang w:val="fr-FR" w:eastAsia="fr-FR"/>
              </w:rPr>
              <w:t>,</w:t>
            </w:r>
            <w:r w:rsidRPr="000C7171">
              <w:rPr>
                <w:rFonts w:cs="Arial"/>
                <w:b/>
                <w:bCs/>
                <w:sz w:val="18"/>
                <w:szCs w:val="18"/>
                <w:lang w:val="fr-FR" w:eastAsia="fr-FR"/>
              </w:rPr>
              <w:t xml:space="preserve">683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303</w:t>
            </w:r>
            <w:r w:rsidR="004C67FC">
              <w:rPr>
                <w:rFonts w:cs="Arial"/>
                <w:b/>
                <w:bCs/>
                <w:sz w:val="18"/>
                <w:szCs w:val="18"/>
                <w:lang w:val="fr-FR" w:eastAsia="fr-FR"/>
              </w:rPr>
              <w:t>,</w:t>
            </w:r>
            <w:r w:rsidRPr="000C7171">
              <w:rPr>
                <w:rFonts w:cs="Arial"/>
                <w:b/>
                <w:bCs/>
                <w:sz w:val="18"/>
                <w:szCs w:val="18"/>
                <w:lang w:val="fr-FR" w:eastAsia="fr-FR"/>
              </w:rPr>
              <w:t xml:space="preserve">304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British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 xml:space="preserve">610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7</w:t>
            </w:r>
            <w:r w:rsidR="004C67FC">
              <w:rPr>
                <w:rFonts w:cs="Arial"/>
                <w:sz w:val="18"/>
                <w:szCs w:val="18"/>
                <w:lang w:val="fr-FR" w:eastAsia="fr-FR"/>
              </w:rPr>
              <w:t>.</w:t>
            </w:r>
            <w:r w:rsidRPr="000C7171">
              <w:rPr>
                <w:rFonts w:cs="Arial"/>
                <w:sz w:val="18"/>
                <w:szCs w:val="18"/>
                <w:lang w:val="fr-FR" w:eastAsia="fr-FR"/>
              </w:rPr>
              <w:t xml:space="preserve">68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203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203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14</w:t>
            </w:r>
            <w:r w:rsidR="004C67FC">
              <w:rPr>
                <w:rFonts w:cs="Arial"/>
                <w:sz w:val="18"/>
                <w:szCs w:val="18"/>
                <w:lang w:val="fr-FR" w:eastAsia="fr-FR"/>
              </w:rPr>
              <w:t>.</w:t>
            </w:r>
            <w:r w:rsidRPr="000C7171">
              <w:rPr>
                <w:rFonts w:cs="Arial"/>
                <w:sz w:val="18"/>
                <w:szCs w:val="18"/>
                <w:lang w:val="fr-FR" w:eastAsia="fr-FR"/>
              </w:rPr>
              <w:t xml:space="preserve">66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106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96</w:t>
            </w:r>
            <w:r w:rsidR="004C67FC">
              <w:rPr>
                <w:rFonts w:cs="Arial"/>
                <w:b/>
                <w:bCs/>
                <w:sz w:val="18"/>
                <w:szCs w:val="18"/>
                <w:lang w:val="fr-FR" w:eastAsia="fr-FR"/>
              </w:rPr>
              <w:t>.</w:t>
            </w:r>
            <w:r w:rsidRPr="000C7171">
              <w:rPr>
                <w:rFonts w:cs="Arial"/>
                <w:b/>
                <w:bCs/>
                <w:sz w:val="18"/>
                <w:szCs w:val="18"/>
                <w:lang w:val="fr-FR" w:eastAsia="fr-FR"/>
              </w:rPr>
              <w:t xml:space="preserve">6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6</w:t>
            </w:r>
            <w:r w:rsidR="004C67FC">
              <w:rPr>
                <w:rFonts w:cs="Arial"/>
                <w:b/>
                <w:bCs/>
                <w:sz w:val="18"/>
                <w:szCs w:val="18"/>
                <w:lang w:val="fr-FR" w:eastAsia="fr-FR"/>
              </w:rPr>
              <w:t>,</w:t>
            </w:r>
            <w:r w:rsidRPr="000C7171">
              <w:rPr>
                <w:rFonts w:cs="Arial"/>
                <w:b/>
                <w:bCs/>
                <w:sz w:val="18"/>
                <w:szCs w:val="18"/>
                <w:lang w:val="fr-FR" w:eastAsia="fr-FR"/>
              </w:rPr>
              <w:t>870</w:t>
            </w:r>
            <w:r w:rsidR="004C67FC">
              <w:rPr>
                <w:rFonts w:cs="Arial"/>
                <w:b/>
                <w:bCs/>
                <w:sz w:val="18"/>
                <w:szCs w:val="18"/>
                <w:lang w:val="fr-FR" w:eastAsia="fr-FR"/>
              </w:rPr>
              <w:t>,</w:t>
            </w:r>
            <w:r w:rsidRPr="000C7171">
              <w:rPr>
                <w:rFonts w:cs="Arial"/>
                <w:b/>
                <w:bCs/>
                <w:sz w:val="18"/>
                <w:szCs w:val="18"/>
                <w:lang w:val="fr-FR" w:eastAsia="fr-FR"/>
              </w:rPr>
              <w:t xml:space="preserve">738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33</w:t>
            </w:r>
            <w:r w:rsidR="004C67FC">
              <w:rPr>
                <w:rFonts w:cs="Arial"/>
                <w:b/>
                <w:bCs/>
                <w:sz w:val="18"/>
                <w:szCs w:val="18"/>
                <w:lang w:val="fr-FR" w:eastAsia="fr-FR"/>
              </w:rPr>
              <w:t>,</w:t>
            </w:r>
            <w:r w:rsidRPr="000C7171">
              <w:rPr>
                <w:rFonts w:cs="Arial"/>
                <w:b/>
                <w:bCs/>
                <w:sz w:val="18"/>
                <w:szCs w:val="18"/>
                <w:lang w:val="fr-FR" w:eastAsia="fr-FR"/>
              </w:rPr>
              <w:t xml:space="preserve">846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w:t>
            </w:r>
            <w:r w:rsidR="004C67FC">
              <w:rPr>
                <w:rFonts w:cs="Arial"/>
                <w:b/>
                <w:bCs/>
                <w:sz w:val="18"/>
                <w:szCs w:val="18"/>
                <w:lang w:val="fr-FR" w:eastAsia="fr-FR"/>
              </w:rPr>
              <w:t>,</w:t>
            </w:r>
            <w:r w:rsidRPr="000C7171">
              <w:rPr>
                <w:rFonts w:cs="Arial"/>
                <w:b/>
                <w:bCs/>
                <w:sz w:val="18"/>
                <w:szCs w:val="18"/>
                <w:lang w:val="fr-FR" w:eastAsia="fr-FR"/>
              </w:rPr>
              <w:t>269</w:t>
            </w:r>
            <w:r w:rsidR="004C67FC">
              <w:rPr>
                <w:rFonts w:cs="Arial"/>
                <w:b/>
                <w:bCs/>
                <w:sz w:val="18"/>
                <w:szCs w:val="18"/>
                <w:lang w:val="fr-FR" w:eastAsia="fr-FR"/>
              </w:rPr>
              <w:t>,</w:t>
            </w:r>
            <w:r w:rsidRPr="000C7171">
              <w:rPr>
                <w:rFonts w:cs="Arial"/>
                <w:b/>
                <w:bCs/>
                <w:sz w:val="18"/>
                <w:szCs w:val="18"/>
                <w:lang w:val="fr-FR" w:eastAsia="fr-FR"/>
              </w:rPr>
              <w:t xml:space="preserve">998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Bulgarian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297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42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36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-14</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6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13</w:t>
            </w:r>
            <w:r w:rsidR="004C67FC">
              <w:rPr>
                <w:rFonts w:cs="Arial"/>
                <w:b/>
                <w:bCs/>
                <w:sz w:val="18"/>
                <w:szCs w:val="18"/>
                <w:lang w:val="fr-FR" w:eastAsia="fr-FR"/>
              </w:rPr>
              <w:t>,</w:t>
            </w:r>
            <w:r w:rsidRPr="000C7171">
              <w:rPr>
                <w:rFonts w:cs="Arial"/>
                <w:b/>
                <w:bCs/>
                <w:sz w:val="18"/>
                <w:szCs w:val="18"/>
                <w:lang w:val="fr-FR" w:eastAsia="fr-FR"/>
              </w:rPr>
              <w:t xml:space="preserve">382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 xml:space="preserve">676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-39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143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Cypriot</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38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18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00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-2</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5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Danish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610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91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31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31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24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40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3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665</w:t>
            </w:r>
            <w:r w:rsidR="004C67FC">
              <w:rPr>
                <w:rFonts w:cs="Arial"/>
                <w:b/>
                <w:bCs/>
                <w:sz w:val="18"/>
                <w:szCs w:val="18"/>
                <w:lang w:val="fr-FR" w:eastAsia="fr-FR"/>
              </w:rPr>
              <w:t>,</w:t>
            </w:r>
            <w:r w:rsidRPr="000C7171">
              <w:rPr>
                <w:rFonts w:cs="Arial"/>
                <w:b/>
                <w:bCs/>
                <w:sz w:val="18"/>
                <w:szCs w:val="18"/>
                <w:lang w:val="fr-FR" w:eastAsia="fr-FR"/>
              </w:rPr>
              <w:t xml:space="preserve">644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53</w:t>
            </w:r>
            <w:r w:rsidR="004C67FC">
              <w:rPr>
                <w:rFonts w:cs="Arial"/>
                <w:b/>
                <w:bCs/>
                <w:sz w:val="18"/>
                <w:szCs w:val="18"/>
                <w:lang w:val="fr-FR" w:eastAsia="fr-FR"/>
              </w:rPr>
              <w:t>,</w:t>
            </w:r>
            <w:r w:rsidRPr="000C7171">
              <w:rPr>
                <w:rFonts w:cs="Arial"/>
                <w:b/>
                <w:bCs/>
                <w:sz w:val="18"/>
                <w:szCs w:val="18"/>
                <w:lang w:val="fr-FR" w:eastAsia="fr-FR"/>
              </w:rPr>
              <w:t xml:space="preserve">730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-500</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108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Spanish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 xml:space="preserve">793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8</w:t>
            </w:r>
            <w:r w:rsidR="004C67FC">
              <w:rPr>
                <w:rFonts w:cs="Arial"/>
                <w:sz w:val="18"/>
                <w:szCs w:val="18"/>
                <w:lang w:val="fr-FR" w:eastAsia="fr-FR"/>
              </w:rPr>
              <w:t>.</w:t>
            </w:r>
            <w:r w:rsidRPr="000C7171">
              <w:rPr>
                <w:rFonts w:cs="Arial"/>
                <w:sz w:val="18"/>
                <w:szCs w:val="18"/>
                <w:lang w:val="fr-FR" w:eastAsia="fr-FR"/>
              </w:rPr>
              <w:t xml:space="preserve">55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86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89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6</w:t>
            </w:r>
            <w:r w:rsidR="004C67FC">
              <w:rPr>
                <w:rFonts w:cs="Arial"/>
                <w:sz w:val="18"/>
                <w:szCs w:val="18"/>
                <w:lang w:val="fr-FR" w:eastAsia="fr-FR"/>
              </w:rPr>
              <w:t>.</w:t>
            </w:r>
            <w:r w:rsidRPr="000C7171">
              <w:rPr>
                <w:rFonts w:cs="Arial"/>
                <w:sz w:val="18"/>
                <w:szCs w:val="18"/>
                <w:lang w:val="fr-FR" w:eastAsia="fr-FR"/>
              </w:rPr>
              <w:t xml:space="preserve">43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118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-29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5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521</w:t>
            </w:r>
            <w:r w:rsidR="004C67FC">
              <w:rPr>
                <w:rFonts w:cs="Arial"/>
                <w:b/>
                <w:bCs/>
                <w:sz w:val="18"/>
                <w:szCs w:val="18"/>
                <w:lang w:val="fr-FR" w:eastAsia="fr-FR"/>
              </w:rPr>
              <w:t>,</w:t>
            </w:r>
            <w:r w:rsidRPr="000C7171">
              <w:rPr>
                <w:rFonts w:cs="Arial"/>
                <w:b/>
                <w:bCs/>
                <w:sz w:val="18"/>
                <w:szCs w:val="18"/>
                <w:lang w:val="fr-FR" w:eastAsia="fr-FR"/>
              </w:rPr>
              <w:t xml:space="preserve">764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28</w:t>
            </w:r>
            <w:r w:rsidR="004C67FC">
              <w:rPr>
                <w:rFonts w:cs="Arial"/>
                <w:b/>
                <w:bCs/>
                <w:sz w:val="18"/>
                <w:szCs w:val="18"/>
                <w:lang w:val="fr-FR" w:eastAsia="fr-FR"/>
              </w:rPr>
              <w:t>,</w:t>
            </w:r>
            <w:r w:rsidRPr="000C7171">
              <w:rPr>
                <w:rFonts w:cs="Arial"/>
                <w:b/>
                <w:bCs/>
                <w:sz w:val="18"/>
                <w:szCs w:val="18"/>
                <w:lang w:val="fr-FR" w:eastAsia="fr-FR"/>
              </w:rPr>
              <w:t xml:space="preserve">334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-835</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251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Estonian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203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97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29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4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37</w:t>
            </w:r>
            <w:r w:rsidR="004C67FC">
              <w:rPr>
                <w:rFonts w:cs="Arial"/>
                <w:b/>
                <w:bCs/>
                <w:sz w:val="18"/>
                <w:szCs w:val="18"/>
                <w:lang w:val="fr-FR" w:eastAsia="fr-FR"/>
              </w:rPr>
              <w:t>,</w:t>
            </w:r>
            <w:r w:rsidRPr="000C7171">
              <w:rPr>
                <w:rFonts w:cs="Arial"/>
                <w:b/>
                <w:bCs/>
                <w:sz w:val="18"/>
                <w:szCs w:val="18"/>
                <w:lang w:val="fr-FR" w:eastAsia="fr-FR"/>
              </w:rPr>
              <w:t xml:space="preserve">170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9</w:t>
            </w:r>
            <w:r w:rsidR="004C67FC">
              <w:rPr>
                <w:rFonts w:cs="Arial"/>
                <w:b/>
                <w:bCs/>
                <w:sz w:val="18"/>
                <w:szCs w:val="18"/>
                <w:lang w:val="fr-FR" w:eastAsia="fr-FR"/>
              </w:rPr>
              <w:t>,</w:t>
            </w:r>
            <w:r w:rsidRPr="000C7171">
              <w:rPr>
                <w:rFonts w:cs="Arial"/>
                <w:b/>
                <w:bCs/>
                <w:sz w:val="18"/>
                <w:szCs w:val="18"/>
                <w:lang w:val="fr-FR" w:eastAsia="fr-FR"/>
              </w:rPr>
              <w:t xml:space="preserve">293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-87</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479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Finnish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653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3</w:t>
            </w:r>
            <w:r w:rsidR="004C67FC">
              <w:rPr>
                <w:rFonts w:cs="Arial"/>
                <w:sz w:val="18"/>
                <w:szCs w:val="18"/>
                <w:lang w:val="fr-FR" w:eastAsia="fr-FR"/>
              </w:rPr>
              <w:t>.</w:t>
            </w:r>
            <w:r w:rsidRPr="000C7171">
              <w:rPr>
                <w:rFonts w:cs="Arial"/>
                <w:sz w:val="18"/>
                <w:szCs w:val="18"/>
                <w:lang w:val="fr-FR" w:eastAsia="fr-FR"/>
              </w:rPr>
              <w:t xml:space="preserve">12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32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33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38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-10</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1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244</w:t>
            </w:r>
            <w:r w:rsidR="004C67FC">
              <w:rPr>
                <w:rFonts w:cs="Arial"/>
                <w:b/>
                <w:bCs/>
                <w:sz w:val="18"/>
                <w:szCs w:val="18"/>
                <w:lang w:val="fr-FR" w:eastAsia="fr-FR"/>
              </w:rPr>
              <w:t>,</w:t>
            </w:r>
            <w:r w:rsidRPr="000C7171">
              <w:rPr>
                <w:rFonts w:cs="Arial"/>
                <w:b/>
                <w:bCs/>
                <w:sz w:val="18"/>
                <w:szCs w:val="18"/>
                <w:lang w:val="fr-FR" w:eastAsia="fr-FR"/>
              </w:rPr>
              <w:t xml:space="preserve">175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37</w:t>
            </w:r>
            <w:r w:rsidR="004C67FC">
              <w:rPr>
                <w:rFonts w:cs="Arial"/>
                <w:b/>
                <w:bCs/>
                <w:sz w:val="18"/>
                <w:szCs w:val="18"/>
                <w:lang w:val="fr-FR" w:eastAsia="fr-FR"/>
              </w:rPr>
              <w:t>,</w:t>
            </w:r>
            <w:r w:rsidRPr="000C7171">
              <w:rPr>
                <w:rFonts w:cs="Arial"/>
                <w:b/>
                <w:bCs/>
                <w:sz w:val="18"/>
                <w:szCs w:val="18"/>
                <w:lang w:val="fr-FR" w:eastAsia="fr-FR"/>
              </w:rPr>
              <w:t xml:space="preserve">702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-382</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644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French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 xml:space="preserve">756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13</w:t>
            </w:r>
            <w:r w:rsidR="004C67FC">
              <w:rPr>
                <w:rFonts w:cs="Arial"/>
                <w:sz w:val="18"/>
                <w:szCs w:val="18"/>
                <w:lang w:val="fr-FR" w:eastAsia="fr-FR"/>
              </w:rPr>
              <w:t>.</w:t>
            </w:r>
            <w:r w:rsidRPr="000C7171">
              <w:rPr>
                <w:rFonts w:cs="Arial"/>
                <w:sz w:val="18"/>
                <w:szCs w:val="18"/>
                <w:lang w:val="fr-FR" w:eastAsia="fr-FR"/>
              </w:rPr>
              <w:t xml:space="preserve">15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175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175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12</w:t>
            </w:r>
            <w:r w:rsidR="004C67FC">
              <w:rPr>
                <w:rFonts w:cs="Arial"/>
                <w:sz w:val="18"/>
                <w:szCs w:val="18"/>
                <w:lang w:val="fr-FR" w:eastAsia="fr-FR"/>
              </w:rPr>
              <w:t>.</w:t>
            </w:r>
            <w:r w:rsidRPr="000C7171">
              <w:rPr>
                <w:rFonts w:cs="Arial"/>
                <w:sz w:val="18"/>
                <w:szCs w:val="18"/>
                <w:lang w:val="fr-FR" w:eastAsia="fr-FR"/>
              </w:rPr>
              <w:t xml:space="preserve">64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182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-7</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1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5</w:t>
            </w:r>
            <w:r w:rsidR="004C67FC">
              <w:rPr>
                <w:rFonts w:cs="Arial"/>
                <w:b/>
                <w:bCs/>
                <w:sz w:val="18"/>
                <w:szCs w:val="18"/>
                <w:lang w:val="fr-FR" w:eastAsia="fr-FR"/>
              </w:rPr>
              <w:t>,</w:t>
            </w:r>
            <w:r w:rsidRPr="000C7171">
              <w:rPr>
                <w:rFonts w:cs="Arial"/>
                <w:b/>
                <w:bCs/>
                <w:sz w:val="18"/>
                <w:szCs w:val="18"/>
                <w:lang w:val="fr-FR" w:eastAsia="fr-FR"/>
              </w:rPr>
              <w:t>439</w:t>
            </w:r>
            <w:r w:rsidR="004C67FC">
              <w:rPr>
                <w:rFonts w:cs="Arial"/>
                <w:b/>
                <w:bCs/>
                <w:sz w:val="18"/>
                <w:szCs w:val="18"/>
                <w:lang w:val="fr-FR" w:eastAsia="fr-FR"/>
              </w:rPr>
              <w:t>,</w:t>
            </w:r>
            <w:r w:rsidRPr="000C7171">
              <w:rPr>
                <w:rFonts w:cs="Arial"/>
                <w:b/>
                <w:bCs/>
                <w:sz w:val="18"/>
                <w:szCs w:val="18"/>
                <w:lang w:val="fr-FR" w:eastAsia="fr-FR"/>
              </w:rPr>
              <w:t xml:space="preserve">810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31</w:t>
            </w:r>
            <w:r w:rsidR="004C67FC">
              <w:rPr>
                <w:rFonts w:cs="Arial"/>
                <w:b/>
                <w:bCs/>
                <w:sz w:val="18"/>
                <w:szCs w:val="18"/>
                <w:lang w:val="fr-FR" w:eastAsia="fr-FR"/>
              </w:rPr>
              <w:t>,</w:t>
            </w:r>
            <w:r w:rsidRPr="000C7171">
              <w:rPr>
                <w:rFonts w:cs="Arial"/>
                <w:b/>
                <w:bCs/>
                <w:sz w:val="18"/>
                <w:szCs w:val="18"/>
                <w:lang w:val="fr-FR" w:eastAsia="fr-FR"/>
              </w:rPr>
              <w:t xml:space="preserve">085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-221</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063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Greek</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697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3</w:t>
            </w:r>
            <w:r w:rsidR="004C67FC">
              <w:rPr>
                <w:rFonts w:cs="Arial"/>
                <w:sz w:val="18"/>
                <w:szCs w:val="18"/>
                <w:lang w:val="fr-FR" w:eastAsia="fr-FR"/>
              </w:rPr>
              <w:t>.</w:t>
            </w:r>
            <w:r w:rsidRPr="000C7171">
              <w:rPr>
                <w:rFonts w:cs="Arial"/>
                <w:sz w:val="18"/>
                <w:szCs w:val="18"/>
                <w:lang w:val="fr-FR" w:eastAsia="fr-FR"/>
              </w:rPr>
              <w:t xml:space="preserve">33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39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41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96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46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-5</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1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808</w:t>
            </w:r>
            <w:r w:rsidR="004C67FC">
              <w:rPr>
                <w:rFonts w:cs="Arial"/>
                <w:b/>
                <w:bCs/>
                <w:sz w:val="18"/>
                <w:szCs w:val="18"/>
                <w:lang w:val="fr-FR" w:eastAsia="fr-FR"/>
              </w:rPr>
              <w:t>,</w:t>
            </w:r>
            <w:r w:rsidRPr="000C7171">
              <w:rPr>
                <w:rFonts w:cs="Arial"/>
                <w:b/>
                <w:bCs/>
                <w:sz w:val="18"/>
                <w:szCs w:val="18"/>
                <w:lang w:val="fr-FR" w:eastAsia="fr-FR"/>
              </w:rPr>
              <w:t xml:space="preserve">220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19</w:t>
            </w:r>
            <w:r w:rsidR="004C67FC">
              <w:rPr>
                <w:rFonts w:cs="Arial"/>
                <w:b/>
                <w:bCs/>
                <w:sz w:val="18"/>
                <w:szCs w:val="18"/>
                <w:lang w:val="fr-FR" w:eastAsia="fr-FR"/>
              </w:rPr>
              <w:t>,</w:t>
            </w:r>
            <w:r w:rsidRPr="000C7171">
              <w:rPr>
                <w:rFonts w:cs="Arial"/>
                <w:b/>
                <w:bCs/>
                <w:sz w:val="18"/>
                <w:szCs w:val="18"/>
                <w:lang w:val="fr-FR" w:eastAsia="fr-FR"/>
              </w:rPr>
              <w:t xml:space="preserve">713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-99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678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Hungarian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301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44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16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16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16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-3</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9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106</w:t>
            </w:r>
            <w:r w:rsidR="004C67FC">
              <w:rPr>
                <w:rFonts w:cs="Arial"/>
                <w:b/>
                <w:bCs/>
                <w:sz w:val="18"/>
                <w:szCs w:val="18"/>
                <w:lang w:val="fr-FR" w:eastAsia="fr-FR"/>
              </w:rPr>
              <w:t>,</w:t>
            </w:r>
            <w:r w:rsidRPr="000C7171">
              <w:rPr>
                <w:rFonts w:cs="Arial"/>
                <w:b/>
                <w:bCs/>
                <w:sz w:val="18"/>
                <w:szCs w:val="18"/>
                <w:lang w:val="fr-FR" w:eastAsia="fr-FR"/>
              </w:rPr>
              <w:t xml:space="preserve">200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6</w:t>
            </w:r>
            <w:r w:rsidR="004C67FC">
              <w:rPr>
                <w:rFonts w:cs="Arial"/>
                <w:b/>
                <w:bCs/>
                <w:sz w:val="18"/>
                <w:szCs w:val="18"/>
                <w:lang w:val="fr-FR" w:eastAsia="fr-FR"/>
              </w:rPr>
              <w:t>,</w:t>
            </w:r>
            <w:r w:rsidRPr="000C7171">
              <w:rPr>
                <w:rFonts w:cs="Arial"/>
                <w:b/>
                <w:bCs/>
                <w:sz w:val="18"/>
                <w:szCs w:val="18"/>
                <w:lang w:val="fr-FR" w:eastAsia="fr-FR"/>
              </w:rPr>
              <w:t xml:space="preserve">638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-25</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817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Irish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440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10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59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59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4</w:t>
            </w:r>
            <w:r w:rsidR="004C67FC">
              <w:rPr>
                <w:rFonts w:cs="Arial"/>
                <w:sz w:val="18"/>
                <w:szCs w:val="18"/>
                <w:lang w:val="fr-FR" w:eastAsia="fr-FR"/>
              </w:rPr>
              <w:t>.</w:t>
            </w:r>
            <w:r w:rsidRPr="000C7171">
              <w:rPr>
                <w:rFonts w:cs="Arial"/>
                <w:sz w:val="18"/>
                <w:szCs w:val="18"/>
                <w:lang w:val="fr-FR" w:eastAsia="fr-FR"/>
              </w:rPr>
              <w:t xml:space="preserve">26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29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29</w:t>
            </w:r>
            <w:r w:rsidR="004C67FC">
              <w:rPr>
                <w:rFonts w:cs="Arial"/>
                <w:b/>
                <w:bCs/>
                <w:sz w:val="18"/>
                <w:szCs w:val="18"/>
                <w:lang w:val="fr-FR" w:eastAsia="fr-FR"/>
              </w:rPr>
              <w:t>.</w:t>
            </w:r>
            <w:r w:rsidRPr="000C7171">
              <w:rPr>
                <w:rFonts w:cs="Arial"/>
                <w:b/>
                <w:bCs/>
                <w:sz w:val="18"/>
                <w:szCs w:val="18"/>
                <w:lang w:val="fr-FR" w:eastAsia="fr-FR"/>
              </w:rPr>
              <w:t xml:space="preserve">9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860</w:t>
            </w:r>
            <w:r w:rsidR="004C67FC">
              <w:rPr>
                <w:rFonts w:cs="Arial"/>
                <w:b/>
                <w:bCs/>
                <w:sz w:val="18"/>
                <w:szCs w:val="18"/>
                <w:lang w:val="fr-FR" w:eastAsia="fr-FR"/>
              </w:rPr>
              <w:t>,</w:t>
            </w:r>
            <w:r w:rsidRPr="000C7171">
              <w:rPr>
                <w:rFonts w:cs="Arial"/>
                <w:b/>
                <w:bCs/>
                <w:sz w:val="18"/>
                <w:szCs w:val="18"/>
                <w:lang w:val="fr-FR" w:eastAsia="fr-FR"/>
              </w:rPr>
              <w:t xml:space="preserve">863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48</w:t>
            </w:r>
            <w:r w:rsidR="004C67FC">
              <w:rPr>
                <w:rFonts w:cs="Arial"/>
                <w:b/>
                <w:bCs/>
                <w:sz w:val="18"/>
                <w:szCs w:val="18"/>
                <w:lang w:val="fr-FR" w:eastAsia="fr-FR"/>
              </w:rPr>
              <w:t>,</w:t>
            </w:r>
            <w:r w:rsidRPr="000C7171">
              <w:rPr>
                <w:rFonts w:cs="Arial"/>
                <w:b/>
                <w:bCs/>
                <w:sz w:val="18"/>
                <w:szCs w:val="18"/>
                <w:lang w:val="fr-FR" w:eastAsia="fr-FR"/>
              </w:rPr>
              <w:t xml:space="preserve">489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451</w:t>
            </w:r>
            <w:r w:rsidR="004C67FC">
              <w:rPr>
                <w:rFonts w:cs="Arial"/>
                <w:b/>
                <w:bCs/>
                <w:sz w:val="18"/>
                <w:szCs w:val="18"/>
                <w:lang w:val="fr-FR" w:eastAsia="fr-FR"/>
              </w:rPr>
              <w:t>,</w:t>
            </w:r>
            <w:r w:rsidRPr="000C7171">
              <w:rPr>
                <w:rFonts w:cs="Arial"/>
                <w:b/>
                <w:bCs/>
                <w:sz w:val="18"/>
                <w:szCs w:val="18"/>
                <w:lang w:val="fr-FR" w:eastAsia="fr-FR"/>
              </w:rPr>
              <w:t xml:space="preserve">067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Italian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 xml:space="preserve">097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10</w:t>
            </w:r>
            <w:r w:rsidR="004C67FC">
              <w:rPr>
                <w:rFonts w:cs="Arial"/>
                <w:sz w:val="18"/>
                <w:szCs w:val="18"/>
                <w:lang w:val="fr-FR" w:eastAsia="fr-FR"/>
              </w:rPr>
              <w:t>.</w:t>
            </w:r>
            <w:r w:rsidRPr="000C7171">
              <w:rPr>
                <w:rFonts w:cs="Arial"/>
                <w:sz w:val="18"/>
                <w:szCs w:val="18"/>
                <w:lang w:val="fr-FR" w:eastAsia="fr-FR"/>
              </w:rPr>
              <w:t xml:space="preserve">00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87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88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6</w:t>
            </w:r>
            <w:r w:rsidR="004C67FC">
              <w:rPr>
                <w:rFonts w:cs="Arial"/>
                <w:sz w:val="18"/>
                <w:szCs w:val="18"/>
                <w:lang w:val="fr-FR" w:eastAsia="fr-FR"/>
              </w:rPr>
              <w:t>.</w:t>
            </w:r>
            <w:r w:rsidRPr="000C7171">
              <w:rPr>
                <w:rFonts w:cs="Arial"/>
                <w:sz w:val="18"/>
                <w:szCs w:val="18"/>
                <w:lang w:val="fr-FR" w:eastAsia="fr-FR"/>
              </w:rPr>
              <w:t xml:space="preserve">35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139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-50</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6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w:t>
            </w:r>
            <w:r w:rsidR="004C67FC">
              <w:rPr>
                <w:rFonts w:cs="Arial"/>
                <w:b/>
                <w:bCs/>
                <w:sz w:val="18"/>
                <w:szCs w:val="18"/>
                <w:lang w:val="fr-FR" w:eastAsia="fr-FR"/>
              </w:rPr>
              <w:t>,</w:t>
            </w:r>
            <w:r w:rsidRPr="000C7171">
              <w:rPr>
                <w:rFonts w:cs="Arial"/>
                <w:b/>
                <w:bCs/>
                <w:sz w:val="18"/>
                <w:szCs w:val="18"/>
                <w:lang w:val="fr-FR" w:eastAsia="fr-FR"/>
              </w:rPr>
              <w:t>482</w:t>
            </w:r>
            <w:r w:rsidR="004C67FC">
              <w:rPr>
                <w:rFonts w:cs="Arial"/>
                <w:b/>
                <w:bCs/>
                <w:sz w:val="18"/>
                <w:szCs w:val="18"/>
                <w:lang w:val="fr-FR" w:eastAsia="fr-FR"/>
              </w:rPr>
              <w:t>,</w:t>
            </w:r>
            <w:r w:rsidRPr="000C7171">
              <w:rPr>
                <w:rFonts w:cs="Arial"/>
                <w:b/>
                <w:bCs/>
                <w:sz w:val="18"/>
                <w:szCs w:val="18"/>
                <w:lang w:val="fr-FR" w:eastAsia="fr-FR"/>
              </w:rPr>
              <w:t xml:space="preserve">898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28</w:t>
            </w:r>
            <w:r w:rsidR="004C67FC">
              <w:rPr>
                <w:rFonts w:cs="Arial"/>
                <w:b/>
                <w:bCs/>
                <w:sz w:val="18"/>
                <w:szCs w:val="18"/>
                <w:lang w:val="fr-FR" w:eastAsia="fr-FR"/>
              </w:rPr>
              <w:t>,</w:t>
            </w:r>
            <w:r w:rsidRPr="000C7171">
              <w:rPr>
                <w:rFonts w:cs="Arial"/>
                <w:b/>
                <w:bCs/>
                <w:sz w:val="18"/>
                <w:szCs w:val="18"/>
                <w:lang w:val="fr-FR" w:eastAsia="fr-FR"/>
              </w:rPr>
              <w:t xml:space="preserve">215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w:t>
            </w:r>
            <w:r w:rsidR="004C67FC">
              <w:rPr>
                <w:rFonts w:cs="Arial"/>
                <w:b/>
                <w:bCs/>
                <w:color w:val="FF0000"/>
                <w:sz w:val="18"/>
                <w:szCs w:val="18"/>
                <w:lang w:val="fr-FR" w:eastAsia="fr-FR"/>
              </w:rPr>
              <w:t>,</w:t>
            </w:r>
            <w:r w:rsidRPr="000C7171">
              <w:rPr>
                <w:rFonts w:cs="Arial"/>
                <w:b/>
                <w:bCs/>
                <w:color w:val="FF0000"/>
                <w:sz w:val="18"/>
                <w:szCs w:val="18"/>
                <w:lang w:val="fr-FR" w:eastAsia="fr-FR"/>
              </w:rPr>
              <w:t>426</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709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Latvian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191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91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07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-11</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6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w:t>
            </w:r>
            <w:r w:rsidR="004C67FC">
              <w:rPr>
                <w:rFonts w:cs="Arial"/>
                <w:b/>
                <w:bCs/>
                <w:sz w:val="18"/>
                <w:szCs w:val="18"/>
                <w:lang w:val="fr-FR" w:eastAsia="fr-FR"/>
              </w:rPr>
              <w:t>,</w:t>
            </w:r>
            <w:r w:rsidRPr="000C7171">
              <w:rPr>
                <w:rFonts w:cs="Arial"/>
                <w:b/>
                <w:bCs/>
                <w:sz w:val="18"/>
                <w:szCs w:val="18"/>
                <w:lang w:val="fr-FR" w:eastAsia="fr-FR"/>
              </w:rPr>
              <w:t xml:space="preserve">893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w:t>
            </w:r>
            <w:r w:rsidR="004C67FC">
              <w:rPr>
                <w:rFonts w:cs="Arial"/>
                <w:b/>
                <w:bCs/>
                <w:sz w:val="18"/>
                <w:szCs w:val="18"/>
                <w:lang w:val="fr-FR" w:eastAsia="fr-FR"/>
              </w:rPr>
              <w:t>,</w:t>
            </w:r>
            <w:r w:rsidRPr="000C7171">
              <w:rPr>
                <w:rFonts w:cs="Arial"/>
                <w:b/>
                <w:bCs/>
                <w:sz w:val="18"/>
                <w:szCs w:val="18"/>
                <w:lang w:val="fr-FR" w:eastAsia="fr-FR"/>
              </w:rPr>
              <w:t xml:space="preserve">893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-45</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240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Lithuanian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306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46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58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20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-12</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2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41</w:t>
            </w:r>
            <w:r w:rsidR="004C67FC">
              <w:rPr>
                <w:rFonts w:cs="Arial"/>
                <w:b/>
                <w:bCs/>
                <w:sz w:val="18"/>
                <w:szCs w:val="18"/>
                <w:lang w:val="fr-FR" w:eastAsia="fr-FR"/>
              </w:rPr>
              <w:t>,</w:t>
            </w:r>
            <w:r w:rsidRPr="000C7171">
              <w:rPr>
                <w:rFonts w:cs="Arial"/>
                <w:b/>
                <w:bCs/>
                <w:sz w:val="18"/>
                <w:szCs w:val="18"/>
                <w:lang w:val="fr-FR" w:eastAsia="fr-FR"/>
              </w:rPr>
              <w:t xml:space="preserve">784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5</w:t>
            </w:r>
            <w:r w:rsidR="004C67FC">
              <w:rPr>
                <w:rFonts w:cs="Arial"/>
                <w:b/>
                <w:bCs/>
                <w:sz w:val="18"/>
                <w:szCs w:val="18"/>
                <w:lang w:val="fr-FR" w:eastAsia="fr-FR"/>
              </w:rPr>
              <w:t>,</w:t>
            </w:r>
            <w:r w:rsidRPr="000C7171">
              <w:rPr>
                <w:rFonts w:cs="Arial"/>
                <w:b/>
                <w:bCs/>
                <w:sz w:val="18"/>
                <w:szCs w:val="18"/>
                <w:lang w:val="fr-FR" w:eastAsia="fr-FR"/>
              </w:rPr>
              <w:t xml:space="preserve">223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-63</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825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Luxembourg</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222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06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18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37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15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w:t>
            </w:r>
            <w:r w:rsidR="004C67FC">
              <w:rPr>
                <w:rFonts w:cs="Arial"/>
                <w:b/>
                <w:bCs/>
                <w:sz w:val="18"/>
                <w:szCs w:val="18"/>
                <w:lang w:val="fr-FR" w:eastAsia="fr-FR"/>
              </w:rPr>
              <w:t>.</w:t>
            </w:r>
            <w:r w:rsidRPr="000C7171">
              <w:rPr>
                <w:rFonts w:cs="Arial"/>
                <w:b/>
                <w:bCs/>
                <w:sz w:val="18"/>
                <w:szCs w:val="18"/>
                <w:lang w:val="fr-FR" w:eastAsia="fr-FR"/>
              </w:rPr>
              <w:t xml:space="preserve">3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740</w:t>
            </w:r>
            <w:r w:rsidR="004C67FC">
              <w:rPr>
                <w:rFonts w:cs="Arial"/>
                <w:b/>
                <w:bCs/>
                <w:sz w:val="18"/>
                <w:szCs w:val="18"/>
                <w:lang w:val="fr-FR" w:eastAsia="fr-FR"/>
              </w:rPr>
              <w:t>,</w:t>
            </w:r>
            <w:r w:rsidRPr="000C7171">
              <w:rPr>
                <w:rFonts w:cs="Arial"/>
                <w:b/>
                <w:bCs/>
                <w:sz w:val="18"/>
                <w:szCs w:val="18"/>
                <w:lang w:val="fr-FR" w:eastAsia="fr-FR"/>
              </w:rPr>
              <w:t xml:space="preserve">942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91</w:t>
            </w:r>
            <w:r w:rsidR="004C67FC">
              <w:rPr>
                <w:rFonts w:cs="Arial"/>
                <w:b/>
                <w:bCs/>
                <w:sz w:val="18"/>
                <w:szCs w:val="18"/>
                <w:lang w:val="fr-FR" w:eastAsia="fr-FR"/>
              </w:rPr>
              <w:t>,</w:t>
            </w:r>
            <w:r w:rsidRPr="000C7171">
              <w:rPr>
                <w:rFonts w:cs="Arial"/>
                <w:b/>
                <w:bCs/>
                <w:sz w:val="18"/>
                <w:szCs w:val="18"/>
                <w:lang w:val="fr-FR" w:eastAsia="fr-FR"/>
              </w:rPr>
              <w:t xml:space="preserve">629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396</w:t>
            </w:r>
            <w:r w:rsidR="004C67FC">
              <w:rPr>
                <w:rFonts w:cs="Arial"/>
                <w:b/>
                <w:bCs/>
                <w:sz w:val="18"/>
                <w:szCs w:val="18"/>
                <w:lang w:val="fr-FR" w:eastAsia="fr-FR"/>
              </w:rPr>
              <w:t>,</w:t>
            </w:r>
            <w:r w:rsidRPr="000C7171">
              <w:rPr>
                <w:rFonts w:cs="Arial"/>
                <w:b/>
                <w:bCs/>
                <w:sz w:val="18"/>
                <w:szCs w:val="18"/>
                <w:lang w:val="fr-FR" w:eastAsia="fr-FR"/>
              </w:rPr>
              <w:t xml:space="preserve">809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Maltese</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72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34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29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-0</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8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61</w:t>
            </w:r>
            <w:r w:rsidR="004C67FC">
              <w:rPr>
                <w:rFonts w:cs="Arial"/>
                <w:b/>
                <w:bCs/>
                <w:sz w:val="18"/>
                <w:szCs w:val="18"/>
                <w:lang w:val="fr-FR" w:eastAsia="fr-FR"/>
              </w:rPr>
              <w:t>,</w:t>
            </w:r>
            <w:r w:rsidRPr="000C7171">
              <w:rPr>
                <w:rFonts w:cs="Arial"/>
                <w:b/>
                <w:bCs/>
                <w:sz w:val="18"/>
                <w:szCs w:val="18"/>
                <w:lang w:val="fr-FR" w:eastAsia="fr-FR"/>
              </w:rPr>
              <w:t xml:space="preserve">328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15</w:t>
            </w:r>
            <w:r w:rsidR="004C67FC">
              <w:rPr>
                <w:rFonts w:cs="Arial"/>
                <w:b/>
                <w:bCs/>
                <w:sz w:val="18"/>
                <w:szCs w:val="18"/>
                <w:lang w:val="fr-FR" w:eastAsia="fr-FR"/>
              </w:rPr>
              <w:t>,</w:t>
            </w:r>
            <w:r w:rsidRPr="000C7171">
              <w:rPr>
                <w:rFonts w:cs="Arial"/>
                <w:b/>
                <w:bCs/>
                <w:sz w:val="18"/>
                <w:szCs w:val="18"/>
                <w:lang w:val="fr-FR" w:eastAsia="fr-FR"/>
              </w:rPr>
              <w:t xml:space="preserve">332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-11</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616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Dutch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956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4</w:t>
            </w:r>
            <w:r w:rsidR="004C67FC">
              <w:rPr>
                <w:rFonts w:cs="Arial"/>
                <w:sz w:val="18"/>
                <w:szCs w:val="18"/>
                <w:lang w:val="fr-FR" w:eastAsia="fr-FR"/>
              </w:rPr>
              <w:t>.</w:t>
            </w:r>
            <w:r w:rsidRPr="000C7171">
              <w:rPr>
                <w:rFonts w:cs="Arial"/>
                <w:sz w:val="18"/>
                <w:szCs w:val="18"/>
                <w:lang w:val="fr-FR" w:eastAsia="fr-FR"/>
              </w:rPr>
              <w:t xml:space="preserve">56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75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76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5</w:t>
            </w:r>
            <w:r w:rsidR="004C67FC">
              <w:rPr>
                <w:rFonts w:cs="Arial"/>
                <w:sz w:val="18"/>
                <w:szCs w:val="18"/>
                <w:lang w:val="fr-FR" w:eastAsia="fr-FR"/>
              </w:rPr>
              <w:t>.</w:t>
            </w:r>
            <w:r w:rsidRPr="000C7171">
              <w:rPr>
                <w:rFonts w:cs="Arial"/>
                <w:sz w:val="18"/>
                <w:szCs w:val="18"/>
                <w:lang w:val="fr-FR" w:eastAsia="fr-FR"/>
              </w:rPr>
              <w:t xml:space="preserve">49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63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12</w:t>
            </w:r>
            <w:r w:rsidR="004C67FC">
              <w:rPr>
                <w:rFonts w:cs="Arial"/>
                <w:b/>
                <w:bCs/>
                <w:sz w:val="18"/>
                <w:szCs w:val="18"/>
                <w:lang w:val="fr-FR" w:eastAsia="fr-FR"/>
              </w:rPr>
              <w:t>.</w:t>
            </w:r>
            <w:r w:rsidRPr="000C7171">
              <w:rPr>
                <w:rFonts w:cs="Arial"/>
                <w:b/>
                <w:bCs/>
                <w:sz w:val="18"/>
                <w:szCs w:val="18"/>
                <w:lang w:val="fr-FR" w:eastAsia="fr-FR"/>
              </w:rPr>
              <w:t xml:space="preserve">8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w:t>
            </w:r>
            <w:r w:rsidR="004C67FC">
              <w:rPr>
                <w:rFonts w:cs="Arial"/>
                <w:b/>
                <w:bCs/>
                <w:sz w:val="18"/>
                <w:szCs w:val="18"/>
                <w:lang w:val="fr-FR" w:eastAsia="fr-FR"/>
              </w:rPr>
              <w:t>,</w:t>
            </w:r>
            <w:r w:rsidRPr="000C7171">
              <w:rPr>
                <w:rFonts w:cs="Arial"/>
                <w:b/>
                <w:bCs/>
                <w:sz w:val="18"/>
                <w:szCs w:val="18"/>
                <w:lang w:val="fr-FR" w:eastAsia="fr-FR"/>
              </w:rPr>
              <w:t>554</w:t>
            </w:r>
            <w:r w:rsidR="004C67FC">
              <w:rPr>
                <w:rFonts w:cs="Arial"/>
                <w:b/>
                <w:bCs/>
                <w:sz w:val="18"/>
                <w:szCs w:val="18"/>
                <w:lang w:val="fr-FR" w:eastAsia="fr-FR"/>
              </w:rPr>
              <w:t>,</w:t>
            </w:r>
            <w:r w:rsidRPr="000C7171">
              <w:rPr>
                <w:rFonts w:cs="Arial"/>
                <w:b/>
                <w:bCs/>
                <w:sz w:val="18"/>
                <w:szCs w:val="18"/>
                <w:lang w:val="fr-FR" w:eastAsia="fr-FR"/>
              </w:rPr>
              <w:t xml:space="preserve">790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46</w:t>
            </w:r>
            <w:r w:rsidR="004C67FC">
              <w:rPr>
                <w:rFonts w:cs="Arial"/>
                <w:b/>
                <w:bCs/>
                <w:sz w:val="18"/>
                <w:szCs w:val="18"/>
                <w:lang w:val="fr-FR" w:eastAsia="fr-FR"/>
              </w:rPr>
              <w:t>,</w:t>
            </w:r>
            <w:r w:rsidRPr="000C7171">
              <w:rPr>
                <w:rFonts w:cs="Arial"/>
                <w:b/>
                <w:bCs/>
                <w:sz w:val="18"/>
                <w:szCs w:val="18"/>
                <w:lang w:val="fr-FR" w:eastAsia="fr-FR"/>
              </w:rPr>
              <w:t xml:space="preserve">774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600</w:t>
            </w:r>
            <w:r w:rsidR="004C67FC">
              <w:rPr>
                <w:rFonts w:cs="Arial"/>
                <w:b/>
                <w:bCs/>
                <w:sz w:val="18"/>
                <w:szCs w:val="18"/>
                <w:lang w:val="fr-FR" w:eastAsia="fr-FR"/>
              </w:rPr>
              <w:t>,</w:t>
            </w:r>
            <w:r w:rsidRPr="000C7171">
              <w:rPr>
                <w:rFonts w:cs="Arial"/>
                <w:b/>
                <w:bCs/>
                <w:sz w:val="18"/>
                <w:szCs w:val="18"/>
                <w:lang w:val="fr-FR" w:eastAsia="fr-FR"/>
              </w:rPr>
              <w:t xml:space="preserve">067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Polish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413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97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24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24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73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27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-3</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3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223</w:t>
            </w:r>
            <w:r w:rsidR="004C67FC">
              <w:rPr>
                <w:rFonts w:cs="Arial"/>
                <w:b/>
                <w:bCs/>
                <w:sz w:val="18"/>
                <w:szCs w:val="18"/>
                <w:lang w:val="fr-FR" w:eastAsia="fr-FR"/>
              </w:rPr>
              <w:t>,</w:t>
            </w:r>
            <w:r w:rsidRPr="000C7171">
              <w:rPr>
                <w:rFonts w:cs="Arial"/>
                <w:b/>
                <w:bCs/>
                <w:sz w:val="18"/>
                <w:szCs w:val="18"/>
                <w:lang w:val="fr-FR" w:eastAsia="fr-FR"/>
              </w:rPr>
              <w:t xml:space="preserve">191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9</w:t>
            </w:r>
            <w:r w:rsidR="004C67FC">
              <w:rPr>
                <w:rFonts w:cs="Arial"/>
                <w:b/>
                <w:bCs/>
                <w:sz w:val="18"/>
                <w:szCs w:val="18"/>
                <w:lang w:val="fr-FR" w:eastAsia="fr-FR"/>
              </w:rPr>
              <w:t>,</w:t>
            </w:r>
            <w:r w:rsidRPr="000C7171">
              <w:rPr>
                <w:rFonts w:cs="Arial"/>
                <w:b/>
                <w:bCs/>
                <w:sz w:val="18"/>
                <w:szCs w:val="18"/>
                <w:lang w:val="fr-FR" w:eastAsia="fr-FR"/>
              </w:rPr>
              <w:t xml:space="preserve">300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-30</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599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Portuguese</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564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69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31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31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24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37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-6</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3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762</w:t>
            </w:r>
            <w:r w:rsidR="004C67FC">
              <w:rPr>
                <w:rFonts w:cs="Arial"/>
                <w:b/>
                <w:bCs/>
                <w:sz w:val="18"/>
                <w:szCs w:val="18"/>
                <w:lang w:val="fr-FR" w:eastAsia="fr-FR"/>
              </w:rPr>
              <w:t>,</w:t>
            </w:r>
            <w:r w:rsidRPr="000C7171">
              <w:rPr>
                <w:rFonts w:cs="Arial"/>
                <w:b/>
                <w:bCs/>
                <w:sz w:val="18"/>
                <w:szCs w:val="18"/>
                <w:lang w:val="fr-FR" w:eastAsia="fr-FR"/>
              </w:rPr>
              <w:t xml:space="preserve">778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24</w:t>
            </w:r>
            <w:r w:rsidR="004C67FC">
              <w:rPr>
                <w:rFonts w:cs="Arial"/>
                <w:b/>
                <w:bCs/>
                <w:sz w:val="18"/>
                <w:szCs w:val="18"/>
                <w:lang w:val="fr-FR" w:eastAsia="fr-FR"/>
              </w:rPr>
              <w:t>,</w:t>
            </w:r>
            <w:r w:rsidRPr="000C7171">
              <w:rPr>
                <w:rFonts w:cs="Arial"/>
                <w:b/>
                <w:bCs/>
                <w:sz w:val="18"/>
                <w:szCs w:val="18"/>
                <w:lang w:val="fr-FR" w:eastAsia="fr-FR"/>
              </w:rPr>
              <w:t xml:space="preserve">606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-154</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232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Romanian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237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13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00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16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-15</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7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Slovak</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197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94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29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-9</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0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31</w:t>
            </w:r>
            <w:r w:rsidR="004C67FC">
              <w:rPr>
                <w:rFonts w:cs="Arial"/>
                <w:b/>
                <w:bCs/>
                <w:sz w:val="18"/>
                <w:szCs w:val="18"/>
                <w:lang w:val="fr-FR" w:eastAsia="fr-FR"/>
              </w:rPr>
              <w:t>,</w:t>
            </w:r>
            <w:r w:rsidRPr="000C7171">
              <w:rPr>
                <w:rFonts w:cs="Arial"/>
                <w:b/>
                <w:bCs/>
                <w:sz w:val="18"/>
                <w:szCs w:val="18"/>
                <w:lang w:val="fr-FR" w:eastAsia="fr-FR"/>
              </w:rPr>
              <w:t xml:space="preserve">649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7</w:t>
            </w:r>
            <w:r w:rsidR="004C67FC">
              <w:rPr>
                <w:rFonts w:cs="Arial"/>
                <w:b/>
                <w:bCs/>
                <w:sz w:val="18"/>
                <w:szCs w:val="18"/>
                <w:lang w:val="fr-FR" w:eastAsia="fr-FR"/>
              </w:rPr>
              <w:t>,</w:t>
            </w:r>
            <w:r w:rsidRPr="000C7171">
              <w:rPr>
                <w:rFonts w:cs="Arial"/>
                <w:b/>
                <w:bCs/>
                <w:sz w:val="18"/>
                <w:szCs w:val="18"/>
                <w:lang w:val="fr-FR" w:eastAsia="fr-FR"/>
              </w:rPr>
              <w:t xml:space="preserve">912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-71</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348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Slovenian</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117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56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0</w:t>
            </w:r>
            <w:r w:rsidR="004C67FC">
              <w:rPr>
                <w:rFonts w:cs="Arial"/>
                <w:sz w:val="18"/>
                <w:szCs w:val="18"/>
                <w:lang w:val="fr-FR" w:eastAsia="fr-FR"/>
              </w:rPr>
              <w:t>.</w:t>
            </w:r>
            <w:r w:rsidRPr="000C7171">
              <w:rPr>
                <w:rFonts w:cs="Arial"/>
                <w:sz w:val="18"/>
                <w:szCs w:val="18"/>
                <w:lang w:val="fr-FR" w:eastAsia="fr-FR"/>
              </w:rPr>
              <w:t xml:space="preserve">22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-4</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7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64</w:t>
            </w:r>
            <w:r w:rsidR="004C67FC">
              <w:rPr>
                <w:rFonts w:cs="Arial"/>
                <w:b/>
                <w:bCs/>
                <w:sz w:val="18"/>
                <w:szCs w:val="18"/>
                <w:lang w:val="fr-FR" w:eastAsia="fr-FR"/>
              </w:rPr>
              <w:t>,</w:t>
            </w:r>
            <w:r w:rsidRPr="000C7171">
              <w:rPr>
                <w:rFonts w:cs="Arial"/>
                <w:b/>
                <w:bCs/>
                <w:sz w:val="18"/>
                <w:szCs w:val="18"/>
                <w:lang w:val="fr-FR" w:eastAsia="fr-FR"/>
              </w:rPr>
              <w:t xml:space="preserve">983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21</w:t>
            </w:r>
            <w:r w:rsidR="004C67FC">
              <w:rPr>
                <w:rFonts w:cs="Arial"/>
                <w:b/>
                <w:bCs/>
                <w:sz w:val="18"/>
                <w:szCs w:val="18"/>
                <w:lang w:val="fr-FR" w:eastAsia="fr-FR"/>
              </w:rPr>
              <w:t>,</w:t>
            </w:r>
            <w:r w:rsidRPr="000C7171">
              <w:rPr>
                <w:rFonts w:cs="Arial"/>
                <w:b/>
                <w:bCs/>
                <w:sz w:val="18"/>
                <w:szCs w:val="18"/>
                <w:lang w:val="fr-FR" w:eastAsia="fr-FR"/>
              </w:rPr>
              <w:t xml:space="preserve">661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-102</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482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Swedish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556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65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40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40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2</w:t>
            </w:r>
            <w:r w:rsidR="004C67FC">
              <w:rPr>
                <w:rFonts w:cs="Arial"/>
                <w:sz w:val="18"/>
                <w:szCs w:val="18"/>
                <w:lang w:val="fr-FR" w:eastAsia="fr-FR"/>
              </w:rPr>
              <w:t>.</w:t>
            </w:r>
            <w:r w:rsidRPr="000C7171">
              <w:rPr>
                <w:rFonts w:cs="Arial"/>
                <w:sz w:val="18"/>
                <w:szCs w:val="18"/>
                <w:lang w:val="fr-FR" w:eastAsia="fr-FR"/>
              </w:rPr>
              <w:t xml:space="preserve">89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37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w:t>
            </w:r>
            <w:r w:rsidR="004C67FC">
              <w:rPr>
                <w:rFonts w:cs="Arial"/>
                <w:b/>
                <w:bCs/>
                <w:sz w:val="18"/>
                <w:szCs w:val="18"/>
                <w:lang w:val="fr-FR" w:eastAsia="fr-FR"/>
              </w:rPr>
              <w:t>.</w:t>
            </w:r>
            <w:r w:rsidRPr="000C7171">
              <w:rPr>
                <w:rFonts w:cs="Arial"/>
                <w:b/>
                <w:bCs/>
                <w:sz w:val="18"/>
                <w:szCs w:val="18"/>
                <w:lang w:val="fr-FR" w:eastAsia="fr-FR"/>
              </w:rPr>
              <w:t xml:space="preserve">3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w:t>
            </w:r>
            <w:r w:rsidR="004C67FC">
              <w:rPr>
                <w:rFonts w:cs="Arial"/>
                <w:b/>
                <w:bCs/>
                <w:sz w:val="18"/>
                <w:szCs w:val="18"/>
                <w:lang w:val="fr-FR" w:eastAsia="fr-FR"/>
              </w:rPr>
              <w:t>,</w:t>
            </w:r>
            <w:r w:rsidRPr="000C7171">
              <w:rPr>
                <w:rFonts w:cs="Arial"/>
                <w:b/>
                <w:bCs/>
                <w:sz w:val="18"/>
                <w:szCs w:val="18"/>
                <w:lang w:val="fr-FR" w:eastAsia="fr-FR"/>
              </w:rPr>
              <w:t>712</w:t>
            </w:r>
            <w:r w:rsidR="004C67FC">
              <w:rPr>
                <w:rFonts w:cs="Arial"/>
                <w:b/>
                <w:bCs/>
                <w:sz w:val="18"/>
                <w:szCs w:val="18"/>
                <w:lang w:val="fr-FR" w:eastAsia="fr-FR"/>
              </w:rPr>
              <w:t>,</w:t>
            </w:r>
            <w:r w:rsidRPr="000C7171">
              <w:rPr>
                <w:rFonts w:cs="Arial"/>
                <w:b/>
                <w:bCs/>
                <w:sz w:val="18"/>
                <w:szCs w:val="18"/>
                <w:lang w:val="fr-FR" w:eastAsia="fr-FR"/>
              </w:rPr>
              <w:t xml:space="preserve">153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42</w:t>
            </w:r>
            <w:r w:rsidR="004C67FC">
              <w:rPr>
                <w:rFonts w:cs="Arial"/>
                <w:b/>
                <w:bCs/>
                <w:sz w:val="18"/>
                <w:szCs w:val="18"/>
                <w:lang w:val="fr-FR" w:eastAsia="fr-FR"/>
              </w:rPr>
              <w:t>,</w:t>
            </w:r>
            <w:r w:rsidRPr="000C7171">
              <w:rPr>
                <w:rFonts w:cs="Arial"/>
                <w:b/>
                <w:bCs/>
                <w:sz w:val="18"/>
                <w:szCs w:val="18"/>
                <w:lang w:val="fr-FR" w:eastAsia="fr-FR"/>
              </w:rPr>
              <w:t xml:space="preserve">804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139</w:t>
            </w:r>
            <w:r w:rsidR="004C67FC">
              <w:rPr>
                <w:rFonts w:cs="Arial"/>
                <w:b/>
                <w:bCs/>
                <w:sz w:val="18"/>
                <w:szCs w:val="18"/>
                <w:lang w:val="fr-FR" w:eastAsia="fr-FR"/>
              </w:rPr>
              <w:t>,</w:t>
            </w:r>
            <w:r w:rsidRPr="000C7171">
              <w:rPr>
                <w:rFonts w:cs="Arial"/>
                <w:b/>
                <w:bCs/>
                <w:sz w:val="18"/>
                <w:szCs w:val="18"/>
                <w:lang w:val="fr-FR" w:eastAsia="fr-FR"/>
              </w:rPr>
              <w:t xml:space="preserve">562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Czech</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247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18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15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15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sz w:val="18"/>
                <w:szCs w:val="18"/>
                <w:lang w:val="fr-FR" w:eastAsia="fr-FR"/>
              </w:rPr>
            </w:pPr>
            <w:r w:rsidRPr="000C7171">
              <w:rPr>
                <w:rFonts w:cs="Arial"/>
                <w:sz w:val="18"/>
                <w:szCs w:val="18"/>
                <w:lang w:val="fr-FR" w:eastAsia="fr-FR"/>
              </w:rPr>
              <w:t>1</w:t>
            </w:r>
            <w:r w:rsidR="004C67FC">
              <w:rPr>
                <w:rFonts w:cs="Arial"/>
                <w:sz w:val="18"/>
                <w:szCs w:val="18"/>
                <w:lang w:val="fr-FR" w:eastAsia="fr-FR"/>
              </w:rPr>
              <w:t>.</w:t>
            </w:r>
            <w:r w:rsidRPr="000C7171">
              <w:rPr>
                <w:rFonts w:cs="Arial"/>
                <w:sz w:val="18"/>
                <w:szCs w:val="18"/>
                <w:lang w:val="fr-FR" w:eastAsia="fr-FR"/>
              </w:rPr>
              <w:t xml:space="preserve">08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16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3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197</w:t>
            </w:r>
            <w:r w:rsidR="004C67FC">
              <w:rPr>
                <w:rFonts w:cs="Arial"/>
                <w:b/>
                <w:bCs/>
                <w:sz w:val="18"/>
                <w:szCs w:val="18"/>
                <w:lang w:val="fr-FR" w:eastAsia="fr-FR"/>
              </w:rPr>
              <w:t>,</w:t>
            </w:r>
            <w:r w:rsidRPr="000C7171">
              <w:rPr>
                <w:rFonts w:cs="Arial"/>
                <w:b/>
                <w:bCs/>
                <w:sz w:val="18"/>
                <w:szCs w:val="18"/>
                <w:lang w:val="fr-FR" w:eastAsia="fr-FR"/>
              </w:rPr>
              <w:t xml:space="preserve">021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13</w:t>
            </w:r>
            <w:r w:rsidR="004C67FC">
              <w:rPr>
                <w:rFonts w:cs="Arial"/>
                <w:b/>
                <w:bCs/>
                <w:sz w:val="18"/>
                <w:szCs w:val="18"/>
                <w:lang w:val="fr-FR" w:eastAsia="fr-FR"/>
              </w:rPr>
              <w:t>,</w:t>
            </w:r>
            <w:r w:rsidRPr="000C7171">
              <w:rPr>
                <w:rFonts w:cs="Arial"/>
                <w:b/>
                <w:bCs/>
                <w:sz w:val="18"/>
                <w:szCs w:val="18"/>
                <w:lang w:val="fr-FR" w:eastAsia="fr-FR"/>
              </w:rPr>
              <w:t xml:space="preserve">135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-17</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355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r>
      <w:tr w:rsidR="008F33C1" w:rsidRPr="000C7171" w:rsidTr="00625976">
        <w:trPr>
          <w:gridAfter w:val="3"/>
          <w:wAfter w:w="3348" w:type="dxa"/>
          <w:trHeight w:val="227"/>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TOTAL</w:t>
            </w:r>
          </w:p>
        </w:tc>
        <w:tc>
          <w:tcPr>
            <w:tcW w:w="821"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20</w:t>
            </w:r>
            <w:r w:rsidR="004C67FC">
              <w:rPr>
                <w:rFonts w:cs="Arial"/>
                <w:b/>
                <w:bCs/>
                <w:sz w:val="18"/>
                <w:szCs w:val="18"/>
                <w:lang w:val="fr-FR" w:eastAsia="fr-FR"/>
              </w:rPr>
              <w:t>,</w:t>
            </w:r>
            <w:r w:rsidRPr="000C7171">
              <w:rPr>
                <w:rFonts w:cs="Arial"/>
                <w:b/>
                <w:bCs/>
                <w:sz w:val="18"/>
                <w:szCs w:val="18"/>
                <w:lang w:val="fr-FR" w:eastAsia="fr-FR"/>
              </w:rPr>
              <w:t xml:space="preserve">960 </w:t>
            </w:r>
          </w:p>
        </w:tc>
        <w:tc>
          <w:tcPr>
            <w:tcW w:w="1247" w:type="dxa"/>
            <w:gridSpan w:val="3"/>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100</w:t>
            </w:r>
            <w:r w:rsidR="004C67FC">
              <w:rPr>
                <w:rFonts w:cs="Arial"/>
                <w:b/>
                <w:bCs/>
                <w:sz w:val="18"/>
                <w:szCs w:val="18"/>
                <w:lang w:val="fr-FR" w:eastAsia="fr-FR"/>
              </w:rPr>
              <w:t>.</w:t>
            </w:r>
            <w:r w:rsidRPr="000C7171">
              <w:rPr>
                <w:rFonts w:cs="Arial"/>
                <w:b/>
                <w:bCs/>
                <w:sz w:val="18"/>
                <w:szCs w:val="18"/>
                <w:lang w:val="fr-FR" w:eastAsia="fr-FR"/>
              </w:rPr>
              <w:t xml:space="preserve">00 </w:t>
            </w:r>
          </w:p>
        </w:tc>
        <w:tc>
          <w:tcPr>
            <w:tcW w:w="1417"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1.367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10 </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8 </w:t>
            </w:r>
          </w:p>
        </w:tc>
        <w:tc>
          <w:tcPr>
            <w:tcW w:w="1020" w:type="dxa"/>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1.385 </w:t>
            </w:r>
          </w:p>
        </w:tc>
        <w:tc>
          <w:tcPr>
            <w:tcW w:w="737"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100</w:t>
            </w:r>
            <w:r w:rsidR="004C67FC">
              <w:rPr>
                <w:rFonts w:cs="Arial"/>
                <w:b/>
                <w:bCs/>
                <w:sz w:val="18"/>
                <w:szCs w:val="18"/>
                <w:lang w:val="fr-FR" w:eastAsia="fr-FR"/>
              </w:rPr>
              <w:t>.</w:t>
            </w:r>
            <w:r w:rsidRPr="000C7171">
              <w:rPr>
                <w:rFonts w:cs="Arial"/>
                <w:b/>
                <w:bCs/>
                <w:sz w:val="18"/>
                <w:szCs w:val="18"/>
                <w:lang w:val="fr-FR" w:eastAsia="fr-FR"/>
              </w:rPr>
              <w:t xml:space="preserve">00 </w:t>
            </w:r>
          </w:p>
        </w:tc>
        <w:tc>
          <w:tcPr>
            <w:tcW w:w="11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1.385 </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 xml:space="preserve">0 </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54</w:t>
            </w:r>
            <w:r w:rsidR="004C67FC">
              <w:rPr>
                <w:rFonts w:cs="Arial"/>
                <w:b/>
                <w:bCs/>
                <w:sz w:val="18"/>
                <w:szCs w:val="18"/>
                <w:lang w:val="fr-FR" w:eastAsia="fr-FR"/>
              </w:rPr>
              <w:t>,</w:t>
            </w:r>
            <w:r w:rsidRPr="000C7171">
              <w:rPr>
                <w:rFonts w:cs="Arial"/>
                <w:b/>
                <w:bCs/>
                <w:sz w:val="18"/>
                <w:szCs w:val="18"/>
                <w:lang w:val="fr-FR" w:eastAsia="fr-FR"/>
              </w:rPr>
              <w:t>189</w:t>
            </w:r>
            <w:r w:rsidR="004C67FC">
              <w:rPr>
                <w:rFonts w:cs="Arial"/>
                <w:b/>
                <w:bCs/>
                <w:sz w:val="18"/>
                <w:szCs w:val="18"/>
                <w:lang w:val="fr-FR" w:eastAsia="fr-FR"/>
              </w:rPr>
              <w:t>,</w:t>
            </w:r>
            <w:r w:rsidRPr="000C7171">
              <w:rPr>
                <w:rFonts w:cs="Arial"/>
                <w:b/>
                <w:bCs/>
                <w:sz w:val="18"/>
                <w:szCs w:val="18"/>
                <w:lang w:val="fr-FR" w:eastAsia="fr-FR"/>
              </w:rPr>
              <w:t xml:space="preserve">170 </w:t>
            </w:r>
          </w:p>
        </w:tc>
        <w:tc>
          <w:tcPr>
            <w:tcW w:w="98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39</w:t>
            </w:r>
            <w:r w:rsidR="004C67FC">
              <w:rPr>
                <w:rFonts w:cs="Arial"/>
                <w:b/>
                <w:bCs/>
                <w:sz w:val="18"/>
                <w:szCs w:val="18"/>
                <w:lang w:val="fr-FR" w:eastAsia="fr-FR"/>
              </w:rPr>
              <w:t>,</w:t>
            </w:r>
            <w:r w:rsidRPr="000C7171">
              <w:rPr>
                <w:rFonts w:cs="Arial"/>
                <w:b/>
                <w:bCs/>
                <w:sz w:val="18"/>
                <w:szCs w:val="18"/>
                <w:lang w:val="fr-FR" w:eastAsia="fr-FR"/>
              </w:rPr>
              <w:t xml:space="preserve">126 </w:t>
            </w:r>
          </w:p>
        </w:tc>
        <w:tc>
          <w:tcPr>
            <w:tcW w:w="1121"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color w:val="FF0000"/>
                <w:sz w:val="18"/>
                <w:szCs w:val="18"/>
                <w:lang w:val="fr-FR" w:eastAsia="fr-FR"/>
              </w:rPr>
              <w:t>-4</w:t>
            </w:r>
            <w:r w:rsidR="004C67FC">
              <w:rPr>
                <w:rFonts w:cs="Arial"/>
                <w:b/>
                <w:bCs/>
                <w:color w:val="FF0000"/>
                <w:sz w:val="18"/>
                <w:szCs w:val="18"/>
                <w:lang w:val="fr-FR" w:eastAsia="fr-FR"/>
              </w:rPr>
              <w:t>,</w:t>
            </w:r>
            <w:r w:rsidRPr="000C7171">
              <w:rPr>
                <w:rFonts w:cs="Arial"/>
                <w:b/>
                <w:bCs/>
                <w:color w:val="FF0000"/>
                <w:sz w:val="18"/>
                <w:szCs w:val="18"/>
                <w:lang w:val="fr-FR" w:eastAsia="fr-FR"/>
              </w:rPr>
              <w:t>193</w:t>
            </w:r>
            <w:r w:rsidR="004C67FC">
              <w:rPr>
                <w:rFonts w:cs="Arial"/>
                <w:b/>
                <w:bCs/>
                <w:color w:val="FF0000"/>
                <w:sz w:val="18"/>
                <w:szCs w:val="18"/>
                <w:lang w:val="fr-FR" w:eastAsia="fr-FR"/>
              </w:rPr>
              <w:t>,</w:t>
            </w:r>
            <w:r w:rsidRPr="000C7171">
              <w:rPr>
                <w:rFonts w:cs="Arial"/>
                <w:b/>
                <w:bCs/>
                <w:color w:val="FF0000"/>
                <w:sz w:val="18"/>
                <w:szCs w:val="18"/>
                <w:lang w:val="fr-FR" w:eastAsia="fr-FR"/>
              </w:rPr>
              <w:t xml:space="preserve">723 </w:t>
            </w:r>
          </w:p>
        </w:tc>
        <w:tc>
          <w:tcPr>
            <w:tcW w:w="1256" w:type="dxa"/>
            <w:gridSpan w:val="2"/>
            <w:tcBorders>
              <w:top w:val="nil"/>
              <w:left w:val="nil"/>
              <w:bottom w:val="single" w:sz="4" w:space="0" w:color="auto"/>
              <w:right w:val="single" w:sz="4" w:space="0" w:color="auto"/>
            </w:tcBorders>
            <w:shd w:val="clear" w:color="auto" w:fill="auto"/>
            <w:noWrap/>
            <w:vAlign w:val="center"/>
            <w:hideMark/>
          </w:tcPr>
          <w:p w:rsidR="008328BE" w:rsidRPr="000C7171" w:rsidRDefault="008328BE" w:rsidP="008328BE">
            <w:pPr>
              <w:spacing w:before="0" w:after="0"/>
              <w:jc w:val="center"/>
              <w:rPr>
                <w:rFonts w:cs="Arial"/>
                <w:b/>
                <w:bCs/>
                <w:sz w:val="18"/>
                <w:szCs w:val="18"/>
                <w:lang w:val="fr-FR" w:eastAsia="fr-FR"/>
              </w:rPr>
            </w:pPr>
            <w:r w:rsidRPr="000C7171">
              <w:rPr>
                <w:rFonts w:cs="Arial"/>
                <w:b/>
                <w:bCs/>
                <w:sz w:val="18"/>
                <w:szCs w:val="18"/>
                <w:lang w:val="fr-FR" w:eastAsia="fr-FR"/>
              </w:rPr>
              <w:t>9</w:t>
            </w:r>
            <w:r w:rsidR="004C67FC">
              <w:rPr>
                <w:rFonts w:cs="Arial"/>
                <w:b/>
                <w:bCs/>
                <w:sz w:val="18"/>
                <w:szCs w:val="18"/>
                <w:lang w:val="fr-FR" w:eastAsia="fr-FR"/>
              </w:rPr>
              <w:t>,</w:t>
            </w:r>
            <w:r w:rsidRPr="000C7171">
              <w:rPr>
                <w:rFonts w:cs="Arial"/>
                <w:b/>
                <w:bCs/>
                <w:sz w:val="18"/>
                <w:szCs w:val="18"/>
                <w:lang w:val="fr-FR" w:eastAsia="fr-FR"/>
              </w:rPr>
              <w:t>099</w:t>
            </w:r>
            <w:r w:rsidR="004C67FC">
              <w:rPr>
                <w:rFonts w:cs="Arial"/>
                <w:b/>
                <w:bCs/>
                <w:sz w:val="18"/>
                <w:szCs w:val="18"/>
                <w:lang w:val="fr-FR" w:eastAsia="fr-FR"/>
              </w:rPr>
              <w:t>,</w:t>
            </w:r>
            <w:r w:rsidRPr="000C7171">
              <w:rPr>
                <w:rFonts w:cs="Arial"/>
                <w:b/>
                <w:bCs/>
                <w:sz w:val="18"/>
                <w:szCs w:val="18"/>
                <w:lang w:val="fr-FR" w:eastAsia="fr-FR"/>
              </w:rPr>
              <w:t xml:space="preserve">833 </w:t>
            </w:r>
          </w:p>
        </w:tc>
      </w:tr>
      <w:tr w:rsidR="008328BE" w:rsidRPr="008328BE" w:rsidTr="00625976">
        <w:trPr>
          <w:trHeight w:val="315"/>
        </w:trPr>
        <w:tc>
          <w:tcPr>
            <w:tcW w:w="2075" w:type="dxa"/>
            <w:gridSpan w:val="3"/>
            <w:tcBorders>
              <w:top w:val="nil"/>
              <w:left w:val="nil"/>
              <w:bottom w:val="nil"/>
              <w:right w:val="nil"/>
            </w:tcBorders>
            <w:shd w:val="clear" w:color="auto" w:fill="auto"/>
            <w:noWrap/>
            <w:vAlign w:val="center"/>
            <w:hideMark/>
          </w:tcPr>
          <w:p w:rsidR="008328BE" w:rsidRPr="008328BE" w:rsidRDefault="008328BE" w:rsidP="008328BE">
            <w:pPr>
              <w:spacing w:before="0" w:after="0"/>
              <w:jc w:val="left"/>
              <w:rPr>
                <w:rFonts w:cs="Arial"/>
                <w:b/>
                <w:bCs/>
                <w:sz w:val="20"/>
                <w:u w:val="single"/>
                <w:lang w:val="fr-FR" w:eastAsia="fr-FR"/>
              </w:rPr>
            </w:pPr>
            <w:r w:rsidRPr="008328BE">
              <w:rPr>
                <w:rFonts w:cs="Arial"/>
                <w:b/>
                <w:bCs/>
                <w:sz w:val="20"/>
                <w:u w:val="single"/>
                <w:lang w:val="fr-FR" w:eastAsia="fr-FR"/>
              </w:rPr>
              <w:t>Note</w:t>
            </w:r>
            <w:r w:rsidRPr="008328BE">
              <w:rPr>
                <w:rFonts w:cs="Arial"/>
                <w:b/>
                <w:bCs/>
                <w:sz w:val="20"/>
                <w:lang w:val="fr-FR" w:eastAsia="fr-FR"/>
              </w:rPr>
              <w:t xml:space="preserve">: </w:t>
            </w:r>
          </w:p>
        </w:tc>
        <w:tc>
          <w:tcPr>
            <w:tcW w:w="1127" w:type="dxa"/>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 w:val="20"/>
                <w:lang w:val="fr-FR" w:eastAsia="fr-FR"/>
              </w:rPr>
            </w:pPr>
          </w:p>
        </w:tc>
        <w:tc>
          <w:tcPr>
            <w:tcW w:w="1536" w:type="dxa"/>
            <w:gridSpan w:val="3"/>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 w:val="20"/>
                <w:lang w:val="fr-FR" w:eastAsia="fr-FR"/>
              </w:rPr>
            </w:pPr>
          </w:p>
        </w:tc>
        <w:tc>
          <w:tcPr>
            <w:tcW w:w="1833" w:type="dxa"/>
            <w:gridSpan w:val="2"/>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b/>
                <w:bCs/>
                <w:sz w:val="20"/>
                <w:lang w:val="fr-FR" w:eastAsia="fr-FR"/>
              </w:rPr>
            </w:pPr>
          </w:p>
        </w:tc>
        <w:tc>
          <w:tcPr>
            <w:tcW w:w="1234" w:type="dxa"/>
            <w:gridSpan w:val="3"/>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 w:val="20"/>
                <w:lang w:val="fr-FR" w:eastAsia="fr-FR"/>
              </w:rPr>
            </w:pPr>
          </w:p>
        </w:tc>
        <w:tc>
          <w:tcPr>
            <w:tcW w:w="1258" w:type="dxa"/>
            <w:gridSpan w:val="2"/>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 w:val="20"/>
                <w:lang w:val="fr-FR" w:eastAsia="fr-FR"/>
              </w:rPr>
            </w:pPr>
          </w:p>
        </w:tc>
        <w:tc>
          <w:tcPr>
            <w:tcW w:w="1238" w:type="dxa"/>
            <w:gridSpan w:val="2"/>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 w:val="20"/>
                <w:lang w:val="fr-FR" w:eastAsia="fr-FR"/>
              </w:rPr>
            </w:pPr>
          </w:p>
        </w:tc>
        <w:tc>
          <w:tcPr>
            <w:tcW w:w="833" w:type="dxa"/>
            <w:gridSpan w:val="2"/>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Cs w:val="22"/>
                <w:lang w:val="fr-FR" w:eastAsia="fr-FR"/>
              </w:rPr>
            </w:pPr>
          </w:p>
        </w:tc>
        <w:tc>
          <w:tcPr>
            <w:tcW w:w="1528" w:type="dxa"/>
            <w:gridSpan w:val="2"/>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b/>
                <w:bCs/>
                <w:sz w:val="24"/>
                <w:szCs w:val="24"/>
                <w:lang w:val="fr-FR" w:eastAsia="fr-FR"/>
              </w:rPr>
            </w:pPr>
          </w:p>
        </w:tc>
        <w:tc>
          <w:tcPr>
            <w:tcW w:w="1170" w:type="dxa"/>
            <w:gridSpan w:val="2"/>
            <w:tcBorders>
              <w:top w:val="nil"/>
              <w:left w:val="nil"/>
              <w:bottom w:val="nil"/>
              <w:right w:val="nil"/>
            </w:tcBorders>
            <w:shd w:val="clear" w:color="auto" w:fill="auto"/>
            <w:noWrap/>
            <w:vAlign w:val="center"/>
            <w:hideMark/>
          </w:tcPr>
          <w:p w:rsidR="008328BE" w:rsidRPr="008F33C1" w:rsidRDefault="008328BE" w:rsidP="008328BE">
            <w:pPr>
              <w:spacing w:before="0" w:after="0"/>
              <w:jc w:val="center"/>
              <w:rPr>
                <w:rFonts w:cs="Arial"/>
                <w:sz w:val="18"/>
                <w:szCs w:val="18"/>
                <w:lang w:val="fr-FR" w:eastAsia="fr-FR"/>
              </w:rPr>
            </w:pPr>
          </w:p>
        </w:tc>
        <w:tc>
          <w:tcPr>
            <w:tcW w:w="1590" w:type="dxa"/>
            <w:gridSpan w:val="2"/>
            <w:tcBorders>
              <w:top w:val="nil"/>
              <w:left w:val="nil"/>
              <w:bottom w:val="nil"/>
              <w:right w:val="nil"/>
            </w:tcBorders>
            <w:shd w:val="clear" w:color="auto" w:fill="auto"/>
            <w:noWrap/>
            <w:vAlign w:val="center"/>
            <w:hideMark/>
          </w:tcPr>
          <w:p w:rsidR="008328BE" w:rsidRPr="008F33C1" w:rsidRDefault="008328BE" w:rsidP="008328BE">
            <w:pPr>
              <w:spacing w:before="0" w:after="0"/>
              <w:jc w:val="center"/>
              <w:rPr>
                <w:rFonts w:cs="Arial"/>
                <w:sz w:val="18"/>
                <w:szCs w:val="18"/>
                <w:lang w:val="fr-FR" w:eastAsia="fr-FR"/>
              </w:rPr>
            </w:pPr>
          </w:p>
        </w:tc>
        <w:tc>
          <w:tcPr>
            <w:tcW w:w="1062" w:type="dxa"/>
            <w:gridSpan w:val="2"/>
            <w:tcBorders>
              <w:top w:val="nil"/>
              <w:left w:val="nil"/>
              <w:bottom w:val="nil"/>
              <w:right w:val="nil"/>
            </w:tcBorders>
            <w:shd w:val="clear" w:color="auto" w:fill="auto"/>
            <w:noWrap/>
            <w:vAlign w:val="center"/>
            <w:hideMark/>
          </w:tcPr>
          <w:p w:rsidR="008328BE" w:rsidRPr="008F33C1" w:rsidRDefault="008328BE" w:rsidP="008328BE">
            <w:pPr>
              <w:spacing w:before="0" w:after="0"/>
              <w:jc w:val="center"/>
              <w:rPr>
                <w:rFonts w:cs="Arial"/>
                <w:sz w:val="18"/>
                <w:szCs w:val="18"/>
                <w:lang w:val="fr-FR" w:eastAsia="fr-FR"/>
              </w:rPr>
            </w:pPr>
          </w:p>
        </w:tc>
        <w:tc>
          <w:tcPr>
            <w:tcW w:w="1179" w:type="dxa"/>
            <w:tcBorders>
              <w:top w:val="nil"/>
              <w:left w:val="nil"/>
              <w:bottom w:val="nil"/>
              <w:right w:val="nil"/>
            </w:tcBorders>
            <w:shd w:val="clear" w:color="auto" w:fill="auto"/>
            <w:noWrap/>
            <w:vAlign w:val="center"/>
            <w:hideMark/>
          </w:tcPr>
          <w:p w:rsidR="008328BE" w:rsidRPr="008F33C1" w:rsidRDefault="008328BE" w:rsidP="008328BE">
            <w:pPr>
              <w:spacing w:before="0" w:after="0"/>
              <w:jc w:val="center"/>
              <w:rPr>
                <w:rFonts w:cs="Arial"/>
                <w:sz w:val="18"/>
                <w:szCs w:val="18"/>
                <w:lang w:val="fr-FR" w:eastAsia="fr-FR"/>
              </w:rPr>
            </w:pPr>
          </w:p>
        </w:tc>
        <w:tc>
          <w:tcPr>
            <w:tcW w:w="1119" w:type="dxa"/>
            <w:tcBorders>
              <w:top w:val="nil"/>
              <w:left w:val="nil"/>
              <w:bottom w:val="nil"/>
              <w:right w:val="nil"/>
            </w:tcBorders>
            <w:shd w:val="clear" w:color="auto" w:fill="auto"/>
            <w:noWrap/>
            <w:vAlign w:val="center"/>
            <w:hideMark/>
          </w:tcPr>
          <w:p w:rsidR="008328BE" w:rsidRPr="008328BE" w:rsidRDefault="008328BE" w:rsidP="008328BE">
            <w:pPr>
              <w:spacing w:before="0" w:after="0"/>
              <w:jc w:val="center"/>
              <w:rPr>
                <w:rFonts w:cs="Arial"/>
                <w:szCs w:val="22"/>
                <w:lang w:val="fr-FR" w:eastAsia="fr-FR"/>
              </w:rPr>
            </w:pPr>
          </w:p>
        </w:tc>
      </w:tr>
      <w:tr w:rsidR="008328BE" w:rsidRPr="008328BE" w:rsidTr="00625976">
        <w:trPr>
          <w:trHeight w:val="300"/>
        </w:trPr>
        <w:tc>
          <w:tcPr>
            <w:tcW w:w="16484" w:type="dxa"/>
            <w:gridSpan w:val="26"/>
            <w:tcBorders>
              <w:top w:val="nil"/>
              <w:left w:val="nil"/>
              <w:bottom w:val="nil"/>
              <w:right w:val="nil"/>
            </w:tcBorders>
            <w:shd w:val="clear" w:color="auto" w:fill="auto"/>
            <w:vAlign w:val="center"/>
            <w:hideMark/>
          </w:tcPr>
          <w:p w:rsidR="008328BE" w:rsidRPr="00C94503" w:rsidRDefault="008328BE" w:rsidP="008328BE">
            <w:pPr>
              <w:spacing w:before="0" w:after="0"/>
              <w:jc w:val="left"/>
              <w:rPr>
                <w:rFonts w:cs="Arial"/>
                <w:sz w:val="20"/>
                <w:lang w:val="en-US" w:eastAsia="fr-FR"/>
              </w:rPr>
            </w:pPr>
            <w:r w:rsidRPr="00C94503">
              <w:rPr>
                <w:rFonts w:cs="Arial"/>
                <w:sz w:val="20"/>
                <w:lang w:val="en-US" w:eastAsia="fr-FR"/>
              </w:rPr>
              <w:t>By adding to the total of 22,977, the</w:t>
            </w:r>
            <w:r w:rsidRPr="00C94503">
              <w:rPr>
                <w:rFonts w:cs="Arial"/>
                <w:b/>
                <w:bCs/>
                <w:sz w:val="20"/>
                <w:lang w:val="en-US" w:eastAsia="fr-FR"/>
              </w:rPr>
              <w:t xml:space="preserve"> 892</w:t>
            </w:r>
            <w:r w:rsidRPr="00C94503">
              <w:rPr>
                <w:rFonts w:cs="Arial"/>
                <w:sz w:val="20"/>
                <w:lang w:val="en-US" w:eastAsia="fr-FR"/>
              </w:rPr>
              <w:t xml:space="preserve"> pupils who are not nationals of the 27 Member States, the total pupil population is </w:t>
            </w:r>
            <w:r w:rsidRPr="00C94503">
              <w:rPr>
                <w:rFonts w:cs="Arial"/>
                <w:b/>
                <w:bCs/>
                <w:sz w:val="20"/>
                <w:lang w:val="en-US" w:eastAsia="fr-FR"/>
              </w:rPr>
              <w:t>23,869</w:t>
            </w:r>
            <w:r w:rsidRPr="00C94503">
              <w:rPr>
                <w:rFonts w:cs="Arial"/>
                <w:sz w:val="20"/>
                <w:lang w:val="en-US" w:eastAsia="fr-FR"/>
              </w:rPr>
              <w:t>.</w:t>
            </w:r>
          </w:p>
        </w:tc>
        <w:tc>
          <w:tcPr>
            <w:tcW w:w="1179" w:type="dxa"/>
            <w:tcBorders>
              <w:top w:val="nil"/>
              <w:left w:val="nil"/>
              <w:bottom w:val="nil"/>
              <w:right w:val="nil"/>
            </w:tcBorders>
            <w:shd w:val="clear" w:color="auto" w:fill="auto"/>
            <w:noWrap/>
            <w:vAlign w:val="center"/>
            <w:hideMark/>
          </w:tcPr>
          <w:p w:rsidR="008328BE" w:rsidRPr="00C94503" w:rsidRDefault="008328BE" w:rsidP="008328BE">
            <w:pPr>
              <w:spacing w:before="0" w:after="0"/>
              <w:jc w:val="center"/>
              <w:rPr>
                <w:rFonts w:cs="Arial"/>
                <w:szCs w:val="22"/>
                <w:lang w:val="en-US" w:eastAsia="fr-FR"/>
              </w:rPr>
            </w:pPr>
          </w:p>
        </w:tc>
        <w:tc>
          <w:tcPr>
            <w:tcW w:w="1119" w:type="dxa"/>
            <w:tcBorders>
              <w:top w:val="nil"/>
              <w:left w:val="nil"/>
              <w:bottom w:val="nil"/>
              <w:right w:val="nil"/>
            </w:tcBorders>
            <w:shd w:val="clear" w:color="auto" w:fill="auto"/>
            <w:noWrap/>
            <w:vAlign w:val="center"/>
            <w:hideMark/>
          </w:tcPr>
          <w:p w:rsidR="008328BE" w:rsidRPr="00C94503" w:rsidRDefault="008328BE" w:rsidP="008328BE">
            <w:pPr>
              <w:spacing w:before="0" w:after="0"/>
              <w:jc w:val="center"/>
              <w:rPr>
                <w:rFonts w:cs="Arial"/>
                <w:szCs w:val="22"/>
                <w:lang w:val="en-US" w:eastAsia="fr-FR"/>
              </w:rPr>
            </w:pPr>
          </w:p>
        </w:tc>
      </w:tr>
      <w:tr w:rsidR="008328BE" w:rsidRPr="008328BE" w:rsidTr="00625976">
        <w:trPr>
          <w:trHeight w:val="300"/>
        </w:trPr>
        <w:tc>
          <w:tcPr>
            <w:tcW w:w="2075" w:type="dxa"/>
            <w:gridSpan w:val="3"/>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127" w:type="dxa"/>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536" w:type="dxa"/>
            <w:gridSpan w:val="3"/>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833"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234" w:type="dxa"/>
            <w:gridSpan w:val="3"/>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258"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238"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833"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528"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170"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590"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062" w:type="dxa"/>
            <w:gridSpan w:val="2"/>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179" w:type="dxa"/>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c>
          <w:tcPr>
            <w:tcW w:w="1119" w:type="dxa"/>
            <w:tcBorders>
              <w:top w:val="nil"/>
              <w:left w:val="nil"/>
              <w:bottom w:val="nil"/>
              <w:right w:val="nil"/>
            </w:tcBorders>
            <w:shd w:val="clear" w:color="auto" w:fill="auto"/>
            <w:noWrap/>
            <w:vAlign w:val="bottom"/>
            <w:hideMark/>
          </w:tcPr>
          <w:p w:rsidR="008328BE" w:rsidRPr="00C94503" w:rsidRDefault="008328BE" w:rsidP="008328BE">
            <w:pPr>
              <w:spacing w:before="0" w:after="0"/>
              <w:jc w:val="left"/>
              <w:rPr>
                <w:rFonts w:ascii="Calibri" w:hAnsi="Calibri"/>
                <w:color w:val="000000"/>
                <w:szCs w:val="22"/>
                <w:lang w:val="en-US" w:eastAsia="fr-FR"/>
              </w:rPr>
            </w:pPr>
          </w:p>
        </w:tc>
      </w:tr>
    </w:tbl>
    <w:p w:rsidR="00E04D80" w:rsidRPr="00C2351E" w:rsidRDefault="00E04D80" w:rsidP="00625976">
      <w:pPr>
        <w:spacing w:before="0" w:after="0"/>
        <w:ind w:right="-626"/>
        <w:rPr>
          <w:rFonts w:ascii="Trebuchet MS" w:hAnsi="Trebuchet MS"/>
          <w:sz w:val="24"/>
          <w:szCs w:val="24"/>
        </w:rPr>
      </w:pPr>
    </w:p>
    <w:sectPr w:rsidR="00E04D80" w:rsidRPr="00C2351E" w:rsidSect="004C67FC">
      <w:pgSz w:w="15840" w:h="12240" w:orient="landscape"/>
      <w:pgMar w:top="397" w:right="454" w:bottom="454"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94" w:rsidRDefault="00962194" w:rsidP="00A500F2">
      <w:pPr>
        <w:spacing w:before="0" w:after="0"/>
      </w:pPr>
      <w:r>
        <w:separator/>
      </w:r>
    </w:p>
  </w:endnote>
  <w:endnote w:type="continuationSeparator" w:id="0">
    <w:p w:rsidR="00962194" w:rsidRDefault="00962194" w:rsidP="00A500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NewRoman">
    <w:altName w:val="Tahom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96644"/>
      <w:docPartObj>
        <w:docPartGallery w:val="Page Numbers (Bottom of Page)"/>
        <w:docPartUnique/>
      </w:docPartObj>
    </w:sdtPr>
    <w:sdtEndPr>
      <w:rPr>
        <w:noProof/>
      </w:rPr>
    </w:sdtEndPr>
    <w:sdtContent>
      <w:p w:rsidR="005144B7" w:rsidRDefault="007A7B85">
        <w:pPr>
          <w:pStyle w:val="Footer"/>
          <w:jc w:val="right"/>
        </w:pPr>
        <w:r>
          <w:fldChar w:fldCharType="begin"/>
        </w:r>
        <w:r>
          <w:instrText xml:space="preserve"> PAGE   \* MERGEFORMAT </w:instrText>
        </w:r>
        <w:r>
          <w:fldChar w:fldCharType="separate"/>
        </w:r>
        <w:r w:rsidR="003779C8">
          <w:rPr>
            <w:noProof/>
          </w:rPr>
          <w:t>1</w:t>
        </w:r>
        <w:r>
          <w:rPr>
            <w:noProof/>
          </w:rPr>
          <w:fldChar w:fldCharType="end"/>
        </w:r>
      </w:p>
    </w:sdtContent>
  </w:sdt>
  <w:p w:rsidR="005144B7" w:rsidRDefault="00514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94" w:rsidRDefault="00962194" w:rsidP="00A500F2">
      <w:pPr>
        <w:spacing w:before="0" w:after="0"/>
      </w:pPr>
      <w:r>
        <w:separator/>
      </w:r>
    </w:p>
  </w:footnote>
  <w:footnote w:type="continuationSeparator" w:id="0">
    <w:p w:rsidR="00962194" w:rsidRDefault="00962194" w:rsidP="00A500F2">
      <w:pPr>
        <w:spacing w:before="0" w:after="0"/>
      </w:pPr>
      <w:r>
        <w:continuationSeparator/>
      </w:r>
    </w:p>
  </w:footnote>
  <w:footnote w:id="1">
    <w:p w:rsidR="005144B7" w:rsidRPr="00B64627" w:rsidRDefault="005144B7" w:rsidP="00835FA0">
      <w:pPr>
        <w:pStyle w:val="PlainText"/>
        <w:rPr>
          <w:sz w:val="18"/>
          <w:szCs w:val="18"/>
        </w:rPr>
      </w:pPr>
      <w:r w:rsidRPr="00B64627">
        <w:rPr>
          <w:rStyle w:val="FootnoteReference"/>
          <w:sz w:val="18"/>
          <w:szCs w:val="18"/>
        </w:rPr>
        <w:footnoteRef/>
      </w:r>
      <w:r w:rsidRPr="00B64627">
        <w:rPr>
          <w:sz w:val="18"/>
          <w:szCs w:val="18"/>
        </w:rPr>
        <w:t xml:space="preserve">Only seconded teachers are taken into account.  A number – which cannot be reduced – of locally recruited teachers, accounting for approximately 25% of the total number of teachers in the </w:t>
      </w:r>
      <w:r>
        <w:rPr>
          <w:sz w:val="18"/>
          <w:szCs w:val="18"/>
        </w:rPr>
        <w:t>European School system</w:t>
      </w:r>
      <w:r w:rsidRPr="00B64627">
        <w:rPr>
          <w:sz w:val="18"/>
          <w:szCs w:val="18"/>
        </w:rPr>
        <w:t xml:space="preserve">, is essential to: </w:t>
      </w:r>
    </w:p>
    <w:p w:rsidR="005144B7" w:rsidRPr="00B64627" w:rsidRDefault="005144B7" w:rsidP="00835FA0">
      <w:pPr>
        <w:pStyle w:val="PlainText"/>
        <w:ind w:left="720"/>
        <w:rPr>
          <w:sz w:val="18"/>
          <w:szCs w:val="18"/>
        </w:rPr>
      </w:pPr>
      <w:r w:rsidRPr="00B64627">
        <w:rPr>
          <w:sz w:val="18"/>
          <w:szCs w:val="18"/>
        </w:rPr>
        <w:t xml:space="preserve">- cover the hours requirements in certain subjects and languages where the creation of full-time posts is not permissible, </w:t>
      </w:r>
    </w:p>
    <w:p w:rsidR="005144B7" w:rsidRPr="00B64627" w:rsidRDefault="005144B7" w:rsidP="00835FA0">
      <w:pPr>
        <w:pStyle w:val="PlainText"/>
        <w:ind w:left="720"/>
        <w:rPr>
          <w:sz w:val="18"/>
          <w:szCs w:val="18"/>
        </w:rPr>
      </w:pPr>
      <w:r w:rsidRPr="00B64627">
        <w:rPr>
          <w:sz w:val="18"/>
          <w:szCs w:val="18"/>
        </w:rPr>
        <w:t>- meet the needs of timetable constraints (cross-language section courses, availability of rooms, etc.),</w:t>
      </w:r>
    </w:p>
    <w:p w:rsidR="005144B7" w:rsidRPr="00B64627" w:rsidRDefault="005144B7" w:rsidP="00835FA0">
      <w:pPr>
        <w:pStyle w:val="PlainText"/>
        <w:ind w:left="720"/>
        <w:rPr>
          <w:sz w:val="18"/>
          <w:szCs w:val="18"/>
        </w:rPr>
      </w:pPr>
      <w:r w:rsidRPr="00B64627">
        <w:rPr>
          <w:sz w:val="18"/>
          <w:szCs w:val="18"/>
        </w:rPr>
        <w:t>- teach special courses: religion, ethics, Learning Support, SEN, catch-up classes in languages.</w:t>
      </w:r>
    </w:p>
    <w:p w:rsidR="005144B7" w:rsidRPr="00B64627" w:rsidRDefault="005144B7" w:rsidP="00835FA0">
      <w:pPr>
        <w:pStyle w:val="FootnoteText"/>
        <w:rPr>
          <w:sz w:val="18"/>
          <w:szCs w:val="18"/>
          <w:lang w:val="en-GB"/>
        </w:rPr>
      </w:pPr>
    </w:p>
  </w:footnote>
  <w:footnote w:id="2">
    <w:p w:rsidR="005144B7" w:rsidRPr="001825B0" w:rsidRDefault="005144B7">
      <w:pPr>
        <w:pStyle w:val="FootnoteText"/>
        <w:rPr>
          <w:lang w:val="en-GB"/>
        </w:rPr>
      </w:pPr>
      <w:r>
        <w:rPr>
          <w:rStyle w:val="FootnoteReference"/>
        </w:rPr>
        <w:footnoteRef/>
      </w:r>
      <w:r>
        <w:t xml:space="preserve"> April 2008, </w:t>
      </w:r>
      <w:r>
        <w:rPr>
          <w:lang w:val="en-GB"/>
        </w:rPr>
        <w:t>Helsinki</w:t>
      </w:r>
    </w:p>
  </w:footnote>
  <w:footnote w:id="3">
    <w:p w:rsidR="005144B7" w:rsidRDefault="005144B7" w:rsidP="00835FA0">
      <w:pPr>
        <w:pStyle w:val="Standard"/>
        <w:spacing w:after="0" w:line="100" w:lineRule="atLeast"/>
      </w:pPr>
      <w:r>
        <w:rPr>
          <w:rStyle w:val="FootnoteReference"/>
          <w:rFonts w:ascii="Trebuchet MS" w:hAnsi="Trebuchet MS"/>
          <w:sz w:val="20"/>
          <w:szCs w:val="20"/>
        </w:rPr>
        <w:footnoteRef/>
      </w:r>
      <w:r>
        <w:rPr>
          <w:rStyle w:val="FootnoteReference"/>
          <w:rFonts w:ascii="Trebuchet MS" w:hAnsi="Trebuchet MS"/>
          <w:sz w:val="20"/>
          <w:szCs w:val="20"/>
        </w:rPr>
        <w:tab/>
      </w:r>
      <w:r>
        <w:rPr>
          <w:rFonts w:ascii="Trebuchet MS" w:hAnsi="Trebuchet MS" w:cs="TimesNewRoman"/>
          <w:color w:val="000000"/>
          <w:sz w:val="20"/>
          <w:szCs w:val="20"/>
        </w:rPr>
        <w:t>You can find the Irish EU-presidency information note from the address:</w:t>
      </w:r>
    </w:p>
    <w:p w:rsidR="005144B7" w:rsidRDefault="00962194" w:rsidP="00835FA0">
      <w:pPr>
        <w:pStyle w:val="Standard"/>
        <w:spacing w:after="0" w:line="100" w:lineRule="atLeast"/>
      </w:pPr>
      <w:hyperlink r:id="rId1">
        <w:r w:rsidR="005144B7" w:rsidRPr="00A500F2">
          <w:rPr>
            <w:rStyle w:val="LienInternet"/>
            <w:rFonts w:ascii="Trebuchet MS" w:hAnsi="Trebuchet MS"/>
            <w:sz w:val="20"/>
            <w:szCs w:val="20"/>
            <w:lang w:val="en-US"/>
          </w:rPr>
          <w:tab/>
          <w:t>http://register.consilium.europa.eu/pdf/en/13/st09/st09390.en13.pdf</w:t>
        </w:r>
      </w:hyperlink>
    </w:p>
    <w:p w:rsidR="005144B7" w:rsidRDefault="005144B7" w:rsidP="00835FA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560"/>
    <w:multiLevelType w:val="hybridMultilevel"/>
    <w:tmpl w:val="B4C0B142"/>
    <w:lvl w:ilvl="0" w:tplc="B92A0518">
      <w:start w:val="20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E6BA5"/>
    <w:multiLevelType w:val="hybridMultilevel"/>
    <w:tmpl w:val="C1660088"/>
    <w:lvl w:ilvl="0" w:tplc="9E50EF3A">
      <w:start w:val="1"/>
      <w:numFmt w:val="decimal"/>
      <w:lvlText w:val="%1."/>
      <w:lvlJc w:val="left"/>
      <w:pPr>
        <w:tabs>
          <w:tab w:val="num" w:pos="720"/>
        </w:tabs>
        <w:ind w:left="720" w:hanging="360"/>
      </w:pPr>
    </w:lvl>
    <w:lvl w:ilvl="1" w:tplc="16FC45A6">
      <w:start w:val="668"/>
      <w:numFmt w:val="bullet"/>
      <w:lvlText w:val="–"/>
      <w:lvlJc w:val="left"/>
      <w:pPr>
        <w:tabs>
          <w:tab w:val="num" w:pos="1440"/>
        </w:tabs>
        <w:ind w:left="1440" w:hanging="360"/>
      </w:pPr>
      <w:rPr>
        <w:rFonts w:ascii="Arial" w:hAnsi="Arial" w:hint="default"/>
      </w:rPr>
    </w:lvl>
    <w:lvl w:ilvl="2" w:tplc="59F21330" w:tentative="1">
      <w:start w:val="1"/>
      <w:numFmt w:val="decimal"/>
      <w:lvlText w:val="%3."/>
      <w:lvlJc w:val="left"/>
      <w:pPr>
        <w:tabs>
          <w:tab w:val="num" w:pos="2160"/>
        </w:tabs>
        <w:ind w:left="2160" w:hanging="360"/>
      </w:pPr>
    </w:lvl>
    <w:lvl w:ilvl="3" w:tplc="9A86A5C0" w:tentative="1">
      <w:start w:val="1"/>
      <w:numFmt w:val="decimal"/>
      <w:lvlText w:val="%4."/>
      <w:lvlJc w:val="left"/>
      <w:pPr>
        <w:tabs>
          <w:tab w:val="num" w:pos="2880"/>
        </w:tabs>
        <w:ind w:left="2880" w:hanging="360"/>
      </w:pPr>
    </w:lvl>
    <w:lvl w:ilvl="4" w:tplc="541C3E1E" w:tentative="1">
      <w:start w:val="1"/>
      <w:numFmt w:val="decimal"/>
      <w:lvlText w:val="%5."/>
      <w:lvlJc w:val="left"/>
      <w:pPr>
        <w:tabs>
          <w:tab w:val="num" w:pos="3600"/>
        </w:tabs>
        <w:ind w:left="3600" w:hanging="360"/>
      </w:pPr>
    </w:lvl>
    <w:lvl w:ilvl="5" w:tplc="947E2E2A" w:tentative="1">
      <w:start w:val="1"/>
      <w:numFmt w:val="decimal"/>
      <w:lvlText w:val="%6."/>
      <w:lvlJc w:val="left"/>
      <w:pPr>
        <w:tabs>
          <w:tab w:val="num" w:pos="4320"/>
        </w:tabs>
        <w:ind w:left="4320" w:hanging="360"/>
      </w:pPr>
    </w:lvl>
    <w:lvl w:ilvl="6" w:tplc="8C88E980" w:tentative="1">
      <w:start w:val="1"/>
      <w:numFmt w:val="decimal"/>
      <w:lvlText w:val="%7."/>
      <w:lvlJc w:val="left"/>
      <w:pPr>
        <w:tabs>
          <w:tab w:val="num" w:pos="5040"/>
        </w:tabs>
        <w:ind w:left="5040" w:hanging="360"/>
      </w:pPr>
    </w:lvl>
    <w:lvl w:ilvl="7" w:tplc="7F2C2B72" w:tentative="1">
      <w:start w:val="1"/>
      <w:numFmt w:val="decimal"/>
      <w:lvlText w:val="%8."/>
      <w:lvlJc w:val="left"/>
      <w:pPr>
        <w:tabs>
          <w:tab w:val="num" w:pos="5760"/>
        </w:tabs>
        <w:ind w:left="5760" w:hanging="360"/>
      </w:pPr>
    </w:lvl>
    <w:lvl w:ilvl="8" w:tplc="3134216E" w:tentative="1">
      <w:start w:val="1"/>
      <w:numFmt w:val="decimal"/>
      <w:lvlText w:val="%9."/>
      <w:lvlJc w:val="left"/>
      <w:pPr>
        <w:tabs>
          <w:tab w:val="num" w:pos="6480"/>
        </w:tabs>
        <w:ind w:left="6480" w:hanging="360"/>
      </w:pPr>
    </w:lvl>
  </w:abstractNum>
  <w:abstractNum w:abstractNumId="2">
    <w:nsid w:val="0AE531CC"/>
    <w:multiLevelType w:val="hybridMultilevel"/>
    <w:tmpl w:val="A54E3926"/>
    <w:lvl w:ilvl="0" w:tplc="DA2AFD1A">
      <w:start w:val="1"/>
      <w:numFmt w:val="decimal"/>
      <w:lvlText w:val="%1."/>
      <w:lvlJc w:val="left"/>
      <w:pPr>
        <w:tabs>
          <w:tab w:val="num" w:pos="720"/>
        </w:tabs>
        <w:ind w:left="720" w:hanging="360"/>
      </w:pPr>
    </w:lvl>
    <w:lvl w:ilvl="1" w:tplc="8E9A46AA" w:tentative="1">
      <w:start w:val="1"/>
      <w:numFmt w:val="decimal"/>
      <w:lvlText w:val="%2."/>
      <w:lvlJc w:val="left"/>
      <w:pPr>
        <w:tabs>
          <w:tab w:val="num" w:pos="1440"/>
        </w:tabs>
        <w:ind w:left="1440" w:hanging="360"/>
      </w:pPr>
    </w:lvl>
    <w:lvl w:ilvl="2" w:tplc="7D188638" w:tentative="1">
      <w:start w:val="1"/>
      <w:numFmt w:val="decimal"/>
      <w:lvlText w:val="%3."/>
      <w:lvlJc w:val="left"/>
      <w:pPr>
        <w:tabs>
          <w:tab w:val="num" w:pos="2160"/>
        </w:tabs>
        <w:ind w:left="2160" w:hanging="360"/>
      </w:pPr>
    </w:lvl>
    <w:lvl w:ilvl="3" w:tplc="9C2A5CA8" w:tentative="1">
      <w:start w:val="1"/>
      <w:numFmt w:val="decimal"/>
      <w:lvlText w:val="%4."/>
      <w:lvlJc w:val="left"/>
      <w:pPr>
        <w:tabs>
          <w:tab w:val="num" w:pos="2880"/>
        </w:tabs>
        <w:ind w:left="2880" w:hanging="360"/>
      </w:pPr>
    </w:lvl>
    <w:lvl w:ilvl="4" w:tplc="019E57A0" w:tentative="1">
      <w:start w:val="1"/>
      <w:numFmt w:val="decimal"/>
      <w:lvlText w:val="%5."/>
      <w:lvlJc w:val="left"/>
      <w:pPr>
        <w:tabs>
          <w:tab w:val="num" w:pos="3600"/>
        </w:tabs>
        <w:ind w:left="3600" w:hanging="360"/>
      </w:pPr>
    </w:lvl>
    <w:lvl w:ilvl="5" w:tplc="31B451C0" w:tentative="1">
      <w:start w:val="1"/>
      <w:numFmt w:val="decimal"/>
      <w:lvlText w:val="%6."/>
      <w:lvlJc w:val="left"/>
      <w:pPr>
        <w:tabs>
          <w:tab w:val="num" w:pos="4320"/>
        </w:tabs>
        <w:ind w:left="4320" w:hanging="360"/>
      </w:pPr>
    </w:lvl>
    <w:lvl w:ilvl="6" w:tplc="C788563C" w:tentative="1">
      <w:start w:val="1"/>
      <w:numFmt w:val="decimal"/>
      <w:lvlText w:val="%7."/>
      <w:lvlJc w:val="left"/>
      <w:pPr>
        <w:tabs>
          <w:tab w:val="num" w:pos="5040"/>
        </w:tabs>
        <w:ind w:left="5040" w:hanging="360"/>
      </w:pPr>
    </w:lvl>
    <w:lvl w:ilvl="7" w:tplc="B3DA36CA" w:tentative="1">
      <w:start w:val="1"/>
      <w:numFmt w:val="decimal"/>
      <w:lvlText w:val="%8."/>
      <w:lvlJc w:val="left"/>
      <w:pPr>
        <w:tabs>
          <w:tab w:val="num" w:pos="5760"/>
        </w:tabs>
        <w:ind w:left="5760" w:hanging="360"/>
      </w:pPr>
    </w:lvl>
    <w:lvl w:ilvl="8" w:tplc="5C326FD4" w:tentative="1">
      <w:start w:val="1"/>
      <w:numFmt w:val="decimal"/>
      <w:lvlText w:val="%9."/>
      <w:lvlJc w:val="left"/>
      <w:pPr>
        <w:tabs>
          <w:tab w:val="num" w:pos="6480"/>
        </w:tabs>
        <w:ind w:left="6480" w:hanging="360"/>
      </w:pPr>
    </w:lvl>
  </w:abstractNum>
  <w:abstractNum w:abstractNumId="3">
    <w:nsid w:val="2CF613E0"/>
    <w:multiLevelType w:val="hybridMultilevel"/>
    <w:tmpl w:val="0B2A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90FA5"/>
    <w:multiLevelType w:val="hybridMultilevel"/>
    <w:tmpl w:val="A54E3926"/>
    <w:lvl w:ilvl="0" w:tplc="DA2AFD1A">
      <w:start w:val="1"/>
      <w:numFmt w:val="decimal"/>
      <w:lvlText w:val="%1."/>
      <w:lvlJc w:val="left"/>
      <w:pPr>
        <w:tabs>
          <w:tab w:val="num" w:pos="720"/>
        </w:tabs>
        <w:ind w:left="720" w:hanging="360"/>
      </w:pPr>
    </w:lvl>
    <w:lvl w:ilvl="1" w:tplc="8E9A46AA" w:tentative="1">
      <w:start w:val="1"/>
      <w:numFmt w:val="decimal"/>
      <w:lvlText w:val="%2."/>
      <w:lvlJc w:val="left"/>
      <w:pPr>
        <w:tabs>
          <w:tab w:val="num" w:pos="1440"/>
        </w:tabs>
        <w:ind w:left="1440" w:hanging="360"/>
      </w:pPr>
    </w:lvl>
    <w:lvl w:ilvl="2" w:tplc="7D188638" w:tentative="1">
      <w:start w:val="1"/>
      <w:numFmt w:val="decimal"/>
      <w:lvlText w:val="%3."/>
      <w:lvlJc w:val="left"/>
      <w:pPr>
        <w:tabs>
          <w:tab w:val="num" w:pos="2160"/>
        </w:tabs>
        <w:ind w:left="2160" w:hanging="360"/>
      </w:pPr>
    </w:lvl>
    <w:lvl w:ilvl="3" w:tplc="9C2A5CA8" w:tentative="1">
      <w:start w:val="1"/>
      <w:numFmt w:val="decimal"/>
      <w:lvlText w:val="%4."/>
      <w:lvlJc w:val="left"/>
      <w:pPr>
        <w:tabs>
          <w:tab w:val="num" w:pos="2880"/>
        </w:tabs>
        <w:ind w:left="2880" w:hanging="360"/>
      </w:pPr>
    </w:lvl>
    <w:lvl w:ilvl="4" w:tplc="019E57A0" w:tentative="1">
      <w:start w:val="1"/>
      <w:numFmt w:val="decimal"/>
      <w:lvlText w:val="%5."/>
      <w:lvlJc w:val="left"/>
      <w:pPr>
        <w:tabs>
          <w:tab w:val="num" w:pos="3600"/>
        </w:tabs>
        <w:ind w:left="3600" w:hanging="360"/>
      </w:pPr>
    </w:lvl>
    <w:lvl w:ilvl="5" w:tplc="31B451C0" w:tentative="1">
      <w:start w:val="1"/>
      <w:numFmt w:val="decimal"/>
      <w:lvlText w:val="%6."/>
      <w:lvlJc w:val="left"/>
      <w:pPr>
        <w:tabs>
          <w:tab w:val="num" w:pos="4320"/>
        </w:tabs>
        <w:ind w:left="4320" w:hanging="360"/>
      </w:pPr>
    </w:lvl>
    <w:lvl w:ilvl="6" w:tplc="C788563C" w:tentative="1">
      <w:start w:val="1"/>
      <w:numFmt w:val="decimal"/>
      <w:lvlText w:val="%7."/>
      <w:lvlJc w:val="left"/>
      <w:pPr>
        <w:tabs>
          <w:tab w:val="num" w:pos="5040"/>
        </w:tabs>
        <w:ind w:left="5040" w:hanging="360"/>
      </w:pPr>
    </w:lvl>
    <w:lvl w:ilvl="7" w:tplc="B3DA36CA" w:tentative="1">
      <w:start w:val="1"/>
      <w:numFmt w:val="decimal"/>
      <w:lvlText w:val="%8."/>
      <w:lvlJc w:val="left"/>
      <w:pPr>
        <w:tabs>
          <w:tab w:val="num" w:pos="5760"/>
        </w:tabs>
        <w:ind w:left="5760" w:hanging="360"/>
      </w:pPr>
    </w:lvl>
    <w:lvl w:ilvl="8" w:tplc="5C326FD4" w:tentative="1">
      <w:start w:val="1"/>
      <w:numFmt w:val="decimal"/>
      <w:lvlText w:val="%9."/>
      <w:lvlJc w:val="left"/>
      <w:pPr>
        <w:tabs>
          <w:tab w:val="num" w:pos="6480"/>
        </w:tabs>
        <w:ind w:left="6480" w:hanging="360"/>
      </w:pPr>
    </w:lvl>
  </w:abstractNum>
  <w:abstractNum w:abstractNumId="5">
    <w:nsid w:val="318912FF"/>
    <w:multiLevelType w:val="hybridMultilevel"/>
    <w:tmpl w:val="EEF0F1EC"/>
    <w:lvl w:ilvl="0" w:tplc="8F52BE70">
      <w:start w:val="1"/>
      <w:numFmt w:val="bullet"/>
      <w:lvlText w:val="•"/>
      <w:lvlJc w:val="left"/>
      <w:pPr>
        <w:tabs>
          <w:tab w:val="num" w:pos="720"/>
        </w:tabs>
        <w:ind w:left="720" w:hanging="360"/>
      </w:pPr>
      <w:rPr>
        <w:rFonts w:ascii="Arial" w:hAnsi="Arial" w:hint="default"/>
      </w:rPr>
    </w:lvl>
    <w:lvl w:ilvl="1" w:tplc="6F42ADC0">
      <w:start w:val="1"/>
      <w:numFmt w:val="bullet"/>
      <w:lvlText w:val="•"/>
      <w:lvlJc w:val="left"/>
      <w:pPr>
        <w:tabs>
          <w:tab w:val="num" w:pos="1440"/>
        </w:tabs>
        <w:ind w:left="1440" w:hanging="360"/>
      </w:pPr>
      <w:rPr>
        <w:rFonts w:ascii="Arial" w:hAnsi="Arial" w:hint="default"/>
      </w:rPr>
    </w:lvl>
    <w:lvl w:ilvl="2" w:tplc="1B563424">
      <w:start w:val="1230"/>
      <w:numFmt w:val="bullet"/>
      <w:lvlText w:val="•"/>
      <w:lvlJc w:val="left"/>
      <w:pPr>
        <w:tabs>
          <w:tab w:val="num" w:pos="2160"/>
        </w:tabs>
        <w:ind w:left="2160" w:hanging="360"/>
      </w:pPr>
      <w:rPr>
        <w:rFonts w:ascii="Arial" w:hAnsi="Arial" w:hint="default"/>
      </w:rPr>
    </w:lvl>
    <w:lvl w:ilvl="3" w:tplc="9A4250E6" w:tentative="1">
      <w:start w:val="1"/>
      <w:numFmt w:val="bullet"/>
      <w:lvlText w:val="•"/>
      <w:lvlJc w:val="left"/>
      <w:pPr>
        <w:tabs>
          <w:tab w:val="num" w:pos="2880"/>
        </w:tabs>
        <w:ind w:left="2880" w:hanging="360"/>
      </w:pPr>
      <w:rPr>
        <w:rFonts w:ascii="Arial" w:hAnsi="Arial" w:hint="default"/>
      </w:rPr>
    </w:lvl>
    <w:lvl w:ilvl="4" w:tplc="01EE4030" w:tentative="1">
      <w:start w:val="1"/>
      <w:numFmt w:val="bullet"/>
      <w:lvlText w:val="•"/>
      <w:lvlJc w:val="left"/>
      <w:pPr>
        <w:tabs>
          <w:tab w:val="num" w:pos="3600"/>
        </w:tabs>
        <w:ind w:left="3600" w:hanging="360"/>
      </w:pPr>
      <w:rPr>
        <w:rFonts w:ascii="Arial" w:hAnsi="Arial" w:hint="default"/>
      </w:rPr>
    </w:lvl>
    <w:lvl w:ilvl="5" w:tplc="F0DA6040" w:tentative="1">
      <w:start w:val="1"/>
      <w:numFmt w:val="bullet"/>
      <w:lvlText w:val="•"/>
      <w:lvlJc w:val="left"/>
      <w:pPr>
        <w:tabs>
          <w:tab w:val="num" w:pos="4320"/>
        </w:tabs>
        <w:ind w:left="4320" w:hanging="360"/>
      </w:pPr>
      <w:rPr>
        <w:rFonts w:ascii="Arial" w:hAnsi="Arial" w:hint="default"/>
      </w:rPr>
    </w:lvl>
    <w:lvl w:ilvl="6" w:tplc="E828EB60" w:tentative="1">
      <w:start w:val="1"/>
      <w:numFmt w:val="bullet"/>
      <w:lvlText w:val="•"/>
      <w:lvlJc w:val="left"/>
      <w:pPr>
        <w:tabs>
          <w:tab w:val="num" w:pos="5040"/>
        </w:tabs>
        <w:ind w:left="5040" w:hanging="360"/>
      </w:pPr>
      <w:rPr>
        <w:rFonts w:ascii="Arial" w:hAnsi="Arial" w:hint="default"/>
      </w:rPr>
    </w:lvl>
    <w:lvl w:ilvl="7" w:tplc="6F4298E0" w:tentative="1">
      <w:start w:val="1"/>
      <w:numFmt w:val="bullet"/>
      <w:lvlText w:val="•"/>
      <w:lvlJc w:val="left"/>
      <w:pPr>
        <w:tabs>
          <w:tab w:val="num" w:pos="5760"/>
        </w:tabs>
        <w:ind w:left="5760" w:hanging="360"/>
      </w:pPr>
      <w:rPr>
        <w:rFonts w:ascii="Arial" w:hAnsi="Arial" w:hint="default"/>
      </w:rPr>
    </w:lvl>
    <w:lvl w:ilvl="8" w:tplc="4318456E" w:tentative="1">
      <w:start w:val="1"/>
      <w:numFmt w:val="bullet"/>
      <w:lvlText w:val="•"/>
      <w:lvlJc w:val="left"/>
      <w:pPr>
        <w:tabs>
          <w:tab w:val="num" w:pos="6480"/>
        </w:tabs>
        <w:ind w:left="6480" w:hanging="360"/>
      </w:pPr>
      <w:rPr>
        <w:rFonts w:ascii="Arial" w:hAnsi="Arial" w:hint="default"/>
      </w:rPr>
    </w:lvl>
  </w:abstractNum>
  <w:abstractNum w:abstractNumId="6">
    <w:nsid w:val="3ACD7D25"/>
    <w:multiLevelType w:val="hybridMultilevel"/>
    <w:tmpl w:val="947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668CE"/>
    <w:multiLevelType w:val="hybridMultilevel"/>
    <w:tmpl w:val="FE627EBC"/>
    <w:lvl w:ilvl="0" w:tplc="8FECCC58">
      <w:start w:val="1"/>
      <w:numFmt w:val="bullet"/>
      <w:lvlText w:val="•"/>
      <w:lvlJc w:val="left"/>
      <w:pPr>
        <w:tabs>
          <w:tab w:val="num" w:pos="720"/>
        </w:tabs>
        <w:ind w:left="720" w:hanging="360"/>
      </w:pPr>
      <w:rPr>
        <w:rFonts w:ascii="Arial" w:hAnsi="Arial" w:hint="default"/>
      </w:rPr>
    </w:lvl>
    <w:lvl w:ilvl="1" w:tplc="C5FAB348" w:tentative="1">
      <w:start w:val="1"/>
      <w:numFmt w:val="bullet"/>
      <w:lvlText w:val="•"/>
      <w:lvlJc w:val="left"/>
      <w:pPr>
        <w:tabs>
          <w:tab w:val="num" w:pos="1440"/>
        </w:tabs>
        <w:ind w:left="1440" w:hanging="360"/>
      </w:pPr>
      <w:rPr>
        <w:rFonts w:ascii="Arial" w:hAnsi="Arial" w:hint="default"/>
      </w:rPr>
    </w:lvl>
    <w:lvl w:ilvl="2" w:tplc="707818E2" w:tentative="1">
      <w:start w:val="1"/>
      <w:numFmt w:val="bullet"/>
      <w:lvlText w:val="•"/>
      <w:lvlJc w:val="left"/>
      <w:pPr>
        <w:tabs>
          <w:tab w:val="num" w:pos="2160"/>
        </w:tabs>
        <w:ind w:left="2160" w:hanging="360"/>
      </w:pPr>
      <w:rPr>
        <w:rFonts w:ascii="Arial" w:hAnsi="Arial" w:hint="default"/>
      </w:rPr>
    </w:lvl>
    <w:lvl w:ilvl="3" w:tplc="10AABAAE" w:tentative="1">
      <w:start w:val="1"/>
      <w:numFmt w:val="bullet"/>
      <w:lvlText w:val="•"/>
      <w:lvlJc w:val="left"/>
      <w:pPr>
        <w:tabs>
          <w:tab w:val="num" w:pos="2880"/>
        </w:tabs>
        <w:ind w:left="2880" w:hanging="360"/>
      </w:pPr>
      <w:rPr>
        <w:rFonts w:ascii="Arial" w:hAnsi="Arial" w:hint="default"/>
      </w:rPr>
    </w:lvl>
    <w:lvl w:ilvl="4" w:tplc="59545246" w:tentative="1">
      <w:start w:val="1"/>
      <w:numFmt w:val="bullet"/>
      <w:lvlText w:val="•"/>
      <w:lvlJc w:val="left"/>
      <w:pPr>
        <w:tabs>
          <w:tab w:val="num" w:pos="3600"/>
        </w:tabs>
        <w:ind w:left="3600" w:hanging="360"/>
      </w:pPr>
      <w:rPr>
        <w:rFonts w:ascii="Arial" w:hAnsi="Arial" w:hint="default"/>
      </w:rPr>
    </w:lvl>
    <w:lvl w:ilvl="5" w:tplc="DAA479D4" w:tentative="1">
      <w:start w:val="1"/>
      <w:numFmt w:val="bullet"/>
      <w:lvlText w:val="•"/>
      <w:lvlJc w:val="left"/>
      <w:pPr>
        <w:tabs>
          <w:tab w:val="num" w:pos="4320"/>
        </w:tabs>
        <w:ind w:left="4320" w:hanging="360"/>
      </w:pPr>
      <w:rPr>
        <w:rFonts w:ascii="Arial" w:hAnsi="Arial" w:hint="default"/>
      </w:rPr>
    </w:lvl>
    <w:lvl w:ilvl="6" w:tplc="457E492A" w:tentative="1">
      <w:start w:val="1"/>
      <w:numFmt w:val="bullet"/>
      <w:lvlText w:val="•"/>
      <w:lvlJc w:val="left"/>
      <w:pPr>
        <w:tabs>
          <w:tab w:val="num" w:pos="5040"/>
        </w:tabs>
        <w:ind w:left="5040" w:hanging="360"/>
      </w:pPr>
      <w:rPr>
        <w:rFonts w:ascii="Arial" w:hAnsi="Arial" w:hint="default"/>
      </w:rPr>
    </w:lvl>
    <w:lvl w:ilvl="7" w:tplc="3CCCDEF8" w:tentative="1">
      <w:start w:val="1"/>
      <w:numFmt w:val="bullet"/>
      <w:lvlText w:val="•"/>
      <w:lvlJc w:val="left"/>
      <w:pPr>
        <w:tabs>
          <w:tab w:val="num" w:pos="5760"/>
        </w:tabs>
        <w:ind w:left="5760" w:hanging="360"/>
      </w:pPr>
      <w:rPr>
        <w:rFonts w:ascii="Arial" w:hAnsi="Arial" w:hint="default"/>
      </w:rPr>
    </w:lvl>
    <w:lvl w:ilvl="8" w:tplc="751AE4F0" w:tentative="1">
      <w:start w:val="1"/>
      <w:numFmt w:val="bullet"/>
      <w:lvlText w:val="•"/>
      <w:lvlJc w:val="left"/>
      <w:pPr>
        <w:tabs>
          <w:tab w:val="num" w:pos="6480"/>
        </w:tabs>
        <w:ind w:left="6480" w:hanging="360"/>
      </w:pPr>
      <w:rPr>
        <w:rFonts w:ascii="Arial" w:hAnsi="Arial" w:hint="default"/>
      </w:rPr>
    </w:lvl>
  </w:abstractNum>
  <w:abstractNum w:abstractNumId="8">
    <w:nsid w:val="50D845C2"/>
    <w:multiLevelType w:val="hybridMultilevel"/>
    <w:tmpl w:val="60203EE0"/>
    <w:lvl w:ilvl="0" w:tplc="E8187532">
      <w:start w:val="1"/>
      <w:numFmt w:val="bullet"/>
      <w:lvlText w:val="•"/>
      <w:lvlJc w:val="left"/>
      <w:pPr>
        <w:tabs>
          <w:tab w:val="num" w:pos="720"/>
        </w:tabs>
        <w:ind w:left="720" w:hanging="360"/>
      </w:pPr>
      <w:rPr>
        <w:rFonts w:ascii="Arial" w:hAnsi="Arial" w:hint="default"/>
      </w:rPr>
    </w:lvl>
    <w:lvl w:ilvl="1" w:tplc="725A66DE" w:tentative="1">
      <w:start w:val="1"/>
      <w:numFmt w:val="bullet"/>
      <w:lvlText w:val="•"/>
      <w:lvlJc w:val="left"/>
      <w:pPr>
        <w:tabs>
          <w:tab w:val="num" w:pos="1440"/>
        </w:tabs>
        <w:ind w:left="1440" w:hanging="360"/>
      </w:pPr>
      <w:rPr>
        <w:rFonts w:ascii="Arial" w:hAnsi="Arial" w:hint="default"/>
      </w:rPr>
    </w:lvl>
    <w:lvl w:ilvl="2" w:tplc="B9C8C198" w:tentative="1">
      <w:start w:val="1"/>
      <w:numFmt w:val="bullet"/>
      <w:lvlText w:val="•"/>
      <w:lvlJc w:val="left"/>
      <w:pPr>
        <w:tabs>
          <w:tab w:val="num" w:pos="2160"/>
        </w:tabs>
        <w:ind w:left="2160" w:hanging="360"/>
      </w:pPr>
      <w:rPr>
        <w:rFonts w:ascii="Arial" w:hAnsi="Arial" w:hint="default"/>
      </w:rPr>
    </w:lvl>
    <w:lvl w:ilvl="3" w:tplc="72F248DA" w:tentative="1">
      <w:start w:val="1"/>
      <w:numFmt w:val="bullet"/>
      <w:lvlText w:val="•"/>
      <w:lvlJc w:val="left"/>
      <w:pPr>
        <w:tabs>
          <w:tab w:val="num" w:pos="2880"/>
        </w:tabs>
        <w:ind w:left="2880" w:hanging="360"/>
      </w:pPr>
      <w:rPr>
        <w:rFonts w:ascii="Arial" w:hAnsi="Arial" w:hint="default"/>
      </w:rPr>
    </w:lvl>
    <w:lvl w:ilvl="4" w:tplc="2842E4CC" w:tentative="1">
      <w:start w:val="1"/>
      <w:numFmt w:val="bullet"/>
      <w:lvlText w:val="•"/>
      <w:lvlJc w:val="left"/>
      <w:pPr>
        <w:tabs>
          <w:tab w:val="num" w:pos="3600"/>
        </w:tabs>
        <w:ind w:left="3600" w:hanging="360"/>
      </w:pPr>
      <w:rPr>
        <w:rFonts w:ascii="Arial" w:hAnsi="Arial" w:hint="default"/>
      </w:rPr>
    </w:lvl>
    <w:lvl w:ilvl="5" w:tplc="0EB69EA6" w:tentative="1">
      <w:start w:val="1"/>
      <w:numFmt w:val="bullet"/>
      <w:lvlText w:val="•"/>
      <w:lvlJc w:val="left"/>
      <w:pPr>
        <w:tabs>
          <w:tab w:val="num" w:pos="4320"/>
        </w:tabs>
        <w:ind w:left="4320" w:hanging="360"/>
      </w:pPr>
      <w:rPr>
        <w:rFonts w:ascii="Arial" w:hAnsi="Arial" w:hint="default"/>
      </w:rPr>
    </w:lvl>
    <w:lvl w:ilvl="6" w:tplc="E780E0FA" w:tentative="1">
      <w:start w:val="1"/>
      <w:numFmt w:val="bullet"/>
      <w:lvlText w:val="•"/>
      <w:lvlJc w:val="left"/>
      <w:pPr>
        <w:tabs>
          <w:tab w:val="num" w:pos="5040"/>
        </w:tabs>
        <w:ind w:left="5040" w:hanging="360"/>
      </w:pPr>
      <w:rPr>
        <w:rFonts w:ascii="Arial" w:hAnsi="Arial" w:hint="default"/>
      </w:rPr>
    </w:lvl>
    <w:lvl w:ilvl="7" w:tplc="94FE427A" w:tentative="1">
      <w:start w:val="1"/>
      <w:numFmt w:val="bullet"/>
      <w:lvlText w:val="•"/>
      <w:lvlJc w:val="left"/>
      <w:pPr>
        <w:tabs>
          <w:tab w:val="num" w:pos="5760"/>
        </w:tabs>
        <w:ind w:left="5760" w:hanging="360"/>
      </w:pPr>
      <w:rPr>
        <w:rFonts w:ascii="Arial" w:hAnsi="Arial" w:hint="default"/>
      </w:rPr>
    </w:lvl>
    <w:lvl w:ilvl="8" w:tplc="AD66CEF6" w:tentative="1">
      <w:start w:val="1"/>
      <w:numFmt w:val="bullet"/>
      <w:lvlText w:val="•"/>
      <w:lvlJc w:val="left"/>
      <w:pPr>
        <w:tabs>
          <w:tab w:val="num" w:pos="6480"/>
        </w:tabs>
        <w:ind w:left="6480" w:hanging="360"/>
      </w:pPr>
      <w:rPr>
        <w:rFonts w:ascii="Arial" w:hAnsi="Arial" w:hint="default"/>
      </w:rPr>
    </w:lvl>
  </w:abstractNum>
  <w:abstractNum w:abstractNumId="9">
    <w:nsid w:val="556F4AE2"/>
    <w:multiLevelType w:val="hybridMultilevel"/>
    <w:tmpl w:val="1018A6AC"/>
    <w:lvl w:ilvl="0" w:tplc="800E1E90">
      <w:start w:val="1"/>
      <w:numFmt w:val="bullet"/>
      <w:lvlText w:val="–"/>
      <w:lvlJc w:val="left"/>
      <w:pPr>
        <w:tabs>
          <w:tab w:val="num" w:pos="720"/>
        </w:tabs>
        <w:ind w:left="720" w:hanging="360"/>
      </w:pPr>
      <w:rPr>
        <w:rFonts w:ascii="Arial" w:hAnsi="Arial" w:hint="default"/>
      </w:rPr>
    </w:lvl>
    <w:lvl w:ilvl="1" w:tplc="FC60AE6A">
      <w:start w:val="1"/>
      <w:numFmt w:val="bullet"/>
      <w:lvlText w:val="–"/>
      <w:lvlJc w:val="left"/>
      <w:pPr>
        <w:tabs>
          <w:tab w:val="num" w:pos="1440"/>
        </w:tabs>
        <w:ind w:left="1440" w:hanging="360"/>
      </w:pPr>
      <w:rPr>
        <w:rFonts w:ascii="Arial" w:hAnsi="Arial" w:hint="default"/>
      </w:rPr>
    </w:lvl>
    <w:lvl w:ilvl="2" w:tplc="B1D84E98" w:tentative="1">
      <w:start w:val="1"/>
      <w:numFmt w:val="bullet"/>
      <w:lvlText w:val="–"/>
      <w:lvlJc w:val="left"/>
      <w:pPr>
        <w:tabs>
          <w:tab w:val="num" w:pos="2160"/>
        </w:tabs>
        <w:ind w:left="2160" w:hanging="360"/>
      </w:pPr>
      <w:rPr>
        <w:rFonts w:ascii="Arial" w:hAnsi="Arial" w:hint="default"/>
      </w:rPr>
    </w:lvl>
    <w:lvl w:ilvl="3" w:tplc="920E9778" w:tentative="1">
      <w:start w:val="1"/>
      <w:numFmt w:val="bullet"/>
      <w:lvlText w:val="–"/>
      <w:lvlJc w:val="left"/>
      <w:pPr>
        <w:tabs>
          <w:tab w:val="num" w:pos="2880"/>
        </w:tabs>
        <w:ind w:left="2880" w:hanging="360"/>
      </w:pPr>
      <w:rPr>
        <w:rFonts w:ascii="Arial" w:hAnsi="Arial" w:hint="default"/>
      </w:rPr>
    </w:lvl>
    <w:lvl w:ilvl="4" w:tplc="7D6AD380" w:tentative="1">
      <w:start w:val="1"/>
      <w:numFmt w:val="bullet"/>
      <w:lvlText w:val="–"/>
      <w:lvlJc w:val="left"/>
      <w:pPr>
        <w:tabs>
          <w:tab w:val="num" w:pos="3600"/>
        </w:tabs>
        <w:ind w:left="3600" w:hanging="360"/>
      </w:pPr>
      <w:rPr>
        <w:rFonts w:ascii="Arial" w:hAnsi="Arial" w:hint="default"/>
      </w:rPr>
    </w:lvl>
    <w:lvl w:ilvl="5" w:tplc="4D9825EA" w:tentative="1">
      <w:start w:val="1"/>
      <w:numFmt w:val="bullet"/>
      <w:lvlText w:val="–"/>
      <w:lvlJc w:val="left"/>
      <w:pPr>
        <w:tabs>
          <w:tab w:val="num" w:pos="4320"/>
        </w:tabs>
        <w:ind w:left="4320" w:hanging="360"/>
      </w:pPr>
      <w:rPr>
        <w:rFonts w:ascii="Arial" w:hAnsi="Arial" w:hint="default"/>
      </w:rPr>
    </w:lvl>
    <w:lvl w:ilvl="6" w:tplc="E30CC6D2" w:tentative="1">
      <w:start w:val="1"/>
      <w:numFmt w:val="bullet"/>
      <w:lvlText w:val="–"/>
      <w:lvlJc w:val="left"/>
      <w:pPr>
        <w:tabs>
          <w:tab w:val="num" w:pos="5040"/>
        </w:tabs>
        <w:ind w:left="5040" w:hanging="360"/>
      </w:pPr>
      <w:rPr>
        <w:rFonts w:ascii="Arial" w:hAnsi="Arial" w:hint="default"/>
      </w:rPr>
    </w:lvl>
    <w:lvl w:ilvl="7" w:tplc="ED1C1074" w:tentative="1">
      <w:start w:val="1"/>
      <w:numFmt w:val="bullet"/>
      <w:lvlText w:val="–"/>
      <w:lvlJc w:val="left"/>
      <w:pPr>
        <w:tabs>
          <w:tab w:val="num" w:pos="5760"/>
        </w:tabs>
        <w:ind w:left="5760" w:hanging="360"/>
      </w:pPr>
      <w:rPr>
        <w:rFonts w:ascii="Arial" w:hAnsi="Arial" w:hint="default"/>
      </w:rPr>
    </w:lvl>
    <w:lvl w:ilvl="8" w:tplc="879032C8" w:tentative="1">
      <w:start w:val="1"/>
      <w:numFmt w:val="bullet"/>
      <w:lvlText w:val="–"/>
      <w:lvlJc w:val="left"/>
      <w:pPr>
        <w:tabs>
          <w:tab w:val="num" w:pos="6480"/>
        </w:tabs>
        <w:ind w:left="6480" w:hanging="360"/>
      </w:pPr>
      <w:rPr>
        <w:rFonts w:ascii="Arial" w:hAnsi="Arial" w:hint="default"/>
      </w:rPr>
    </w:lvl>
  </w:abstractNum>
  <w:abstractNum w:abstractNumId="10">
    <w:nsid w:val="586C68A6"/>
    <w:multiLevelType w:val="hybridMultilevel"/>
    <w:tmpl w:val="CA6C37B2"/>
    <w:lvl w:ilvl="0" w:tplc="FB34BAEA">
      <w:start w:val="1"/>
      <w:numFmt w:val="bullet"/>
      <w:lvlText w:val="•"/>
      <w:lvlJc w:val="left"/>
      <w:pPr>
        <w:tabs>
          <w:tab w:val="num" w:pos="720"/>
        </w:tabs>
        <w:ind w:left="720" w:hanging="360"/>
      </w:pPr>
      <w:rPr>
        <w:rFonts w:ascii="Arial" w:hAnsi="Arial" w:hint="default"/>
      </w:rPr>
    </w:lvl>
    <w:lvl w:ilvl="1" w:tplc="3432D4E0" w:tentative="1">
      <w:start w:val="1"/>
      <w:numFmt w:val="bullet"/>
      <w:lvlText w:val="•"/>
      <w:lvlJc w:val="left"/>
      <w:pPr>
        <w:tabs>
          <w:tab w:val="num" w:pos="1440"/>
        </w:tabs>
        <w:ind w:left="1440" w:hanging="360"/>
      </w:pPr>
      <w:rPr>
        <w:rFonts w:ascii="Arial" w:hAnsi="Arial" w:hint="default"/>
      </w:rPr>
    </w:lvl>
    <w:lvl w:ilvl="2" w:tplc="0E38D418" w:tentative="1">
      <w:start w:val="1"/>
      <w:numFmt w:val="bullet"/>
      <w:lvlText w:val="•"/>
      <w:lvlJc w:val="left"/>
      <w:pPr>
        <w:tabs>
          <w:tab w:val="num" w:pos="2160"/>
        </w:tabs>
        <w:ind w:left="2160" w:hanging="360"/>
      </w:pPr>
      <w:rPr>
        <w:rFonts w:ascii="Arial" w:hAnsi="Arial" w:hint="default"/>
      </w:rPr>
    </w:lvl>
    <w:lvl w:ilvl="3" w:tplc="3CE80A42" w:tentative="1">
      <w:start w:val="1"/>
      <w:numFmt w:val="bullet"/>
      <w:lvlText w:val="•"/>
      <w:lvlJc w:val="left"/>
      <w:pPr>
        <w:tabs>
          <w:tab w:val="num" w:pos="2880"/>
        </w:tabs>
        <w:ind w:left="2880" w:hanging="360"/>
      </w:pPr>
      <w:rPr>
        <w:rFonts w:ascii="Arial" w:hAnsi="Arial" w:hint="default"/>
      </w:rPr>
    </w:lvl>
    <w:lvl w:ilvl="4" w:tplc="D2BE81BA" w:tentative="1">
      <w:start w:val="1"/>
      <w:numFmt w:val="bullet"/>
      <w:lvlText w:val="•"/>
      <w:lvlJc w:val="left"/>
      <w:pPr>
        <w:tabs>
          <w:tab w:val="num" w:pos="3600"/>
        </w:tabs>
        <w:ind w:left="3600" w:hanging="360"/>
      </w:pPr>
      <w:rPr>
        <w:rFonts w:ascii="Arial" w:hAnsi="Arial" w:hint="default"/>
      </w:rPr>
    </w:lvl>
    <w:lvl w:ilvl="5" w:tplc="26A6FAB0" w:tentative="1">
      <w:start w:val="1"/>
      <w:numFmt w:val="bullet"/>
      <w:lvlText w:val="•"/>
      <w:lvlJc w:val="left"/>
      <w:pPr>
        <w:tabs>
          <w:tab w:val="num" w:pos="4320"/>
        </w:tabs>
        <w:ind w:left="4320" w:hanging="360"/>
      </w:pPr>
      <w:rPr>
        <w:rFonts w:ascii="Arial" w:hAnsi="Arial" w:hint="default"/>
      </w:rPr>
    </w:lvl>
    <w:lvl w:ilvl="6" w:tplc="B9B8400E" w:tentative="1">
      <w:start w:val="1"/>
      <w:numFmt w:val="bullet"/>
      <w:lvlText w:val="•"/>
      <w:lvlJc w:val="left"/>
      <w:pPr>
        <w:tabs>
          <w:tab w:val="num" w:pos="5040"/>
        </w:tabs>
        <w:ind w:left="5040" w:hanging="360"/>
      </w:pPr>
      <w:rPr>
        <w:rFonts w:ascii="Arial" w:hAnsi="Arial" w:hint="default"/>
      </w:rPr>
    </w:lvl>
    <w:lvl w:ilvl="7" w:tplc="BCD26AB2" w:tentative="1">
      <w:start w:val="1"/>
      <w:numFmt w:val="bullet"/>
      <w:lvlText w:val="•"/>
      <w:lvlJc w:val="left"/>
      <w:pPr>
        <w:tabs>
          <w:tab w:val="num" w:pos="5760"/>
        </w:tabs>
        <w:ind w:left="5760" w:hanging="360"/>
      </w:pPr>
      <w:rPr>
        <w:rFonts w:ascii="Arial" w:hAnsi="Arial" w:hint="default"/>
      </w:rPr>
    </w:lvl>
    <w:lvl w:ilvl="8" w:tplc="853487BA" w:tentative="1">
      <w:start w:val="1"/>
      <w:numFmt w:val="bullet"/>
      <w:lvlText w:val="•"/>
      <w:lvlJc w:val="left"/>
      <w:pPr>
        <w:tabs>
          <w:tab w:val="num" w:pos="6480"/>
        </w:tabs>
        <w:ind w:left="6480" w:hanging="360"/>
      </w:pPr>
      <w:rPr>
        <w:rFonts w:ascii="Arial" w:hAnsi="Arial" w:hint="default"/>
      </w:rPr>
    </w:lvl>
  </w:abstractNum>
  <w:abstractNum w:abstractNumId="11">
    <w:nsid w:val="5A8F5ED1"/>
    <w:multiLevelType w:val="hybridMultilevel"/>
    <w:tmpl w:val="1E90F75A"/>
    <w:lvl w:ilvl="0" w:tplc="AC6E69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456D07"/>
    <w:multiLevelType w:val="hybridMultilevel"/>
    <w:tmpl w:val="EE92DB54"/>
    <w:lvl w:ilvl="0" w:tplc="A4CEFBCE">
      <w:start w:val="1"/>
      <w:numFmt w:val="decimal"/>
      <w:lvlText w:val="%1."/>
      <w:lvlJc w:val="left"/>
      <w:pPr>
        <w:tabs>
          <w:tab w:val="num" w:pos="720"/>
        </w:tabs>
        <w:ind w:left="720" w:hanging="360"/>
      </w:pPr>
      <w:rPr>
        <w:strike/>
      </w:rPr>
    </w:lvl>
    <w:lvl w:ilvl="1" w:tplc="A7DC19CC">
      <w:start w:val="1"/>
      <w:numFmt w:val="decimal"/>
      <w:lvlText w:val="%2."/>
      <w:lvlJc w:val="left"/>
      <w:pPr>
        <w:tabs>
          <w:tab w:val="num" w:pos="1440"/>
        </w:tabs>
        <w:ind w:left="1440" w:hanging="360"/>
      </w:pPr>
    </w:lvl>
    <w:lvl w:ilvl="2" w:tplc="1504A0E8">
      <w:start w:val="1"/>
      <w:numFmt w:val="decimal"/>
      <w:lvlText w:val="%3."/>
      <w:lvlJc w:val="left"/>
      <w:pPr>
        <w:tabs>
          <w:tab w:val="num" w:pos="2160"/>
        </w:tabs>
        <w:ind w:left="2160" w:hanging="360"/>
      </w:pPr>
    </w:lvl>
    <w:lvl w:ilvl="3" w:tplc="5CC8F598" w:tentative="1">
      <w:start w:val="1"/>
      <w:numFmt w:val="decimal"/>
      <w:lvlText w:val="%4."/>
      <w:lvlJc w:val="left"/>
      <w:pPr>
        <w:tabs>
          <w:tab w:val="num" w:pos="2880"/>
        </w:tabs>
        <w:ind w:left="2880" w:hanging="360"/>
      </w:pPr>
    </w:lvl>
    <w:lvl w:ilvl="4" w:tplc="5B2AAD42" w:tentative="1">
      <w:start w:val="1"/>
      <w:numFmt w:val="decimal"/>
      <w:lvlText w:val="%5."/>
      <w:lvlJc w:val="left"/>
      <w:pPr>
        <w:tabs>
          <w:tab w:val="num" w:pos="3600"/>
        </w:tabs>
        <w:ind w:left="3600" w:hanging="360"/>
      </w:pPr>
    </w:lvl>
    <w:lvl w:ilvl="5" w:tplc="350C9D60" w:tentative="1">
      <w:start w:val="1"/>
      <w:numFmt w:val="decimal"/>
      <w:lvlText w:val="%6."/>
      <w:lvlJc w:val="left"/>
      <w:pPr>
        <w:tabs>
          <w:tab w:val="num" w:pos="4320"/>
        </w:tabs>
        <w:ind w:left="4320" w:hanging="360"/>
      </w:pPr>
    </w:lvl>
    <w:lvl w:ilvl="6" w:tplc="0E321304" w:tentative="1">
      <w:start w:val="1"/>
      <w:numFmt w:val="decimal"/>
      <w:lvlText w:val="%7."/>
      <w:lvlJc w:val="left"/>
      <w:pPr>
        <w:tabs>
          <w:tab w:val="num" w:pos="5040"/>
        </w:tabs>
        <w:ind w:left="5040" w:hanging="360"/>
      </w:pPr>
    </w:lvl>
    <w:lvl w:ilvl="7" w:tplc="D27C8974" w:tentative="1">
      <w:start w:val="1"/>
      <w:numFmt w:val="decimal"/>
      <w:lvlText w:val="%8."/>
      <w:lvlJc w:val="left"/>
      <w:pPr>
        <w:tabs>
          <w:tab w:val="num" w:pos="5760"/>
        </w:tabs>
        <w:ind w:left="5760" w:hanging="360"/>
      </w:pPr>
    </w:lvl>
    <w:lvl w:ilvl="8" w:tplc="B864775E" w:tentative="1">
      <w:start w:val="1"/>
      <w:numFmt w:val="decimal"/>
      <w:lvlText w:val="%9."/>
      <w:lvlJc w:val="left"/>
      <w:pPr>
        <w:tabs>
          <w:tab w:val="num" w:pos="6480"/>
        </w:tabs>
        <w:ind w:left="6480" w:hanging="360"/>
      </w:pPr>
    </w:lvl>
  </w:abstractNum>
  <w:abstractNum w:abstractNumId="13">
    <w:nsid w:val="61E14CF9"/>
    <w:multiLevelType w:val="hybridMultilevel"/>
    <w:tmpl w:val="932A5DBE"/>
    <w:lvl w:ilvl="0" w:tplc="200CD8E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372069"/>
    <w:multiLevelType w:val="hybridMultilevel"/>
    <w:tmpl w:val="43242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933B4"/>
    <w:multiLevelType w:val="hybridMultilevel"/>
    <w:tmpl w:val="7B60A408"/>
    <w:lvl w:ilvl="0" w:tplc="35DC99AE">
      <w:start w:val="1"/>
      <w:numFmt w:val="bullet"/>
      <w:lvlText w:val="•"/>
      <w:lvlJc w:val="left"/>
      <w:pPr>
        <w:tabs>
          <w:tab w:val="num" w:pos="720"/>
        </w:tabs>
        <w:ind w:left="720" w:hanging="360"/>
      </w:pPr>
      <w:rPr>
        <w:rFonts w:ascii="Arial" w:hAnsi="Arial" w:hint="default"/>
      </w:rPr>
    </w:lvl>
    <w:lvl w:ilvl="1" w:tplc="44C0E94E" w:tentative="1">
      <w:start w:val="1"/>
      <w:numFmt w:val="bullet"/>
      <w:lvlText w:val="•"/>
      <w:lvlJc w:val="left"/>
      <w:pPr>
        <w:tabs>
          <w:tab w:val="num" w:pos="1440"/>
        </w:tabs>
        <w:ind w:left="1440" w:hanging="360"/>
      </w:pPr>
      <w:rPr>
        <w:rFonts w:ascii="Arial" w:hAnsi="Arial" w:hint="default"/>
      </w:rPr>
    </w:lvl>
    <w:lvl w:ilvl="2" w:tplc="03DE9648" w:tentative="1">
      <w:start w:val="1"/>
      <w:numFmt w:val="bullet"/>
      <w:lvlText w:val="•"/>
      <w:lvlJc w:val="left"/>
      <w:pPr>
        <w:tabs>
          <w:tab w:val="num" w:pos="2160"/>
        </w:tabs>
        <w:ind w:left="2160" w:hanging="360"/>
      </w:pPr>
      <w:rPr>
        <w:rFonts w:ascii="Arial" w:hAnsi="Arial" w:hint="default"/>
      </w:rPr>
    </w:lvl>
    <w:lvl w:ilvl="3" w:tplc="F4A636DC" w:tentative="1">
      <w:start w:val="1"/>
      <w:numFmt w:val="bullet"/>
      <w:lvlText w:val="•"/>
      <w:lvlJc w:val="left"/>
      <w:pPr>
        <w:tabs>
          <w:tab w:val="num" w:pos="2880"/>
        </w:tabs>
        <w:ind w:left="2880" w:hanging="360"/>
      </w:pPr>
      <w:rPr>
        <w:rFonts w:ascii="Arial" w:hAnsi="Arial" w:hint="default"/>
      </w:rPr>
    </w:lvl>
    <w:lvl w:ilvl="4" w:tplc="F5D47DEA" w:tentative="1">
      <w:start w:val="1"/>
      <w:numFmt w:val="bullet"/>
      <w:lvlText w:val="•"/>
      <w:lvlJc w:val="left"/>
      <w:pPr>
        <w:tabs>
          <w:tab w:val="num" w:pos="3600"/>
        </w:tabs>
        <w:ind w:left="3600" w:hanging="360"/>
      </w:pPr>
      <w:rPr>
        <w:rFonts w:ascii="Arial" w:hAnsi="Arial" w:hint="default"/>
      </w:rPr>
    </w:lvl>
    <w:lvl w:ilvl="5" w:tplc="07B893AE" w:tentative="1">
      <w:start w:val="1"/>
      <w:numFmt w:val="bullet"/>
      <w:lvlText w:val="•"/>
      <w:lvlJc w:val="left"/>
      <w:pPr>
        <w:tabs>
          <w:tab w:val="num" w:pos="4320"/>
        </w:tabs>
        <w:ind w:left="4320" w:hanging="360"/>
      </w:pPr>
      <w:rPr>
        <w:rFonts w:ascii="Arial" w:hAnsi="Arial" w:hint="default"/>
      </w:rPr>
    </w:lvl>
    <w:lvl w:ilvl="6" w:tplc="F2DEB6E6" w:tentative="1">
      <w:start w:val="1"/>
      <w:numFmt w:val="bullet"/>
      <w:lvlText w:val="•"/>
      <w:lvlJc w:val="left"/>
      <w:pPr>
        <w:tabs>
          <w:tab w:val="num" w:pos="5040"/>
        </w:tabs>
        <w:ind w:left="5040" w:hanging="360"/>
      </w:pPr>
      <w:rPr>
        <w:rFonts w:ascii="Arial" w:hAnsi="Arial" w:hint="default"/>
      </w:rPr>
    </w:lvl>
    <w:lvl w:ilvl="7" w:tplc="06043D8E" w:tentative="1">
      <w:start w:val="1"/>
      <w:numFmt w:val="bullet"/>
      <w:lvlText w:val="•"/>
      <w:lvlJc w:val="left"/>
      <w:pPr>
        <w:tabs>
          <w:tab w:val="num" w:pos="5760"/>
        </w:tabs>
        <w:ind w:left="5760" w:hanging="360"/>
      </w:pPr>
      <w:rPr>
        <w:rFonts w:ascii="Arial" w:hAnsi="Arial" w:hint="default"/>
      </w:rPr>
    </w:lvl>
    <w:lvl w:ilvl="8" w:tplc="CC209404" w:tentative="1">
      <w:start w:val="1"/>
      <w:numFmt w:val="bullet"/>
      <w:lvlText w:val="•"/>
      <w:lvlJc w:val="left"/>
      <w:pPr>
        <w:tabs>
          <w:tab w:val="num" w:pos="6480"/>
        </w:tabs>
        <w:ind w:left="6480" w:hanging="360"/>
      </w:pPr>
      <w:rPr>
        <w:rFonts w:ascii="Arial" w:hAnsi="Arial" w:hint="default"/>
      </w:rPr>
    </w:lvl>
  </w:abstractNum>
  <w:abstractNum w:abstractNumId="16">
    <w:nsid w:val="77D866FE"/>
    <w:multiLevelType w:val="hybridMultilevel"/>
    <w:tmpl w:val="AF20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EC63CF"/>
    <w:multiLevelType w:val="hybridMultilevel"/>
    <w:tmpl w:val="AA5C0916"/>
    <w:lvl w:ilvl="0" w:tplc="DFE2A24A">
      <w:start w:val="1"/>
      <w:numFmt w:val="bullet"/>
      <w:lvlText w:val="–"/>
      <w:lvlJc w:val="left"/>
      <w:pPr>
        <w:tabs>
          <w:tab w:val="num" w:pos="720"/>
        </w:tabs>
        <w:ind w:left="720" w:hanging="360"/>
      </w:pPr>
      <w:rPr>
        <w:rFonts w:ascii="Arial" w:hAnsi="Arial" w:hint="default"/>
      </w:rPr>
    </w:lvl>
    <w:lvl w:ilvl="1" w:tplc="6C184750">
      <w:start w:val="1"/>
      <w:numFmt w:val="bullet"/>
      <w:lvlText w:val="–"/>
      <w:lvlJc w:val="left"/>
      <w:pPr>
        <w:tabs>
          <w:tab w:val="num" w:pos="1440"/>
        </w:tabs>
        <w:ind w:left="1440" w:hanging="360"/>
      </w:pPr>
      <w:rPr>
        <w:rFonts w:ascii="Arial" w:hAnsi="Arial" w:hint="default"/>
      </w:rPr>
    </w:lvl>
    <w:lvl w:ilvl="2" w:tplc="3F2C08D4" w:tentative="1">
      <w:start w:val="1"/>
      <w:numFmt w:val="bullet"/>
      <w:lvlText w:val="–"/>
      <w:lvlJc w:val="left"/>
      <w:pPr>
        <w:tabs>
          <w:tab w:val="num" w:pos="2160"/>
        </w:tabs>
        <w:ind w:left="2160" w:hanging="360"/>
      </w:pPr>
      <w:rPr>
        <w:rFonts w:ascii="Arial" w:hAnsi="Arial" w:hint="default"/>
      </w:rPr>
    </w:lvl>
    <w:lvl w:ilvl="3" w:tplc="ED3CDB56" w:tentative="1">
      <w:start w:val="1"/>
      <w:numFmt w:val="bullet"/>
      <w:lvlText w:val="–"/>
      <w:lvlJc w:val="left"/>
      <w:pPr>
        <w:tabs>
          <w:tab w:val="num" w:pos="2880"/>
        </w:tabs>
        <w:ind w:left="2880" w:hanging="360"/>
      </w:pPr>
      <w:rPr>
        <w:rFonts w:ascii="Arial" w:hAnsi="Arial" w:hint="default"/>
      </w:rPr>
    </w:lvl>
    <w:lvl w:ilvl="4" w:tplc="1B027CEC" w:tentative="1">
      <w:start w:val="1"/>
      <w:numFmt w:val="bullet"/>
      <w:lvlText w:val="–"/>
      <w:lvlJc w:val="left"/>
      <w:pPr>
        <w:tabs>
          <w:tab w:val="num" w:pos="3600"/>
        </w:tabs>
        <w:ind w:left="3600" w:hanging="360"/>
      </w:pPr>
      <w:rPr>
        <w:rFonts w:ascii="Arial" w:hAnsi="Arial" w:hint="default"/>
      </w:rPr>
    </w:lvl>
    <w:lvl w:ilvl="5" w:tplc="FCB0900A" w:tentative="1">
      <w:start w:val="1"/>
      <w:numFmt w:val="bullet"/>
      <w:lvlText w:val="–"/>
      <w:lvlJc w:val="left"/>
      <w:pPr>
        <w:tabs>
          <w:tab w:val="num" w:pos="4320"/>
        </w:tabs>
        <w:ind w:left="4320" w:hanging="360"/>
      </w:pPr>
      <w:rPr>
        <w:rFonts w:ascii="Arial" w:hAnsi="Arial" w:hint="default"/>
      </w:rPr>
    </w:lvl>
    <w:lvl w:ilvl="6" w:tplc="43CC41F6" w:tentative="1">
      <w:start w:val="1"/>
      <w:numFmt w:val="bullet"/>
      <w:lvlText w:val="–"/>
      <w:lvlJc w:val="left"/>
      <w:pPr>
        <w:tabs>
          <w:tab w:val="num" w:pos="5040"/>
        </w:tabs>
        <w:ind w:left="5040" w:hanging="360"/>
      </w:pPr>
      <w:rPr>
        <w:rFonts w:ascii="Arial" w:hAnsi="Arial" w:hint="default"/>
      </w:rPr>
    </w:lvl>
    <w:lvl w:ilvl="7" w:tplc="C582A516" w:tentative="1">
      <w:start w:val="1"/>
      <w:numFmt w:val="bullet"/>
      <w:lvlText w:val="–"/>
      <w:lvlJc w:val="left"/>
      <w:pPr>
        <w:tabs>
          <w:tab w:val="num" w:pos="5760"/>
        </w:tabs>
        <w:ind w:left="5760" w:hanging="360"/>
      </w:pPr>
      <w:rPr>
        <w:rFonts w:ascii="Arial" w:hAnsi="Arial" w:hint="default"/>
      </w:rPr>
    </w:lvl>
    <w:lvl w:ilvl="8" w:tplc="AF607E7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2"/>
  </w:num>
  <w:num w:numId="3">
    <w:abstractNumId w:val="4"/>
  </w:num>
  <w:num w:numId="4">
    <w:abstractNumId w:val="5"/>
  </w:num>
  <w:num w:numId="5">
    <w:abstractNumId w:val="11"/>
  </w:num>
  <w:num w:numId="6">
    <w:abstractNumId w:val="9"/>
  </w:num>
  <w:num w:numId="7">
    <w:abstractNumId w:val="17"/>
  </w:num>
  <w:num w:numId="8">
    <w:abstractNumId w:val="2"/>
  </w:num>
  <w:num w:numId="9">
    <w:abstractNumId w:val="1"/>
  </w:num>
  <w:num w:numId="10">
    <w:abstractNumId w:val="3"/>
  </w:num>
  <w:num w:numId="11">
    <w:abstractNumId w:val="16"/>
  </w:num>
  <w:num w:numId="12">
    <w:abstractNumId w:val="13"/>
  </w:num>
  <w:num w:numId="13">
    <w:abstractNumId w:val="6"/>
  </w:num>
  <w:num w:numId="14">
    <w:abstractNumId w:val="14"/>
  </w:num>
  <w:num w:numId="15">
    <w:abstractNumId w:val="7"/>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31B91"/>
    <w:rsid w:val="00006584"/>
    <w:rsid w:val="00010D3B"/>
    <w:rsid w:val="00013D4B"/>
    <w:rsid w:val="00017E82"/>
    <w:rsid w:val="00026407"/>
    <w:rsid w:val="00033AB5"/>
    <w:rsid w:val="00036A15"/>
    <w:rsid w:val="00050740"/>
    <w:rsid w:val="00065AC0"/>
    <w:rsid w:val="000678AA"/>
    <w:rsid w:val="00076ED7"/>
    <w:rsid w:val="00091619"/>
    <w:rsid w:val="00094B1C"/>
    <w:rsid w:val="000C7171"/>
    <w:rsid w:val="000D6D04"/>
    <w:rsid w:val="000E0A9A"/>
    <w:rsid w:val="000E302A"/>
    <w:rsid w:val="000F3DA5"/>
    <w:rsid w:val="00107660"/>
    <w:rsid w:val="00116063"/>
    <w:rsid w:val="001235EB"/>
    <w:rsid w:val="001379D4"/>
    <w:rsid w:val="00151BF3"/>
    <w:rsid w:val="00155455"/>
    <w:rsid w:val="00163DE2"/>
    <w:rsid w:val="001825B0"/>
    <w:rsid w:val="001B00C2"/>
    <w:rsid w:val="001B0E1F"/>
    <w:rsid w:val="001C07EC"/>
    <w:rsid w:val="001D203B"/>
    <w:rsid w:val="001D58B6"/>
    <w:rsid w:val="001E0BC3"/>
    <w:rsid w:val="001E7CF4"/>
    <w:rsid w:val="001F5B3C"/>
    <w:rsid w:val="00237EC2"/>
    <w:rsid w:val="00287987"/>
    <w:rsid w:val="002C4883"/>
    <w:rsid w:val="002D7E9F"/>
    <w:rsid w:val="002F0FF1"/>
    <w:rsid w:val="00303B93"/>
    <w:rsid w:val="00307746"/>
    <w:rsid w:val="00307FF6"/>
    <w:rsid w:val="00325673"/>
    <w:rsid w:val="00330BF5"/>
    <w:rsid w:val="00345B71"/>
    <w:rsid w:val="00350796"/>
    <w:rsid w:val="00352446"/>
    <w:rsid w:val="003724BD"/>
    <w:rsid w:val="003779C8"/>
    <w:rsid w:val="003800A7"/>
    <w:rsid w:val="00390D83"/>
    <w:rsid w:val="00394603"/>
    <w:rsid w:val="00395803"/>
    <w:rsid w:val="003D19EB"/>
    <w:rsid w:val="0040348D"/>
    <w:rsid w:val="0041436B"/>
    <w:rsid w:val="00484B21"/>
    <w:rsid w:val="00487541"/>
    <w:rsid w:val="004921FC"/>
    <w:rsid w:val="004A1DA6"/>
    <w:rsid w:val="004C04D6"/>
    <w:rsid w:val="004C67FC"/>
    <w:rsid w:val="004D7A11"/>
    <w:rsid w:val="005144B7"/>
    <w:rsid w:val="00520919"/>
    <w:rsid w:val="005211C1"/>
    <w:rsid w:val="0055680E"/>
    <w:rsid w:val="005845CC"/>
    <w:rsid w:val="00597335"/>
    <w:rsid w:val="005B5186"/>
    <w:rsid w:val="005D51F9"/>
    <w:rsid w:val="005E0CF8"/>
    <w:rsid w:val="00625976"/>
    <w:rsid w:val="00627759"/>
    <w:rsid w:val="00644B18"/>
    <w:rsid w:val="006667D9"/>
    <w:rsid w:val="00670BF8"/>
    <w:rsid w:val="006764C6"/>
    <w:rsid w:val="006833A0"/>
    <w:rsid w:val="006B3358"/>
    <w:rsid w:val="006B4FAD"/>
    <w:rsid w:val="006C4E4E"/>
    <w:rsid w:val="007319D1"/>
    <w:rsid w:val="007371D8"/>
    <w:rsid w:val="0074323A"/>
    <w:rsid w:val="00753FDD"/>
    <w:rsid w:val="00763FD3"/>
    <w:rsid w:val="00775677"/>
    <w:rsid w:val="007846D9"/>
    <w:rsid w:val="007A7B85"/>
    <w:rsid w:val="007B00B0"/>
    <w:rsid w:val="007B5B51"/>
    <w:rsid w:val="007D08F8"/>
    <w:rsid w:val="008046FD"/>
    <w:rsid w:val="00811197"/>
    <w:rsid w:val="00813950"/>
    <w:rsid w:val="008239DB"/>
    <w:rsid w:val="008328BE"/>
    <w:rsid w:val="00835FA0"/>
    <w:rsid w:val="008469A5"/>
    <w:rsid w:val="00851724"/>
    <w:rsid w:val="00863060"/>
    <w:rsid w:val="00867DD2"/>
    <w:rsid w:val="0087017C"/>
    <w:rsid w:val="00880009"/>
    <w:rsid w:val="0088271C"/>
    <w:rsid w:val="00885E35"/>
    <w:rsid w:val="008919D4"/>
    <w:rsid w:val="008A249B"/>
    <w:rsid w:val="008B6BFF"/>
    <w:rsid w:val="008C0DD6"/>
    <w:rsid w:val="008D7B20"/>
    <w:rsid w:val="008F33C1"/>
    <w:rsid w:val="009069A8"/>
    <w:rsid w:val="00944BC8"/>
    <w:rsid w:val="00962194"/>
    <w:rsid w:val="009879E9"/>
    <w:rsid w:val="00996831"/>
    <w:rsid w:val="009A084B"/>
    <w:rsid w:val="009A3966"/>
    <w:rsid w:val="009C35B6"/>
    <w:rsid w:val="009E27B3"/>
    <w:rsid w:val="009F697E"/>
    <w:rsid w:val="009F7928"/>
    <w:rsid w:val="00A00C63"/>
    <w:rsid w:val="00A1474C"/>
    <w:rsid w:val="00A27DCE"/>
    <w:rsid w:val="00A500F2"/>
    <w:rsid w:val="00A54E6B"/>
    <w:rsid w:val="00A65186"/>
    <w:rsid w:val="00AB3BD7"/>
    <w:rsid w:val="00AB5465"/>
    <w:rsid w:val="00AD1B99"/>
    <w:rsid w:val="00AE7ED5"/>
    <w:rsid w:val="00B02185"/>
    <w:rsid w:val="00B30C5C"/>
    <w:rsid w:val="00B47D99"/>
    <w:rsid w:val="00B72872"/>
    <w:rsid w:val="00B729EE"/>
    <w:rsid w:val="00B8008B"/>
    <w:rsid w:val="00B84558"/>
    <w:rsid w:val="00B93084"/>
    <w:rsid w:val="00BB0975"/>
    <w:rsid w:val="00BB4DEE"/>
    <w:rsid w:val="00BB5EA4"/>
    <w:rsid w:val="00BF3B80"/>
    <w:rsid w:val="00C1303D"/>
    <w:rsid w:val="00C17C17"/>
    <w:rsid w:val="00C2351E"/>
    <w:rsid w:val="00C311EF"/>
    <w:rsid w:val="00C3517F"/>
    <w:rsid w:val="00C4185D"/>
    <w:rsid w:val="00C44553"/>
    <w:rsid w:val="00C6240E"/>
    <w:rsid w:val="00C77BA6"/>
    <w:rsid w:val="00C82B79"/>
    <w:rsid w:val="00C851B2"/>
    <w:rsid w:val="00C91802"/>
    <w:rsid w:val="00C94503"/>
    <w:rsid w:val="00CA7DA8"/>
    <w:rsid w:val="00CC00AC"/>
    <w:rsid w:val="00CE6EA3"/>
    <w:rsid w:val="00CE7C23"/>
    <w:rsid w:val="00CF7A8E"/>
    <w:rsid w:val="00D07F58"/>
    <w:rsid w:val="00D121D0"/>
    <w:rsid w:val="00D12855"/>
    <w:rsid w:val="00D56790"/>
    <w:rsid w:val="00D65760"/>
    <w:rsid w:val="00D97C81"/>
    <w:rsid w:val="00DC20C7"/>
    <w:rsid w:val="00DC60DB"/>
    <w:rsid w:val="00DC78EF"/>
    <w:rsid w:val="00DD43CF"/>
    <w:rsid w:val="00DD6B83"/>
    <w:rsid w:val="00E04D80"/>
    <w:rsid w:val="00E05A71"/>
    <w:rsid w:val="00E07650"/>
    <w:rsid w:val="00E11DA1"/>
    <w:rsid w:val="00E31B91"/>
    <w:rsid w:val="00E338CA"/>
    <w:rsid w:val="00E34073"/>
    <w:rsid w:val="00E40244"/>
    <w:rsid w:val="00E74E0E"/>
    <w:rsid w:val="00E940A8"/>
    <w:rsid w:val="00E97419"/>
    <w:rsid w:val="00EB2139"/>
    <w:rsid w:val="00EB3C36"/>
    <w:rsid w:val="00EB55E3"/>
    <w:rsid w:val="00EB7ED7"/>
    <w:rsid w:val="00ED0C6E"/>
    <w:rsid w:val="00EE152D"/>
    <w:rsid w:val="00EE1B50"/>
    <w:rsid w:val="00EE5F58"/>
    <w:rsid w:val="00F063DF"/>
    <w:rsid w:val="00F16B3B"/>
    <w:rsid w:val="00F2648F"/>
    <w:rsid w:val="00F414E5"/>
    <w:rsid w:val="00F52689"/>
    <w:rsid w:val="00F82BAE"/>
    <w:rsid w:val="00F8436F"/>
    <w:rsid w:val="00F921FF"/>
    <w:rsid w:val="00F949FD"/>
    <w:rsid w:val="00FA034B"/>
    <w:rsid w:val="00FA4010"/>
    <w:rsid w:val="00FB3802"/>
    <w:rsid w:val="00FD6D27"/>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91"/>
    <w:pPr>
      <w:spacing w:before="120" w:after="120" w:line="240" w:lineRule="auto"/>
      <w:jc w:val="both"/>
    </w:pPr>
    <w:rPr>
      <w:rFonts w:ascii="Arial" w:eastAsia="Times New Roman" w:hAnsi="Arial" w:cs="Times New Roman"/>
      <w:szCs w:val="20"/>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91"/>
    <w:pPr>
      <w:ind w:left="720"/>
      <w:contextualSpacing/>
    </w:pPr>
  </w:style>
  <w:style w:type="paragraph" w:styleId="PlainText">
    <w:name w:val="Plain Text"/>
    <w:basedOn w:val="Normal"/>
    <w:link w:val="PlainTextChar"/>
    <w:uiPriority w:val="99"/>
    <w:unhideWhenUsed/>
    <w:rsid w:val="00B84558"/>
    <w:pPr>
      <w:spacing w:before="0" w:after="0"/>
      <w:jc w:val="left"/>
    </w:pPr>
    <w:rPr>
      <w:rFonts w:cstheme="minorBidi"/>
      <w:sz w:val="24"/>
      <w:szCs w:val="21"/>
      <w:lang w:eastAsia="en-US"/>
    </w:rPr>
  </w:style>
  <w:style w:type="character" w:customStyle="1" w:styleId="PlainTextChar">
    <w:name w:val="Plain Text Char"/>
    <w:basedOn w:val="DefaultParagraphFont"/>
    <w:link w:val="PlainText"/>
    <w:uiPriority w:val="99"/>
    <w:rsid w:val="00B84558"/>
    <w:rPr>
      <w:rFonts w:ascii="Arial" w:eastAsia="Times New Roman" w:hAnsi="Arial"/>
      <w:sz w:val="24"/>
      <w:szCs w:val="21"/>
      <w:lang w:val="en-GB"/>
    </w:rPr>
  </w:style>
  <w:style w:type="paragraph" w:customStyle="1" w:styleId="Standard">
    <w:name w:val="Standard"/>
    <w:rsid w:val="00A500F2"/>
    <w:pPr>
      <w:suppressAutoHyphens/>
    </w:pPr>
    <w:rPr>
      <w:rFonts w:ascii="Calibri" w:eastAsia="SimSun" w:hAnsi="Calibri" w:cs="Calibri"/>
    </w:rPr>
  </w:style>
  <w:style w:type="character" w:customStyle="1" w:styleId="LienInternet">
    <w:name w:val="Lien Internet"/>
    <w:basedOn w:val="DefaultParagraphFont"/>
    <w:rsid w:val="00A500F2"/>
    <w:rPr>
      <w:color w:val="0000FF"/>
      <w:u w:val="single"/>
      <w:lang w:val="fr-FR" w:eastAsia="fr-FR" w:bidi="fr-FR"/>
    </w:rPr>
  </w:style>
  <w:style w:type="character" w:styleId="FootnoteReference">
    <w:name w:val="footnote reference"/>
    <w:basedOn w:val="DefaultParagraphFont"/>
    <w:rsid w:val="00A500F2"/>
    <w:rPr>
      <w:vertAlign w:val="superscript"/>
    </w:rPr>
  </w:style>
  <w:style w:type="character" w:customStyle="1" w:styleId="Appeldenote">
    <w:name w:val="Appel de note"/>
    <w:rsid w:val="00A500F2"/>
    <w:rPr>
      <w:vertAlign w:val="superscript"/>
    </w:rPr>
  </w:style>
  <w:style w:type="paragraph" w:styleId="FootnoteText">
    <w:name w:val="footnote text"/>
    <w:basedOn w:val="Standard"/>
    <w:link w:val="FootnoteTextChar"/>
    <w:rsid w:val="00A500F2"/>
    <w:pPr>
      <w:spacing w:after="0" w:line="100" w:lineRule="atLeast"/>
    </w:pPr>
    <w:rPr>
      <w:sz w:val="20"/>
      <w:szCs w:val="20"/>
    </w:rPr>
  </w:style>
  <w:style w:type="character" w:customStyle="1" w:styleId="FootnoteTextChar">
    <w:name w:val="Footnote Text Char"/>
    <w:basedOn w:val="DefaultParagraphFont"/>
    <w:link w:val="FootnoteText"/>
    <w:rsid w:val="00A500F2"/>
    <w:rPr>
      <w:rFonts w:ascii="Calibri" w:eastAsia="SimSun" w:hAnsi="Calibri" w:cs="Calibri"/>
      <w:sz w:val="20"/>
      <w:szCs w:val="20"/>
    </w:rPr>
  </w:style>
  <w:style w:type="paragraph" w:styleId="EndnoteText">
    <w:name w:val="endnote text"/>
    <w:basedOn w:val="Normal"/>
    <w:link w:val="EndnoteTextChar"/>
    <w:uiPriority w:val="99"/>
    <w:semiHidden/>
    <w:unhideWhenUsed/>
    <w:rsid w:val="005D51F9"/>
    <w:pPr>
      <w:spacing w:before="0" w:after="0"/>
    </w:pPr>
    <w:rPr>
      <w:sz w:val="20"/>
    </w:rPr>
  </w:style>
  <w:style w:type="character" w:customStyle="1" w:styleId="EndnoteTextChar">
    <w:name w:val="Endnote Text Char"/>
    <w:basedOn w:val="DefaultParagraphFont"/>
    <w:link w:val="EndnoteText"/>
    <w:uiPriority w:val="99"/>
    <w:semiHidden/>
    <w:rsid w:val="005D51F9"/>
    <w:rPr>
      <w:rFonts w:ascii="Arial" w:eastAsia="Times New Roman" w:hAnsi="Arial" w:cs="Times New Roman"/>
      <w:sz w:val="20"/>
      <w:szCs w:val="20"/>
      <w:lang w:val="en-GB" w:eastAsia="fr-BE"/>
    </w:rPr>
  </w:style>
  <w:style w:type="character" w:styleId="EndnoteReference">
    <w:name w:val="endnote reference"/>
    <w:basedOn w:val="DefaultParagraphFont"/>
    <w:uiPriority w:val="99"/>
    <w:semiHidden/>
    <w:unhideWhenUsed/>
    <w:rsid w:val="005D51F9"/>
    <w:rPr>
      <w:vertAlign w:val="superscript"/>
    </w:rPr>
  </w:style>
  <w:style w:type="paragraph" w:styleId="Header">
    <w:name w:val="header"/>
    <w:basedOn w:val="Normal"/>
    <w:link w:val="HeaderChar"/>
    <w:uiPriority w:val="99"/>
    <w:unhideWhenUsed/>
    <w:rsid w:val="00E04D80"/>
    <w:pPr>
      <w:tabs>
        <w:tab w:val="center" w:pos="4680"/>
        <w:tab w:val="right" w:pos="9360"/>
      </w:tabs>
      <w:spacing w:before="0" w:after="0"/>
    </w:pPr>
  </w:style>
  <w:style w:type="character" w:customStyle="1" w:styleId="HeaderChar">
    <w:name w:val="Header Char"/>
    <w:basedOn w:val="DefaultParagraphFont"/>
    <w:link w:val="Header"/>
    <w:uiPriority w:val="99"/>
    <w:rsid w:val="00E04D80"/>
    <w:rPr>
      <w:rFonts w:ascii="Arial" w:eastAsia="Times New Roman" w:hAnsi="Arial" w:cs="Times New Roman"/>
      <w:szCs w:val="20"/>
      <w:lang w:val="en-GB" w:eastAsia="fr-BE"/>
    </w:rPr>
  </w:style>
  <w:style w:type="paragraph" w:styleId="Footer">
    <w:name w:val="footer"/>
    <w:basedOn w:val="Normal"/>
    <w:link w:val="FooterChar"/>
    <w:uiPriority w:val="99"/>
    <w:unhideWhenUsed/>
    <w:rsid w:val="00E04D80"/>
    <w:pPr>
      <w:tabs>
        <w:tab w:val="center" w:pos="4680"/>
        <w:tab w:val="right" w:pos="9360"/>
      </w:tabs>
      <w:spacing w:before="0" w:after="0"/>
    </w:pPr>
  </w:style>
  <w:style w:type="character" w:customStyle="1" w:styleId="FooterChar">
    <w:name w:val="Footer Char"/>
    <w:basedOn w:val="DefaultParagraphFont"/>
    <w:link w:val="Footer"/>
    <w:uiPriority w:val="99"/>
    <w:rsid w:val="00E04D80"/>
    <w:rPr>
      <w:rFonts w:ascii="Arial" w:eastAsia="Times New Roman" w:hAnsi="Arial" w:cs="Times New Roman"/>
      <w:szCs w:val="20"/>
      <w:lang w:val="en-GB" w:eastAsia="fr-BE"/>
    </w:rPr>
  </w:style>
  <w:style w:type="paragraph" w:customStyle="1" w:styleId="Default">
    <w:name w:val="Default"/>
    <w:rsid w:val="00EB55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1B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F3"/>
    <w:rPr>
      <w:rFonts w:ascii="Tahoma" w:eastAsia="Times New Roman" w:hAnsi="Tahoma" w:cs="Tahoma"/>
      <w:sz w:val="16"/>
      <w:szCs w:val="16"/>
      <w:lang w:val="en-GB" w:eastAsia="fr-BE"/>
    </w:rPr>
  </w:style>
  <w:style w:type="table" w:styleId="TableGrid">
    <w:name w:val="Table Grid"/>
    <w:basedOn w:val="TableNormal"/>
    <w:uiPriority w:val="59"/>
    <w:rsid w:val="0011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91"/>
    <w:pPr>
      <w:spacing w:before="120" w:after="120" w:line="240" w:lineRule="auto"/>
      <w:jc w:val="both"/>
    </w:pPr>
    <w:rPr>
      <w:rFonts w:ascii="Arial" w:eastAsia="Times New Roman" w:hAnsi="Arial" w:cs="Times New Roman"/>
      <w:szCs w:val="20"/>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91"/>
    <w:pPr>
      <w:ind w:left="720"/>
      <w:contextualSpacing/>
    </w:pPr>
  </w:style>
  <w:style w:type="paragraph" w:styleId="PlainText">
    <w:name w:val="Plain Text"/>
    <w:basedOn w:val="Normal"/>
    <w:link w:val="PlainTextChar"/>
    <w:uiPriority w:val="99"/>
    <w:unhideWhenUsed/>
    <w:rsid w:val="00B84558"/>
    <w:pPr>
      <w:spacing w:before="0" w:after="0"/>
      <w:jc w:val="left"/>
    </w:pPr>
    <w:rPr>
      <w:rFonts w:cstheme="minorBidi"/>
      <w:sz w:val="24"/>
      <w:szCs w:val="21"/>
      <w:lang w:eastAsia="en-US"/>
    </w:rPr>
  </w:style>
  <w:style w:type="character" w:customStyle="1" w:styleId="PlainTextChar">
    <w:name w:val="Plain Text Char"/>
    <w:basedOn w:val="DefaultParagraphFont"/>
    <w:link w:val="PlainText"/>
    <w:uiPriority w:val="99"/>
    <w:rsid w:val="00B84558"/>
    <w:rPr>
      <w:rFonts w:ascii="Arial" w:eastAsia="Times New Roman" w:hAnsi="Arial"/>
      <w:sz w:val="24"/>
      <w:szCs w:val="21"/>
      <w:lang w:val="en-GB"/>
    </w:rPr>
  </w:style>
  <w:style w:type="paragraph" w:customStyle="1" w:styleId="Standard">
    <w:name w:val="Standard"/>
    <w:rsid w:val="00A500F2"/>
    <w:pPr>
      <w:suppressAutoHyphens/>
    </w:pPr>
    <w:rPr>
      <w:rFonts w:ascii="Calibri" w:eastAsia="SimSun" w:hAnsi="Calibri" w:cs="Calibri"/>
    </w:rPr>
  </w:style>
  <w:style w:type="character" w:customStyle="1" w:styleId="LienInternet">
    <w:name w:val="Lien Internet"/>
    <w:basedOn w:val="DefaultParagraphFont"/>
    <w:rsid w:val="00A500F2"/>
    <w:rPr>
      <w:color w:val="0000FF"/>
      <w:u w:val="single"/>
      <w:lang w:val="fr-FR" w:eastAsia="fr-FR" w:bidi="fr-FR"/>
    </w:rPr>
  </w:style>
  <w:style w:type="character" w:styleId="FootnoteReference">
    <w:name w:val="footnote reference"/>
    <w:basedOn w:val="DefaultParagraphFont"/>
    <w:rsid w:val="00A500F2"/>
    <w:rPr>
      <w:vertAlign w:val="superscript"/>
    </w:rPr>
  </w:style>
  <w:style w:type="character" w:customStyle="1" w:styleId="Appeldenote">
    <w:name w:val="Appel de note"/>
    <w:rsid w:val="00A500F2"/>
    <w:rPr>
      <w:vertAlign w:val="superscript"/>
    </w:rPr>
  </w:style>
  <w:style w:type="paragraph" w:styleId="FootnoteText">
    <w:name w:val="footnote text"/>
    <w:basedOn w:val="Standard"/>
    <w:link w:val="FootnoteTextChar"/>
    <w:rsid w:val="00A500F2"/>
    <w:pPr>
      <w:spacing w:after="0" w:line="100" w:lineRule="atLeast"/>
    </w:pPr>
    <w:rPr>
      <w:sz w:val="20"/>
      <w:szCs w:val="20"/>
    </w:rPr>
  </w:style>
  <w:style w:type="character" w:customStyle="1" w:styleId="FootnoteTextChar">
    <w:name w:val="Footnote Text Char"/>
    <w:basedOn w:val="DefaultParagraphFont"/>
    <w:link w:val="FootnoteText"/>
    <w:rsid w:val="00A500F2"/>
    <w:rPr>
      <w:rFonts w:ascii="Calibri" w:eastAsia="SimSun" w:hAnsi="Calibri" w:cs="Calibri"/>
      <w:sz w:val="20"/>
      <w:szCs w:val="20"/>
    </w:rPr>
  </w:style>
  <w:style w:type="paragraph" w:styleId="EndnoteText">
    <w:name w:val="endnote text"/>
    <w:basedOn w:val="Normal"/>
    <w:link w:val="EndnoteTextChar"/>
    <w:uiPriority w:val="99"/>
    <w:semiHidden/>
    <w:unhideWhenUsed/>
    <w:rsid w:val="005D51F9"/>
    <w:pPr>
      <w:spacing w:before="0" w:after="0"/>
    </w:pPr>
    <w:rPr>
      <w:sz w:val="20"/>
    </w:rPr>
  </w:style>
  <w:style w:type="character" w:customStyle="1" w:styleId="EndnoteTextChar">
    <w:name w:val="Endnote Text Char"/>
    <w:basedOn w:val="DefaultParagraphFont"/>
    <w:link w:val="EndnoteText"/>
    <w:uiPriority w:val="99"/>
    <w:semiHidden/>
    <w:rsid w:val="005D51F9"/>
    <w:rPr>
      <w:rFonts w:ascii="Arial" w:eastAsia="Times New Roman" w:hAnsi="Arial" w:cs="Times New Roman"/>
      <w:sz w:val="20"/>
      <w:szCs w:val="20"/>
      <w:lang w:val="en-GB" w:eastAsia="fr-BE"/>
    </w:rPr>
  </w:style>
  <w:style w:type="character" w:styleId="EndnoteReference">
    <w:name w:val="endnote reference"/>
    <w:basedOn w:val="DefaultParagraphFont"/>
    <w:uiPriority w:val="99"/>
    <w:semiHidden/>
    <w:unhideWhenUsed/>
    <w:rsid w:val="005D51F9"/>
    <w:rPr>
      <w:vertAlign w:val="superscript"/>
    </w:rPr>
  </w:style>
  <w:style w:type="paragraph" w:styleId="Header">
    <w:name w:val="header"/>
    <w:basedOn w:val="Normal"/>
    <w:link w:val="HeaderChar"/>
    <w:uiPriority w:val="99"/>
    <w:unhideWhenUsed/>
    <w:rsid w:val="00E04D80"/>
    <w:pPr>
      <w:tabs>
        <w:tab w:val="center" w:pos="4680"/>
        <w:tab w:val="right" w:pos="9360"/>
      </w:tabs>
      <w:spacing w:before="0" w:after="0"/>
    </w:pPr>
  </w:style>
  <w:style w:type="character" w:customStyle="1" w:styleId="HeaderChar">
    <w:name w:val="Header Char"/>
    <w:basedOn w:val="DefaultParagraphFont"/>
    <w:link w:val="Header"/>
    <w:uiPriority w:val="99"/>
    <w:rsid w:val="00E04D80"/>
    <w:rPr>
      <w:rFonts w:ascii="Arial" w:eastAsia="Times New Roman" w:hAnsi="Arial" w:cs="Times New Roman"/>
      <w:szCs w:val="20"/>
      <w:lang w:val="en-GB" w:eastAsia="fr-BE"/>
    </w:rPr>
  </w:style>
  <w:style w:type="paragraph" w:styleId="Footer">
    <w:name w:val="footer"/>
    <w:basedOn w:val="Normal"/>
    <w:link w:val="FooterChar"/>
    <w:uiPriority w:val="99"/>
    <w:unhideWhenUsed/>
    <w:rsid w:val="00E04D80"/>
    <w:pPr>
      <w:tabs>
        <w:tab w:val="center" w:pos="4680"/>
        <w:tab w:val="right" w:pos="9360"/>
      </w:tabs>
      <w:spacing w:before="0" w:after="0"/>
    </w:pPr>
  </w:style>
  <w:style w:type="character" w:customStyle="1" w:styleId="FooterChar">
    <w:name w:val="Footer Char"/>
    <w:basedOn w:val="DefaultParagraphFont"/>
    <w:link w:val="Footer"/>
    <w:uiPriority w:val="99"/>
    <w:rsid w:val="00E04D80"/>
    <w:rPr>
      <w:rFonts w:ascii="Arial" w:eastAsia="Times New Roman" w:hAnsi="Arial" w:cs="Times New Roman"/>
      <w:szCs w:val="20"/>
      <w:lang w:val="en-GB" w:eastAsia="fr-BE"/>
    </w:rPr>
  </w:style>
  <w:style w:type="paragraph" w:customStyle="1" w:styleId="Default">
    <w:name w:val="Default"/>
    <w:rsid w:val="00EB55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1B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F3"/>
    <w:rPr>
      <w:rFonts w:ascii="Tahoma" w:eastAsia="Times New Roman" w:hAnsi="Tahoma" w:cs="Tahoma"/>
      <w:sz w:val="16"/>
      <w:szCs w:val="16"/>
      <w:lang w:val="en-GB" w:eastAsia="fr-BE"/>
    </w:rPr>
  </w:style>
  <w:style w:type="table" w:styleId="TableGrid">
    <w:name w:val="Table Grid"/>
    <w:basedOn w:val="TableNormal"/>
    <w:uiPriority w:val="59"/>
    <w:rsid w:val="0011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068">
      <w:bodyDiv w:val="1"/>
      <w:marLeft w:val="0"/>
      <w:marRight w:val="0"/>
      <w:marTop w:val="0"/>
      <w:marBottom w:val="0"/>
      <w:divBdr>
        <w:top w:val="none" w:sz="0" w:space="0" w:color="auto"/>
        <w:left w:val="none" w:sz="0" w:space="0" w:color="auto"/>
        <w:bottom w:val="none" w:sz="0" w:space="0" w:color="auto"/>
        <w:right w:val="none" w:sz="0" w:space="0" w:color="auto"/>
      </w:divBdr>
    </w:div>
    <w:div w:id="194780803">
      <w:bodyDiv w:val="1"/>
      <w:marLeft w:val="0"/>
      <w:marRight w:val="0"/>
      <w:marTop w:val="0"/>
      <w:marBottom w:val="0"/>
      <w:divBdr>
        <w:top w:val="none" w:sz="0" w:space="0" w:color="auto"/>
        <w:left w:val="none" w:sz="0" w:space="0" w:color="auto"/>
        <w:bottom w:val="none" w:sz="0" w:space="0" w:color="auto"/>
        <w:right w:val="none" w:sz="0" w:space="0" w:color="auto"/>
      </w:divBdr>
    </w:div>
    <w:div w:id="205068962">
      <w:bodyDiv w:val="1"/>
      <w:marLeft w:val="0"/>
      <w:marRight w:val="0"/>
      <w:marTop w:val="0"/>
      <w:marBottom w:val="0"/>
      <w:divBdr>
        <w:top w:val="none" w:sz="0" w:space="0" w:color="auto"/>
        <w:left w:val="none" w:sz="0" w:space="0" w:color="auto"/>
        <w:bottom w:val="none" w:sz="0" w:space="0" w:color="auto"/>
        <w:right w:val="none" w:sz="0" w:space="0" w:color="auto"/>
      </w:divBdr>
      <w:divsChild>
        <w:div w:id="319576708">
          <w:marLeft w:val="1166"/>
          <w:marRight w:val="0"/>
          <w:marTop w:val="125"/>
          <w:marBottom w:val="0"/>
          <w:divBdr>
            <w:top w:val="none" w:sz="0" w:space="0" w:color="auto"/>
            <w:left w:val="none" w:sz="0" w:space="0" w:color="auto"/>
            <w:bottom w:val="none" w:sz="0" w:space="0" w:color="auto"/>
            <w:right w:val="none" w:sz="0" w:space="0" w:color="auto"/>
          </w:divBdr>
        </w:div>
      </w:divsChild>
    </w:div>
    <w:div w:id="221140766">
      <w:bodyDiv w:val="1"/>
      <w:marLeft w:val="0"/>
      <w:marRight w:val="0"/>
      <w:marTop w:val="0"/>
      <w:marBottom w:val="0"/>
      <w:divBdr>
        <w:top w:val="none" w:sz="0" w:space="0" w:color="auto"/>
        <w:left w:val="none" w:sz="0" w:space="0" w:color="auto"/>
        <w:bottom w:val="none" w:sz="0" w:space="0" w:color="auto"/>
        <w:right w:val="none" w:sz="0" w:space="0" w:color="auto"/>
      </w:divBdr>
      <w:divsChild>
        <w:div w:id="1473060231">
          <w:marLeft w:val="720"/>
          <w:marRight w:val="0"/>
          <w:marTop w:val="91"/>
          <w:marBottom w:val="0"/>
          <w:divBdr>
            <w:top w:val="none" w:sz="0" w:space="0" w:color="auto"/>
            <w:left w:val="none" w:sz="0" w:space="0" w:color="auto"/>
            <w:bottom w:val="none" w:sz="0" w:space="0" w:color="auto"/>
            <w:right w:val="none" w:sz="0" w:space="0" w:color="auto"/>
          </w:divBdr>
        </w:div>
        <w:div w:id="2043287997">
          <w:marLeft w:val="720"/>
          <w:marRight w:val="0"/>
          <w:marTop w:val="91"/>
          <w:marBottom w:val="0"/>
          <w:divBdr>
            <w:top w:val="none" w:sz="0" w:space="0" w:color="auto"/>
            <w:left w:val="none" w:sz="0" w:space="0" w:color="auto"/>
            <w:bottom w:val="none" w:sz="0" w:space="0" w:color="auto"/>
            <w:right w:val="none" w:sz="0" w:space="0" w:color="auto"/>
          </w:divBdr>
        </w:div>
        <w:div w:id="262609485">
          <w:marLeft w:val="1166"/>
          <w:marRight w:val="0"/>
          <w:marTop w:val="91"/>
          <w:marBottom w:val="0"/>
          <w:divBdr>
            <w:top w:val="none" w:sz="0" w:space="0" w:color="auto"/>
            <w:left w:val="none" w:sz="0" w:space="0" w:color="auto"/>
            <w:bottom w:val="none" w:sz="0" w:space="0" w:color="auto"/>
            <w:right w:val="none" w:sz="0" w:space="0" w:color="auto"/>
          </w:divBdr>
        </w:div>
        <w:div w:id="680592832">
          <w:marLeft w:val="1166"/>
          <w:marRight w:val="0"/>
          <w:marTop w:val="91"/>
          <w:marBottom w:val="0"/>
          <w:divBdr>
            <w:top w:val="none" w:sz="0" w:space="0" w:color="auto"/>
            <w:left w:val="none" w:sz="0" w:space="0" w:color="auto"/>
            <w:bottom w:val="none" w:sz="0" w:space="0" w:color="auto"/>
            <w:right w:val="none" w:sz="0" w:space="0" w:color="auto"/>
          </w:divBdr>
        </w:div>
        <w:div w:id="521743074">
          <w:marLeft w:val="720"/>
          <w:marRight w:val="0"/>
          <w:marTop w:val="91"/>
          <w:marBottom w:val="0"/>
          <w:divBdr>
            <w:top w:val="none" w:sz="0" w:space="0" w:color="auto"/>
            <w:left w:val="none" w:sz="0" w:space="0" w:color="auto"/>
            <w:bottom w:val="none" w:sz="0" w:space="0" w:color="auto"/>
            <w:right w:val="none" w:sz="0" w:space="0" w:color="auto"/>
          </w:divBdr>
        </w:div>
        <w:div w:id="265894643">
          <w:marLeft w:val="720"/>
          <w:marRight w:val="0"/>
          <w:marTop w:val="91"/>
          <w:marBottom w:val="0"/>
          <w:divBdr>
            <w:top w:val="none" w:sz="0" w:space="0" w:color="auto"/>
            <w:left w:val="none" w:sz="0" w:space="0" w:color="auto"/>
            <w:bottom w:val="none" w:sz="0" w:space="0" w:color="auto"/>
            <w:right w:val="none" w:sz="0" w:space="0" w:color="auto"/>
          </w:divBdr>
        </w:div>
        <w:div w:id="726149643">
          <w:marLeft w:val="720"/>
          <w:marRight w:val="0"/>
          <w:marTop w:val="91"/>
          <w:marBottom w:val="0"/>
          <w:divBdr>
            <w:top w:val="none" w:sz="0" w:space="0" w:color="auto"/>
            <w:left w:val="none" w:sz="0" w:space="0" w:color="auto"/>
            <w:bottom w:val="none" w:sz="0" w:space="0" w:color="auto"/>
            <w:right w:val="none" w:sz="0" w:space="0" w:color="auto"/>
          </w:divBdr>
        </w:div>
      </w:divsChild>
    </w:div>
    <w:div w:id="234433846">
      <w:bodyDiv w:val="1"/>
      <w:marLeft w:val="0"/>
      <w:marRight w:val="0"/>
      <w:marTop w:val="0"/>
      <w:marBottom w:val="0"/>
      <w:divBdr>
        <w:top w:val="none" w:sz="0" w:space="0" w:color="auto"/>
        <w:left w:val="none" w:sz="0" w:space="0" w:color="auto"/>
        <w:bottom w:val="none" w:sz="0" w:space="0" w:color="auto"/>
        <w:right w:val="none" w:sz="0" w:space="0" w:color="auto"/>
      </w:divBdr>
    </w:div>
    <w:div w:id="342050554">
      <w:bodyDiv w:val="1"/>
      <w:marLeft w:val="0"/>
      <w:marRight w:val="0"/>
      <w:marTop w:val="0"/>
      <w:marBottom w:val="0"/>
      <w:divBdr>
        <w:top w:val="none" w:sz="0" w:space="0" w:color="auto"/>
        <w:left w:val="none" w:sz="0" w:space="0" w:color="auto"/>
        <w:bottom w:val="none" w:sz="0" w:space="0" w:color="auto"/>
        <w:right w:val="none" w:sz="0" w:space="0" w:color="auto"/>
      </w:divBdr>
      <w:divsChild>
        <w:div w:id="1471482747">
          <w:marLeft w:val="547"/>
          <w:marRight w:val="0"/>
          <w:marTop w:val="154"/>
          <w:marBottom w:val="0"/>
          <w:divBdr>
            <w:top w:val="none" w:sz="0" w:space="0" w:color="auto"/>
            <w:left w:val="none" w:sz="0" w:space="0" w:color="auto"/>
            <w:bottom w:val="none" w:sz="0" w:space="0" w:color="auto"/>
            <w:right w:val="none" w:sz="0" w:space="0" w:color="auto"/>
          </w:divBdr>
        </w:div>
        <w:div w:id="536432010">
          <w:marLeft w:val="547"/>
          <w:marRight w:val="0"/>
          <w:marTop w:val="154"/>
          <w:marBottom w:val="0"/>
          <w:divBdr>
            <w:top w:val="none" w:sz="0" w:space="0" w:color="auto"/>
            <w:left w:val="none" w:sz="0" w:space="0" w:color="auto"/>
            <w:bottom w:val="none" w:sz="0" w:space="0" w:color="auto"/>
            <w:right w:val="none" w:sz="0" w:space="0" w:color="auto"/>
          </w:divBdr>
        </w:div>
        <w:div w:id="1064528170">
          <w:marLeft w:val="547"/>
          <w:marRight w:val="0"/>
          <w:marTop w:val="154"/>
          <w:marBottom w:val="0"/>
          <w:divBdr>
            <w:top w:val="none" w:sz="0" w:space="0" w:color="auto"/>
            <w:left w:val="none" w:sz="0" w:space="0" w:color="auto"/>
            <w:bottom w:val="none" w:sz="0" w:space="0" w:color="auto"/>
            <w:right w:val="none" w:sz="0" w:space="0" w:color="auto"/>
          </w:divBdr>
        </w:div>
      </w:divsChild>
    </w:div>
    <w:div w:id="378163751">
      <w:bodyDiv w:val="1"/>
      <w:marLeft w:val="0"/>
      <w:marRight w:val="0"/>
      <w:marTop w:val="0"/>
      <w:marBottom w:val="0"/>
      <w:divBdr>
        <w:top w:val="none" w:sz="0" w:space="0" w:color="auto"/>
        <w:left w:val="none" w:sz="0" w:space="0" w:color="auto"/>
        <w:bottom w:val="none" w:sz="0" w:space="0" w:color="auto"/>
        <w:right w:val="none" w:sz="0" w:space="0" w:color="auto"/>
      </w:divBdr>
    </w:div>
    <w:div w:id="383139701">
      <w:bodyDiv w:val="1"/>
      <w:marLeft w:val="0"/>
      <w:marRight w:val="0"/>
      <w:marTop w:val="0"/>
      <w:marBottom w:val="0"/>
      <w:divBdr>
        <w:top w:val="none" w:sz="0" w:space="0" w:color="auto"/>
        <w:left w:val="none" w:sz="0" w:space="0" w:color="auto"/>
        <w:bottom w:val="none" w:sz="0" w:space="0" w:color="auto"/>
        <w:right w:val="none" w:sz="0" w:space="0" w:color="auto"/>
      </w:divBdr>
      <w:divsChild>
        <w:div w:id="1467553639">
          <w:marLeft w:val="1166"/>
          <w:marRight w:val="0"/>
          <w:marTop w:val="125"/>
          <w:marBottom w:val="0"/>
          <w:divBdr>
            <w:top w:val="none" w:sz="0" w:space="0" w:color="auto"/>
            <w:left w:val="none" w:sz="0" w:space="0" w:color="auto"/>
            <w:bottom w:val="none" w:sz="0" w:space="0" w:color="auto"/>
            <w:right w:val="none" w:sz="0" w:space="0" w:color="auto"/>
          </w:divBdr>
        </w:div>
        <w:div w:id="1351759486">
          <w:marLeft w:val="1166"/>
          <w:marRight w:val="0"/>
          <w:marTop w:val="125"/>
          <w:marBottom w:val="0"/>
          <w:divBdr>
            <w:top w:val="none" w:sz="0" w:space="0" w:color="auto"/>
            <w:left w:val="none" w:sz="0" w:space="0" w:color="auto"/>
            <w:bottom w:val="none" w:sz="0" w:space="0" w:color="auto"/>
            <w:right w:val="none" w:sz="0" w:space="0" w:color="auto"/>
          </w:divBdr>
        </w:div>
        <w:div w:id="1778521243">
          <w:marLeft w:val="1166"/>
          <w:marRight w:val="0"/>
          <w:marTop w:val="125"/>
          <w:marBottom w:val="0"/>
          <w:divBdr>
            <w:top w:val="none" w:sz="0" w:space="0" w:color="auto"/>
            <w:left w:val="none" w:sz="0" w:space="0" w:color="auto"/>
            <w:bottom w:val="none" w:sz="0" w:space="0" w:color="auto"/>
            <w:right w:val="none" w:sz="0" w:space="0" w:color="auto"/>
          </w:divBdr>
        </w:div>
      </w:divsChild>
    </w:div>
    <w:div w:id="394165616">
      <w:bodyDiv w:val="1"/>
      <w:marLeft w:val="0"/>
      <w:marRight w:val="0"/>
      <w:marTop w:val="0"/>
      <w:marBottom w:val="0"/>
      <w:divBdr>
        <w:top w:val="none" w:sz="0" w:space="0" w:color="auto"/>
        <w:left w:val="none" w:sz="0" w:space="0" w:color="auto"/>
        <w:bottom w:val="none" w:sz="0" w:space="0" w:color="auto"/>
        <w:right w:val="none" w:sz="0" w:space="0" w:color="auto"/>
      </w:divBdr>
    </w:div>
    <w:div w:id="475102075">
      <w:bodyDiv w:val="1"/>
      <w:marLeft w:val="0"/>
      <w:marRight w:val="0"/>
      <w:marTop w:val="0"/>
      <w:marBottom w:val="0"/>
      <w:divBdr>
        <w:top w:val="none" w:sz="0" w:space="0" w:color="auto"/>
        <w:left w:val="none" w:sz="0" w:space="0" w:color="auto"/>
        <w:bottom w:val="none" w:sz="0" w:space="0" w:color="auto"/>
        <w:right w:val="none" w:sz="0" w:space="0" w:color="auto"/>
      </w:divBdr>
    </w:div>
    <w:div w:id="526454783">
      <w:bodyDiv w:val="1"/>
      <w:marLeft w:val="0"/>
      <w:marRight w:val="0"/>
      <w:marTop w:val="0"/>
      <w:marBottom w:val="0"/>
      <w:divBdr>
        <w:top w:val="none" w:sz="0" w:space="0" w:color="auto"/>
        <w:left w:val="none" w:sz="0" w:space="0" w:color="auto"/>
        <w:bottom w:val="none" w:sz="0" w:space="0" w:color="auto"/>
        <w:right w:val="none" w:sz="0" w:space="0" w:color="auto"/>
      </w:divBdr>
    </w:div>
    <w:div w:id="570044915">
      <w:bodyDiv w:val="1"/>
      <w:marLeft w:val="0"/>
      <w:marRight w:val="0"/>
      <w:marTop w:val="0"/>
      <w:marBottom w:val="0"/>
      <w:divBdr>
        <w:top w:val="none" w:sz="0" w:space="0" w:color="auto"/>
        <w:left w:val="none" w:sz="0" w:space="0" w:color="auto"/>
        <w:bottom w:val="none" w:sz="0" w:space="0" w:color="auto"/>
        <w:right w:val="none" w:sz="0" w:space="0" w:color="auto"/>
      </w:divBdr>
    </w:div>
    <w:div w:id="581567121">
      <w:bodyDiv w:val="1"/>
      <w:marLeft w:val="0"/>
      <w:marRight w:val="0"/>
      <w:marTop w:val="0"/>
      <w:marBottom w:val="0"/>
      <w:divBdr>
        <w:top w:val="none" w:sz="0" w:space="0" w:color="auto"/>
        <w:left w:val="none" w:sz="0" w:space="0" w:color="auto"/>
        <w:bottom w:val="none" w:sz="0" w:space="0" w:color="auto"/>
        <w:right w:val="none" w:sz="0" w:space="0" w:color="auto"/>
      </w:divBdr>
    </w:div>
    <w:div w:id="615988957">
      <w:bodyDiv w:val="1"/>
      <w:marLeft w:val="0"/>
      <w:marRight w:val="0"/>
      <w:marTop w:val="0"/>
      <w:marBottom w:val="0"/>
      <w:divBdr>
        <w:top w:val="none" w:sz="0" w:space="0" w:color="auto"/>
        <w:left w:val="none" w:sz="0" w:space="0" w:color="auto"/>
        <w:bottom w:val="none" w:sz="0" w:space="0" w:color="auto"/>
        <w:right w:val="none" w:sz="0" w:space="0" w:color="auto"/>
      </w:divBdr>
    </w:div>
    <w:div w:id="1106730456">
      <w:bodyDiv w:val="1"/>
      <w:marLeft w:val="0"/>
      <w:marRight w:val="0"/>
      <w:marTop w:val="0"/>
      <w:marBottom w:val="0"/>
      <w:divBdr>
        <w:top w:val="none" w:sz="0" w:space="0" w:color="auto"/>
        <w:left w:val="none" w:sz="0" w:space="0" w:color="auto"/>
        <w:bottom w:val="none" w:sz="0" w:space="0" w:color="auto"/>
        <w:right w:val="none" w:sz="0" w:space="0" w:color="auto"/>
      </w:divBdr>
    </w:div>
    <w:div w:id="1144855145">
      <w:bodyDiv w:val="1"/>
      <w:marLeft w:val="0"/>
      <w:marRight w:val="0"/>
      <w:marTop w:val="0"/>
      <w:marBottom w:val="0"/>
      <w:divBdr>
        <w:top w:val="none" w:sz="0" w:space="0" w:color="auto"/>
        <w:left w:val="none" w:sz="0" w:space="0" w:color="auto"/>
        <w:bottom w:val="none" w:sz="0" w:space="0" w:color="auto"/>
        <w:right w:val="none" w:sz="0" w:space="0" w:color="auto"/>
      </w:divBdr>
    </w:div>
    <w:div w:id="1173227302">
      <w:bodyDiv w:val="1"/>
      <w:marLeft w:val="0"/>
      <w:marRight w:val="0"/>
      <w:marTop w:val="0"/>
      <w:marBottom w:val="0"/>
      <w:divBdr>
        <w:top w:val="none" w:sz="0" w:space="0" w:color="auto"/>
        <w:left w:val="none" w:sz="0" w:space="0" w:color="auto"/>
        <w:bottom w:val="none" w:sz="0" w:space="0" w:color="auto"/>
        <w:right w:val="none" w:sz="0" w:space="0" w:color="auto"/>
      </w:divBdr>
      <w:divsChild>
        <w:div w:id="37559456">
          <w:marLeft w:val="547"/>
          <w:marRight w:val="0"/>
          <w:marTop w:val="154"/>
          <w:marBottom w:val="0"/>
          <w:divBdr>
            <w:top w:val="none" w:sz="0" w:space="0" w:color="auto"/>
            <w:left w:val="none" w:sz="0" w:space="0" w:color="auto"/>
            <w:bottom w:val="none" w:sz="0" w:space="0" w:color="auto"/>
            <w:right w:val="none" w:sz="0" w:space="0" w:color="auto"/>
          </w:divBdr>
        </w:div>
        <w:div w:id="1310790032">
          <w:marLeft w:val="547"/>
          <w:marRight w:val="0"/>
          <w:marTop w:val="154"/>
          <w:marBottom w:val="0"/>
          <w:divBdr>
            <w:top w:val="none" w:sz="0" w:space="0" w:color="auto"/>
            <w:left w:val="none" w:sz="0" w:space="0" w:color="auto"/>
            <w:bottom w:val="none" w:sz="0" w:space="0" w:color="auto"/>
            <w:right w:val="none" w:sz="0" w:space="0" w:color="auto"/>
          </w:divBdr>
        </w:div>
      </w:divsChild>
    </w:div>
    <w:div w:id="1191064312">
      <w:bodyDiv w:val="1"/>
      <w:marLeft w:val="0"/>
      <w:marRight w:val="0"/>
      <w:marTop w:val="0"/>
      <w:marBottom w:val="0"/>
      <w:divBdr>
        <w:top w:val="none" w:sz="0" w:space="0" w:color="auto"/>
        <w:left w:val="none" w:sz="0" w:space="0" w:color="auto"/>
        <w:bottom w:val="none" w:sz="0" w:space="0" w:color="auto"/>
        <w:right w:val="none" w:sz="0" w:space="0" w:color="auto"/>
      </w:divBdr>
    </w:div>
    <w:div w:id="1212038336">
      <w:bodyDiv w:val="1"/>
      <w:marLeft w:val="0"/>
      <w:marRight w:val="0"/>
      <w:marTop w:val="0"/>
      <w:marBottom w:val="0"/>
      <w:divBdr>
        <w:top w:val="none" w:sz="0" w:space="0" w:color="auto"/>
        <w:left w:val="none" w:sz="0" w:space="0" w:color="auto"/>
        <w:bottom w:val="none" w:sz="0" w:space="0" w:color="auto"/>
        <w:right w:val="none" w:sz="0" w:space="0" w:color="auto"/>
      </w:divBdr>
      <w:divsChild>
        <w:div w:id="1115171030">
          <w:marLeft w:val="547"/>
          <w:marRight w:val="0"/>
          <w:marTop w:val="154"/>
          <w:marBottom w:val="0"/>
          <w:divBdr>
            <w:top w:val="none" w:sz="0" w:space="0" w:color="auto"/>
            <w:left w:val="none" w:sz="0" w:space="0" w:color="auto"/>
            <w:bottom w:val="none" w:sz="0" w:space="0" w:color="auto"/>
            <w:right w:val="none" w:sz="0" w:space="0" w:color="auto"/>
          </w:divBdr>
        </w:div>
        <w:div w:id="110322166">
          <w:marLeft w:val="547"/>
          <w:marRight w:val="0"/>
          <w:marTop w:val="154"/>
          <w:marBottom w:val="0"/>
          <w:divBdr>
            <w:top w:val="none" w:sz="0" w:space="0" w:color="auto"/>
            <w:left w:val="none" w:sz="0" w:space="0" w:color="auto"/>
            <w:bottom w:val="none" w:sz="0" w:space="0" w:color="auto"/>
            <w:right w:val="none" w:sz="0" w:space="0" w:color="auto"/>
          </w:divBdr>
        </w:div>
      </w:divsChild>
    </w:div>
    <w:div w:id="1232427746">
      <w:bodyDiv w:val="1"/>
      <w:marLeft w:val="0"/>
      <w:marRight w:val="0"/>
      <w:marTop w:val="0"/>
      <w:marBottom w:val="0"/>
      <w:divBdr>
        <w:top w:val="none" w:sz="0" w:space="0" w:color="auto"/>
        <w:left w:val="none" w:sz="0" w:space="0" w:color="auto"/>
        <w:bottom w:val="none" w:sz="0" w:space="0" w:color="auto"/>
        <w:right w:val="none" w:sz="0" w:space="0" w:color="auto"/>
      </w:divBdr>
    </w:div>
    <w:div w:id="1256552565">
      <w:bodyDiv w:val="1"/>
      <w:marLeft w:val="0"/>
      <w:marRight w:val="0"/>
      <w:marTop w:val="0"/>
      <w:marBottom w:val="0"/>
      <w:divBdr>
        <w:top w:val="none" w:sz="0" w:space="0" w:color="auto"/>
        <w:left w:val="none" w:sz="0" w:space="0" w:color="auto"/>
        <w:bottom w:val="none" w:sz="0" w:space="0" w:color="auto"/>
        <w:right w:val="none" w:sz="0" w:space="0" w:color="auto"/>
      </w:divBdr>
    </w:div>
    <w:div w:id="1381248183">
      <w:bodyDiv w:val="1"/>
      <w:marLeft w:val="0"/>
      <w:marRight w:val="0"/>
      <w:marTop w:val="0"/>
      <w:marBottom w:val="0"/>
      <w:divBdr>
        <w:top w:val="none" w:sz="0" w:space="0" w:color="auto"/>
        <w:left w:val="none" w:sz="0" w:space="0" w:color="auto"/>
        <w:bottom w:val="none" w:sz="0" w:space="0" w:color="auto"/>
        <w:right w:val="none" w:sz="0" w:space="0" w:color="auto"/>
      </w:divBdr>
    </w:div>
    <w:div w:id="1387413477">
      <w:bodyDiv w:val="1"/>
      <w:marLeft w:val="0"/>
      <w:marRight w:val="0"/>
      <w:marTop w:val="0"/>
      <w:marBottom w:val="0"/>
      <w:divBdr>
        <w:top w:val="none" w:sz="0" w:space="0" w:color="auto"/>
        <w:left w:val="none" w:sz="0" w:space="0" w:color="auto"/>
        <w:bottom w:val="none" w:sz="0" w:space="0" w:color="auto"/>
        <w:right w:val="none" w:sz="0" w:space="0" w:color="auto"/>
      </w:divBdr>
      <w:divsChild>
        <w:div w:id="1532189496">
          <w:marLeft w:val="806"/>
          <w:marRight w:val="0"/>
          <w:marTop w:val="144"/>
          <w:marBottom w:val="0"/>
          <w:divBdr>
            <w:top w:val="none" w:sz="0" w:space="0" w:color="auto"/>
            <w:left w:val="none" w:sz="0" w:space="0" w:color="auto"/>
            <w:bottom w:val="none" w:sz="0" w:space="0" w:color="auto"/>
            <w:right w:val="none" w:sz="0" w:space="0" w:color="auto"/>
          </w:divBdr>
        </w:div>
        <w:div w:id="2028753710">
          <w:marLeft w:val="806"/>
          <w:marRight w:val="0"/>
          <w:marTop w:val="144"/>
          <w:marBottom w:val="0"/>
          <w:divBdr>
            <w:top w:val="none" w:sz="0" w:space="0" w:color="auto"/>
            <w:left w:val="none" w:sz="0" w:space="0" w:color="auto"/>
            <w:bottom w:val="none" w:sz="0" w:space="0" w:color="auto"/>
            <w:right w:val="none" w:sz="0" w:space="0" w:color="auto"/>
          </w:divBdr>
        </w:div>
        <w:div w:id="1688748772">
          <w:marLeft w:val="806"/>
          <w:marRight w:val="0"/>
          <w:marTop w:val="144"/>
          <w:marBottom w:val="0"/>
          <w:divBdr>
            <w:top w:val="none" w:sz="0" w:space="0" w:color="auto"/>
            <w:left w:val="none" w:sz="0" w:space="0" w:color="auto"/>
            <w:bottom w:val="none" w:sz="0" w:space="0" w:color="auto"/>
            <w:right w:val="none" w:sz="0" w:space="0" w:color="auto"/>
          </w:divBdr>
        </w:div>
        <w:div w:id="608395159">
          <w:marLeft w:val="806"/>
          <w:marRight w:val="0"/>
          <w:marTop w:val="144"/>
          <w:marBottom w:val="0"/>
          <w:divBdr>
            <w:top w:val="none" w:sz="0" w:space="0" w:color="auto"/>
            <w:left w:val="none" w:sz="0" w:space="0" w:color="auto"/>
            <w:bottom w:val="none" w:sz="0" w:space="0" w:color="auto"/>
            <w:right w:val="none" w:sz="0" w:space="0" w:color="auto"/>
          </w:divBdr>
        </w:div>
        <w:div w:id="462621345">
          <w:marLeft w:val="1800"/>
          <w:marRight w:val="0"/>
          <w:marTop w:val="106"/>
          <w:marBottom w:val="0"/>
          <w:divBdr>
            <w:top w:val="none" w:sz="0" w:space="0" w:color="auto"/>
            <w:left w:val="none" w:sz="0" w:space="0" w:color="auto"/>
            <w:bottom w:val="none" w:sz="0" w:space="0" w:color="auto"/>
            <w:right w:val="none" w:sz="0" w:space="0" w:color="auto"/>
          </w:divBdr>
        </w:div>
        <w:div w:id="794253551">
          <w:marLeft w:val="1800"/>
          <w:marRight w:val="0"/>
          <w:marTop w:val="106"/>
          <w:marBottom w:val="0"/>
          <w:divBdr>
            <w:top w:val="none" w:sz="0" w:space="0" w:color="auto"/>
            <w:left w:val="none" w:sz="0" w:space="0" w:color="auto"/>
            <w:bottom w:val="none" w:sz="0" w:space="0" w:color="auto"/>
            <w:right w:val="none" w:sz="0" w:space="0" w:color="auto"/>
          </w:divBdr>
        </w:div>
        <w:div w:id="521169286">
          <w:marLeft w:val="1800"/>
          <w:marRight w:val="0"/>
          <w:marTop w:val="106"/>
          <w:marBottom w:val="0"/>
          <w:divBdr>
            <w:top w:val="none" w:sz="0" w:space="0" w:color="auto"/>
            <w:left w:val="none" w:sz="0" w:space="0" w:color="auto"/>
            <w:bottom w:val="none" w:sz="0" w:space="0" w:color="auto"/>
            <w:right w:val="none" w:sz="0" w:space="0" w:color="auto"/>
          </w:divBdr>
        </w:div>
        <w:div w:id="2011713361">
          <w:marLeft w:val="1800"/>
          <w:marRight w:val="0"/>
          <w:marTop w:val="106"/>
          <w:marBottom w:val="0"/>
          <w:divBdr>
            <w:top w:val="none" w:sz="0" w:space="0" w:color="auto"/>
            <w:left w:val="none" w:sz="0" w:space="0" w:color="auto"/>
            <w:bottom w:val="none" w:sz="0" w:space="0" w:color="auto"/>
            <w:right w:val="none" w:sz="0" w:space="0" w:color="auto"/>
          </w:divBdr>
        </w:div>
        <w:div w:id="1361516908">
          <w:marLeft w:val="907"/>
          <w:marRight w:val="0"/>
          <w:marTop w:val="144"/>
          <w:marBottom w:val="0"/>
          <w:divBdr>
            <w:top w:val="none" w:sz="0" w:space="0" w:color="auto"/>
            <w:left w:val="none" w:sz="0" w:space="0" w:color="auto"/>
            <w:bottom w:val="none" w:sz="0" w:space="0" w:color="auto"/>
            <w:right w:val="none" w:sz="0" w:space="0" w:color="auto"/>
          </w:divBdr>
        </w:div>
      </w:divsChild>
    </w:div>
    <w:div w:id="1400444830">
      <w:bodyDiv w:val="1"/>
      <w:marLeft w:val="0"/>
      <w:marRight w:val="0"/>
      <w:marTop w:val="0"/>
      <w:marBottom w:val="0"/>
      <w:divBdr>
        <w:top w:val="none" w:sz="0" w:space="0" w:color="auto"/>
        <w:left w:val="none" w:sz="0" w:space="0" w:color="auto"/>
        <w:bottom w:val="none" w:sz="0" w:space="0" w:color="auto"/>
        <w:right w:val="none" w:sz="0" w:space="0" w:color="auto"/>
      </w:divBdr>
    </w:div>
    <w:div w:id="1417047617">
      <w:bodyDiv w:val="1"/>
      <w:marLeft w:val="0"/>
      <w:marRight w:val="0"/>
      <w:marTop w:val="0"/>
      <w:marBottom w:val="0"/>
      <w:divBdr>
        <w:top w:val="none" w:sz="0" w:space="0" w:color="auto"/>
        <w:left w:val="none" w:sz="0" w:space="0" w:color="auto"/>
        <w:bottom w:val="none" w:sz="0" w:space="0" w:color="auto"/>
        <w:right w:val="none" w:sz="0" w:space="0" w:color="auto"/>
      </w:divBdr>
    </w:div>
    <w:div w:id="1431971359">
      <w:bodyDiv w:val="1"/>
      <w:marLeft w:val="0"/>
      <w:marRight w:val="0"/>
      <w:marTop w:val="0"/>
      <w:marBottom w:val="0"/>
      <w:divBdr>
        <w:top w:val="none" w:sz="0" w:space="0" w:color="auto"/>
        <w:left w:val="none" w:sz="0" w:space="0" w:color="auto"/>
        <w:bottom w:val="none" w:sz="0" w:space="0" w:color="auto"/>
        <w:right w:val="none" w:sz="0" w:space="0" w:color="auto"/>
      </w:divBdr>
    </w:div>
    <w:div w:id="1485506449">
      <w:bodyDiv w:val="1"/>
      <w:marLeft w:val="0"/>
      <w:marRight w:val="0"/>
      <w:marTop w:val="0"/>
      <w:marBottom w:val="0"/>
      <w:divBdr>
        <w:top w:val="none" w:sz="0" w:space="0" w:color="auto"/>
        <w:left w:val="none" w:sz="0" w:space="0" w:color="auto"/>
        <w:bottom w:val="none" w:sz="0" w:space="0" w:color="auto"/>
        <w:right w:val="none" w:sz="0" w:space="0" w:color="auto"/>
      </w:divBdr>
      <w:divsChild>
        <w:div w:id="1071806077">
          <w:marLeft w:val="547"/>
          <w:marRight w:val="0"/>
          <w:marTop w:val="130"/>
          <w:marBottom w:val="0"/>
          <w:divBdr>
            <w:top w:val="none" w:sz="0" w:space="0" w:color="auto"/>
            <w:left w:val="none" w:sz="0" w:space="0" w:color="auto"/>
            <w:bottom w:val="none" w:sz="0" w:space="0" w:color="auto"/>
            <w:right w:val="none" w:sz="0" w:space="0" w:color="auto"/>
          </w:divBdr>
        </w:div>
        <w:div w:id="1239944556">
          <w:marLeft w:val="547"/>
          <w:marRight w:val="0"/>
          <w:marTop w:val="130"/>
          <w:marBottom w:val="0"/>
          <w:divBdr>
            <w:top w:val="none" w:sz="0" w:space="0" w:color="auto"/>
            <w:left w:val="none" w:sz="0" w:space="0" w:color="auto"/>
            <w:bottom w:val="none" w:sz="0" w:space="0" w:color="auto"/>
            <w:right w:val="none" w:sz="0" w:space="0" w:color="auto"/>
          </w:divBdr>
        </w:div>
        <w:div w:id="1380664603">
          <w:marLeft w:val="547"/>
          <w:marRight w:val="0"/>
          <w:marTop w:val="130"/>
          <w:marBottom w:val="0"/>
          <w:divBdr>
            <w:top w:val="none" w:sz="0" w:space="0" w:color="auto"/>
            <w:left w:val="none" w:sz="0" w:space="0" w:color="auto"/>
            <w:bottom w:val="none" w:sz="0" w:space="0" w:color="auto"/>
            <w:right w:val="none" w:sz="0" w:space="0" w:color="auto"/>
          </w:divBdr>
        </w:div>
        <w:div w:id="1930776310">
          <w:marLeft w:val="547"/>
          <w:marRight w:val="0"/>
          <w:marTop w:val="130"/>
          <w:marBottom w:val="0"/>
          <w:divBdr>
            <w:top w:val="none" w:sz="0" w:space="0" w:color="auto"/>
            <w:left w:val="none" w:sz="0" w:space="0" w:color="auto"/>
            <w:bottom w:val="none" w:sz="0" w:space="0" w:color="auto"/>
            <w:right w:val="none" w:sz="0" w:space="0" w:color="auto"/>
          </w:divBdr>
        </w:div>
        <w:div w:id="928080652">
          <w:marLeft w:val="547"/>
          <w:marRight w:val="0"/>
          <w:marTop w:val="130"/>
          <w:marBottom w:val="0"/>
          <w:divBdr>
            <w:top w:val="none" w:sz="0" w:space="0" w:color="auto"/>
            <w:left w:val="none" w:sz="0" w:space="0" w:color="auto"/>
            <w:bottom w:val="none" w:sz="0" w:space="0" w:color="auto"/>
            <w:right w:val="none" w:sz="0" w:space="0" w:color="auto"/>
          </w:divBdr>
        </w:div>
      </w:divsChild>
    </w:div>
    <w:div w:id="1573849529">
      <w:bodyDiv w:val="1"/>
      <w:marLeft w:val="0"/>
      <w:marRight w:val="0"/>
      <w:marTop w:val="0"/>
      <w:marBottom w:val="0"/>
      <w:divBdr>
        <w:top w:val="none" w:sz="0" w:space="0" w:color="auto"/>
        <w:left w:val="none" w:sz="0" w:space="0" w:color="auto"/>
        <w:bottom w:val="none" w:sz="0" w:space="0" w:color="auto"/>
        <w:right w:val="none" w:sz="0" w:space="0" w:color="auto"/>
      </w:divBdr>
    </w:div>
    <w:div w:id="1576621354">
      <w:bodyDiv w:val="1"/>
      <w:marLeft w:val="0"/>
      <w:marRight w:val="0"/>
      <w:marTop w:val="0"/>
      <w:marBottom w:val="0"/>
      <w:divBdr>
        <w:top w:val="none" w:sz="0" w:space="0" w:color="auto"/>
        <w:left w:val="none" w:sz="0" w:space="0" w:color="auto"/>
        <w:bottom w:val="none" w:sz="0" w:space="0" w:color="auto"/>
        <w:right w:val="none" w:sz="0" w:space="0" w:color="auto"/>
      </w:divBdr>
    </w:div>
    <w:div w:id="1605768476">
      <w:bodyDiv w:val="1"/>
      <w:marLeft w:val="0"/>
      <w:marRight w:val="0"/>
      <w:marTop w:val="0"/>
      <w:marBottom w:val="0"/>
      <w:divBdr>
        <w:top w:val="none" w:sz="0" w:space="0" w:color="auto"/>
        <w:left w:val="none" w:sz="0" w:space="0" w:color="auto"/>
        <w:bottom w:val="none" w:sz="0" w:space="0" w:color="auto"/>
        <w:right w:val="none" w:sz="0" w:space="0" w:color="auto"/>
      </w:divBdr>
    </w:div>
    <w:div w:id="1646809669">
      <w:bodyDiv w:val="1"/>
      <w:marLeft w:val="0"/>
      <w:marRight w:val="0"/>
      <w:marTop w:val="0"/>
      <w:marBottom w:val="0"/>
      <w:divBdr>
        <w:top w:val="none" w:sz="0" w:space="0" w:color="auto"/>
        <w:left w:val="none" w:sz="0" w:space="0" w:color="auto"/>
        <w:bottom w:val="none" w:sz="0" w:space="0" w:color="auto"/>
        <w:right w:val="none" w:sz="0" w:space="0" w:color="auto"/>
      </w:divBdr>
    </w:div>
    <w:div w:id="1878274192">
      <w:bodyDiv w:val="1"/>
      <w:marLeft w:val="0"/>
      <w:marRight w:val="0"/>
      <w:marTop w:val="0"/>
      <w:marBottom w:val="0"/>
      <w:divBdr>
        <w:top w:val="none" w:sz="0" w:space="0" w:color="auto"/>
        <w:left w:val="none" w:sz="0" w:space="0" w:color="auto"/>
        <w:bottom w:val="none" w:sz="0" w:space="0" w:color="auto"/>
        <w:right w:val="none" w:sz="0" w:space="0" w:color="auto"/>
      </w:divBdr>
    </w:div>
    <w:div w:id="1902904702">
      <w:bodyDiv w:val="1"/>
      <w:marLeft w:val="0"/>
      <w:marRight w:val="0"/>
      <w:marTop w:val="0"/>
      <w:marBottom w:val="0"/>
      <w:divBdr>
        <w:top w:val="none" w:sz="0" w:space="0" w:color="auto"/>
        <w:left w:val="none" w:sz="0" w:space="0" w:color="auto"/>
        <w:bottom w:val="none" w:sz="0" w:space="0" w:color="auto"/>
        <w:right w:val="none" w:sz="0" w:space="0" w:color="auto"/>
      </w:divBdr>
    </w:div>
    <w:div w:id="196858684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6">
          <w:marLeft w:val="806"/>
          <w:marRight w:val="0"/>
          <w:marTop w:val="230"/>
          <w:marBottom w:val="0"/>
          <w:divBdr>
            <w:top w:val="none" w:sz="0" w:space="0" w:color="auto"/>
            <w:left w:val="none" w:sz="0" w:space="0" w:color="auto"/>
            <w:bottom w:val="none" w:sz="0" w:space="0" w:color="auto"/>
            <w:right w:val="none" w:sz="0" w:space="0" w:color="auto"/>
          </w:divBdr>
        </w:div>
        <w:div w:id="293370307">
          <w:marLeft w:val="806"/>
          <w:marRight w:val="0"/>
          <w:marTop w:val="230"/>
          <w:marBottom w:val="0"/>
          <w:divBdr>
            <w:top w:val="none" w:sz="0" w:space="0" w:color="auto"/>
            <w:left w:val="none" w:sz="0" w:space="0" w:color="auto"/>
            <w:bottom w:val="none" w:sz="0" w:space="0" w:color="auto"/>
            <w:right w:val="none" w:sz="0" w:space="0" w:color="auto"/>
          </w:divBdr>
        </w:div>
        <w:div w:id="2143569064">
          <w:marLeft w:val="806"/>
          <w:marRight w:val="0"/>
          <w:marTop w:val="230"/>
          <w:marBottom w:val="0"/>
          <w:divBdr>
            <w:top w:val="none" w:sz="0" w:space="0" w:color="auto"/>
            <w:left w:val="none" w:sz="0" w:space="0" w:color="auto"/>
            <w:bottom w:val="none" w:sz="0" w:space="0" w:color="auto"/>
            <w:right w:val="none" w:sz="0" w:space="0" w:color="auto"/>
          </w:divBdr>
        </w:div>
        <w:div w:id="1225263905">
          <w:marLeft w:val="806"/>
          <w:marRight w:val="0"/>
          <w:marTop w:val="230"/>
          <w:marBottom w:val="0"/>
          <w:divBdr>
            <w:top w:val="none" w:sz="0" w:space="0" w:color="auto"/>
            <w:left w:val="none" w:sz="0" w:space="0" w:color="auto"/>
            <w:bottom w:val="none" w:sz="0" w:space="0" w:color="auto"/>
            <w:right w:val="none" w:sz="0" w:space="0" w:color="auto"/>
          </w:divBdr>
        </w:div>
      </w:divsChild>
    </w:div>
    <w:div w:id="2043359571">
      <w:bodyDiv w:val="1"/>
      <w:marLeft w:val="0"/>
      <w:marRight w:val="0"/>
      <w:marTop w:val="0"/>
      <w:marBottom w:val="0"/>
      <w:divBdr>
        <w:top w:val="none" w:sz="0" w:space="0" w:color="auto"/>
        <w:left w:val="none" w:sz="0" w:space="0" w:color="auto"/>
        <w:bottom w:val="none" w:sz="0" w:space="0" w:color="auto"/>
        <w:right w:val="none" w:sz="0" w:space="0" w:color="auto"/>
      </w:divBdr>
    </w:div>
    <w:div w:id="2055109840">
      <w:bodyDiv w:val="1"/>
      <w:marLeft w:val="0"/>
      <w:marRight w:val="0"/>
      <w:marTop w:val="0"/>
      <w:marBottom w:val="0"/>
      <w:divBdr>
        <w:top w:val="none" w:sz="0" w:space="0" w:color="auto"/>
        <w:left w:val="none" w:sz="0" w:space="0" w:color="auto"/>
        <w:bottom w:val="none" w:sz="0" w:space="0" w:color="auto"/>
        <w:right w:val="none" w:sz="0" w:space="0" w:color="auto"/>
      </w:divBdr>
    </w:div>
    <w:div w:id="21115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register.consilium.europa.eu/pdf/en/13/st09/st09390.en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D25D-965E-4191-B05C-A467C0A3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5190</Words>
  <Characters>28547</Characters>
  <Application>Microsoft Office Word</Application>
  <DocSecurity>0</DocSecurity>
  <Lines>237</Lines>
  <Paragraphs>67</Paragraphs>
  <ScaleCrop>false</ScaleCrop>
  <HeadingPairs>
    <vt:vector size="6" baseType="variant">
      <vt:variant>
        <vt:lpstr>Title</vt:lpstr>
      </vt:variant>
      <vt:variant>
        <vt:i4>1</vt:i4>
      </vt:variant>
      <vt:variant>
        <vt:lpstr>Titre</vt:lpstr>
      </vt:variant>
      <vt:variant>
        <vt:i4>1</vt:i4>
      </vt:variant>
      <vt:variant>
        <vt:lpstr>Otsikko</vt:lpstr>
      </vt:variant>
      <vt:variant>
        <vt:i4>1</vt:i4>
      </vt:variant>
    </vt:vector>
  </HeadingPairs>
  <TitlesOfParts>
    <vt:vector size="3" baseType="lpstr">
      <vt:lpstr/>
      <vt:lpstr/>
      <vt:lpstr/>
    </vt:vector>
  </TitlesOfParts>
  <Company>Opetushallitus</Company>
  <LinksUpToDate>false</LinksUpToDate>
  <CharactersWithSpaces>33670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2</cp:revision>
  <cp:lastPrinted>2013-08-30T12:24:00Z</cp:lastPrinted>
  <dcterms:created xsi:type="dcterms:W3CDTF">2013-10-01T14:36:00Z</dcterms:created>
  <dcterms:modified xsi:type="dcterms:W3CDTF">2013-10-01T14:36:00Z</dcterms:modified>
</cp:coreProperties>
</file>