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tblGrid>
      <w:tr w:rsidR="00D22559" w:rsidRPr="0007092C" w14:paraId="02EF5B4C" w14:textId="77777777">
        <w:trPr>
          <w:trHeight w:val="1440"/>
        </w:trPr>
        <w:tc>
          <w:tcPr>
            <w:tcW w:w="5103" w:type="dxa"/>
            <w:tcBorders>
              <w:top w:val="nil"/>
              <w:left w:val="nil"/>
              <w:bottom w:val="nil"/>
              <w:right w:val="nil"/>
            </w:tcBorders>
          </w:tcPr>
          <w:p w14:paraId="5863ACF7" w14:textId="77777777" w:rsidR="00D22559" w:rsidRPr="0007092C" w:rsidRDefault="004C16AD" w:rsidP="00124EFF">
            <w:pPr>
              <w:rPr>
                <w:rFonts w:ascii="Arial" w:hAnsi="Arial" w:cs="Arial"/>
                <w:noProof w:val="0"/>
                <w:lang w:val="en-GB"/>
              </w:rPr>
            </w:pPr>
            <w:r>
              <w:rPr>
                <w:rFonts w:ascii="Arial" w:hAnsi="Arial" w:cs="Arial"/>
                <w:noProof w:val="0"/>
                <w:lang w:val="en-GB"/>
              </w:rPr>
              <w:t xml:space="preserve"> </w:t>
            </w:r>
            <w:r w:rsidR="004905C1">
              <w:rPr>
                <w:rFonts w:ascii="Arial" w:hAnsi="Arial" w:cs="Arial"/>
                <w:lang w:val="en-US" w:eastAsia="en-US"/>
              </w:rPr>
              <w:drawing>
                <wp:inline distT="0" distB="0" distL="0" distR="0" wp14:anchorId="59BCB947" wp14:editId="381CCFB4">
                  <wp:extent cx="2374900" cy="1030605"/>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0" cy="1030605"/>
                          </a:xfrm>
                          <a:prstGeom prst="rect">
                            <a:avLst/>
                          </a:prstGeom>
                          <a:noFill/>
                          <a:ln>
                            <a:noFill/>
                          </a:ln>
                        </pic:spPr>
                      </pic:pic>
                    </a:graphicData>
                  </a:graphic>
                </wp:inline>
              </w:drawing>
            </w:r>
          </w:p>
        </w:tc>
      </w:tr>
    </w:tbl>
    <w:p w14:paraId="338E24BD" w14:textId="155CAE74" w:rsidR="00370C88" w:rsidRPr="00565B8B" w:rsidRDefault="00D22559" w:rsidP="00370C88">
      <w:pPr>
        <w:pStyle w:val="References"/>
        <w:rPr>
          <w:sz w:val="24"/>
          <w:szCs w:val="24"/>
          <w:lang w:val="en-GB"/>
        </w:rPr>
      </w:pPr>
      <w:r w:rsidRPr="00565B8B">
        <w:rPr>
          <w:sz w:val="24"/>
          <w:szCs w:val="24"/>
          <w:lang w:val="en-GB"/>
        </w:rPr>
        <w:t xml:space="preserve">Ref.: </w:t>
      </w:r>
      <w:r w:rsidR="008545D0" w:rsidRPr="008E15ED">
        <w:rPr>
          <w:sz w:val="24"/>
          <w:szCs w:val="24"/>
          <w:lang w:val="en-GB"/>
        </w:rPr>
        <w:t>2020</w:t>
      </w:r>
      <w:r w:rsidR="009312E6" w:rsidRPr="008E15ED">
        <w:rPr>
          <w:sz w:val="24"/>
          <w:szCs w:val="24"/>
          <w:lang w:val="en-GB"/>
        </w:rPr>
        <w:t>-</w:t>
      </w:r>
      <w:r w:rsidR="006653E0">
        <w:rPr>
          <w:sz w:val="24"/>
          <w:szCs w:val="24"/>
          <w:lang w:val="en-GB"/>
        </w:rPr>
        <w:t>03</w:t>
      </w:r>
      <w:r w:rsidR="009312E6" w:rsidRPr="008E15ED">
        <w:rPr>
          <w:sz w:val="24"/>
          <w:szCs w:val="24"/>
          <w:lang w:val="en-GB"/>
        </w:rPr>
        <w:t>-D-</w:t>
      </w:r>
      <w:r w:rsidR="00FC2280">
        <w:rPr>
          <w:sz w:val="24"/>
          <w:szCs w:val="24"/>
          <w:lang w:val="en-GB"/>
        </w:rPr>
        <w:t>43</w:t>
      </w:r>
      <w:r w:rsidR="002A451F" w:rsidRPr="008E15ED">
        <w:rPr>
          <w:sz w:val="24"/>
          <w:szCs w:val="24"/>
          <w:lang w:val="en-GB"/>
        </w:rPr>
        <w:t>-en-</w:t>
      </w:r>
      <w:r w:rsidR="006653E0">
        <w:rPr>
          <w:sz w:val="24"/>
          <w:szCs w:val="24"/>
          <w:lang w:val="en-GB"/>
        </w:rPr>
        <w:t>1</w:t>
      </w:r>
    </w:p>
    <w:p w14:paraId="6F242DFE" w14:textId="77777777" w:rsidR="00370C88" w:rsidRDefault="00565B8B" w:rsidP="00370C88">
      <w:pPr>
        <w:pStyle w:val="References"/>
        <w:rPr>
          <w:lang w:val="en-GB"/>
        </w:rPr>
      </w:pPr>
      <w:r>
        <w:rPr>
          <w:lang w:val="en-GB"/>
        </w:rPr>
        <w:t xml:space="preserve">Orig.: </w:t>
      </w:r>
      <w:r w:rsidR="009312E6">
        <w:rPr>
          <w:lang w:val="en-GB"/>
        </w:rPr>
        <w:t>EN</w:t>
      </w:r>
    </w:p>
    <w:p w14:paraId="5A05571E" w14:textId="77777777" w:rsidR="00370C88" w:rsidRDefault="00370C88" w:rsidP="00370C88">
      <w:pPr>
        <w:pStyle w:val="References"/>
        <w:rPr>
          <w:lang w:val="en-GB"/>
        </w:rPr>
      </w:pPr>
    </w:p>
    <w:p w14:paraId="19EBFED4" w14:textId="77777777" w:rsidR="00370C88" w:rsidRDefault="00370C88" w:rsidP="00370C88">
      <w:pPr>
        <w:pStyle w:val="References"/>
        <w:rPr>
          <w:lang w:val="en-GB"/>
        </w:rPr>
      </w:pPr>
    </w:p>
    <w:p w14:paraId="0D9BD832" w14:textId="77777777" w:rsidR="00974A4C" w:rsidRDefault="00974A4C" w:rsidP="00370C88">
      <w:pPr>
        <w:pStyle w:val="References"/>
        <w:rPr>
          <w:lang w:val="en-GB"/>
        </w:rPr>
      </w:pPr>
    </w:p>
    <w:p w14:paraId="2EC1AD16" w14:textId="77777777" w:rsidR="00903094" w:rsidRDefault="00903094" w:rsidP="00370C88">
      <w:pPr>
        <w:pStyle w:val="References"/>
        <w:rPr>
          <w:lang w:val="en-GB"/>
        </w:rPr>
      </w:pPr>
    </w:p>
    <w:p w14:paraId="571A044D" w14:textId="641D7D9E" w:rsidR="001B1FE9" w:rsidRPr="00A563CC" w:rsidRDefault="00FC2280" w:rsidP="001B1FE9">
      <w:pPr>
        <w:pBdr>
          <w:bottom w:val="single" w:sz="4" w:space="1" w:color="auto"/>
        </w:pBdr>
        <w:overflowPunct/>
        <w:autoSpaceDE/>
        <w:autoSpaceDN/>
        <w:adjustRightInd/>
        <w:spacing w:before="2400" w:after="120"/>
        <w:textAlignment w:val="auto"/>
        <w:outlineLvl w:val="0"/>
        <w:rPr>
          <w:rFonts w:ascii="Arial" w:eastAsia="Times" w:hAnsi="Arial"/>
          <w:b/>
          <w:noProof w:val="0"/>
          <w:kern w:val="28"/>
          <w:sz w:val="36"/>
          <w:szCs w:val="36"/>
          <w:lang w:val="en-GB"/>
        </w:rPr>
      </w:pPr>
      <w:r>
        <w:rPr>
          <w:rFonts w:ascii="Arial" w:eastAsia="Times" w:hAnsi="Arial"/>
          <w:b/>
          <w:noProof w:val="0"/>
          <w:kern w:val="28"/>
          <w:sz w:val="36"/>
          <w:szCs w:val="36"/>
          <w:lang w:val="en-GB"/>
        </w:rPr>
        <w:t>Attractiveness Measures for the Staff of the European Schools - Update</w:t>
      </w:r>
    </w:p>
    <w:p w14:paraId="1C23D99D" w14:textId="77777777" w:rsidR="00705FAA" w:rsidRDefault="00705FAA" w:rsidP="001B1FE9">
      <w:pPr>
        <w:overflowPunct/>
        <w:autoSpaceDE/>
        <w:autoSpaceDN/>
        <w:adjustRightInd/>
        <w:jc w:val="both"/>
        <w:textAlignment w:val="auto"/>
        <w:rPr>
          <w:rFonts w:ascii="Arial" w:hAnsi="Arial" w:cs="Arial"/>
          <w:b/>
          <w:noProof w:val="0"/>
          <w:sz w:val="24"/>
          <w:szCs w:val="24"/>
          <w:lang w:val="en-GB" w:eastAsia="en-US"/>
        </w:rPr>
      </w:pPr>
    </w:p>
    <w:p w14:paraId="26601522" w14:textId="77777777" w:rsidR="00705FAA" w:rsidRPr="008E15ED" w:rsidRDefault="00705FAA" w:rsidP="001B1FE9">
      <w:pPr>
        <w:overflowPunct/>
        <w:autoSpaceDE/>
        <w:autoSpaceDN/>
        <w:adjustRightInd/>
        <w:jc w:val="both"/>
        <w:textAlignment w:val="auto"/>
        <w:rPr>
          <w:rFonts w:ascii="Arial" w:hAnsi="Arial" w:cs="Arial"/>
          <w:b/>
          <w:noProof w:val="0"/>
          <w:sz w:val="24"/>
          <w:szCs w:val="24"/>
          <w:lang w:val="en-GB" w:eastAsia="en-US"/>
        </w:rPr>
      </w:pPr>
      <w:r w:rsidRPr="008E15ED">
        <w:rPr>
          <w:rFonts w:ascii="Arial" w:hAnsi="Arial" w:cs="Arial"/>
          <w:b/>
          <w:noProof w:val="0"/>
          <w:sz w:val="24"/>
          <w:szCs w:val="24"/>
          <w:lang w:val="en-GB" w:eastAsia="en-US"/>
        </w:rPr>
        <w:t>B</w:t>
      </w:r>
      <w:r w:rsidR="008F34CE">
        <w:rPr>
          <w:rFonts w:ascii="Arial" w:hAnsi="Arial" w:cs="Arial"/>
          <w:b/>
          <w:noProof w:val="0"/>
          <w:sz w:val="24"/>
          <w:szCs w:val="24"/>
          <w:lang w:val="en-GB" w:eastAsia="en-US"/>
        </w:rPr>
        <w:t>oard of Governors</w:t>
      </w:r>
    </w:p>
    <w:p w14:paraId="4F177C90" w14:textId="77777777" w:rsidR="00705FAA" w:rsidRPr="008E15ED" w:rsidRDefault="00705FAA" w:rsidP="001B1FE9">
      <w:pPr>
        <w:overflowPunct/>
        <w:autoSpaceDE/>
        <w:autoSpaceDN/>
        <w:adjustRightInd/>
        <w:jc w:val="both"/>
        <w:textAlignment w:val="auto"/>
        <w:rPr>
          <w:rFonts w:ascii="Arial" w:hAnsi="Arial" w:cs="Arial"/>
          <w:b/>
          <w:noProof w:val="0"/>
          <w:sz w:val="24"/>
          <w:szCs w:val="24"/>
          <w:lang w:val="en-GB" w:eastAsia="en-US"/>
        </w:rPr>
      </w:pPr>
    </w:p>
    <w:p w14:paraId="53127787" w14:textId="77777777" w:rsidR="00705FAA" w:rsidRDefault="00705FAA" w:rsidP="001B1FE9">
      <w:pPr>
        <w:overflowPunct/>
        <w:autoSpaceDE/>
        <w:autoSpaceDN/>
        <w:adjustRightInd/>
        <w:jc w:val="both"/>
        <w:textAlignment w:val="auto"/>
        <w:rPr>
          <w:rFonts w:ascii="Arial" w:hAnsi="Arial" w:cs="Arial"/>
          <w:b/>
          <w:noProof w:val="0"/>
          <w:sz w:val="24"/>
          <w:szCs w:val="24"/>
          <w:lang w:val="en-GB" w:eastAsia="en-US"/>
        </w:rPr>
      </w:pPr>
      <w:r w:rsidRPr="008E15ED">
        <w:rPr>
          <w:rFonts w:ascii="Arial" w:hAnsi="Arial" w:cs="Arial"/>
          <w:b/>
          <w:noProof w:val="0"/>
          <w:sz w:val="24"/>
          <w:szCs w:val="24"/>
          <w:lang w:val="en-GB" w:eastAsia="en-US"/>
        </w:rPr>
        <w:t>Meeting on 1</w:t>
      </w:r>
      <w:r w:rsidR="008F34CE">
        <w:rPr>
          <w:rFonts w:ascii="Arial" w:hAnsi="Arial" w:cs="Arial"/>
          <w:b/>
          <w:noProof w:val="0"/>
          <w:sz w:val="24"/>
          <w:szCs w:val="24"/>
          <w:lang w:val="en-GB" w:eastAsia="en-US"/>
        </w:rPr>
        <w:t>5</w:t>
      </w:r>
      <w:r w:rsidRPr="008E15ED">
        <w:rPr>
          <w:rFonts w:ascii="Arial" w:hAnsi="Arial" w:cs="Arial"/>
          <w:b/>
          <w:noProof w:val="0"/>
          <w:sz w:val="24"/>
          <w:szCs w:val="24"/>
          <w:lang w:val="en-GB" w:eastAsia="en-US"/>
        </w:rPr>
        <w:t xml:space="preserve"> </w:t>
      </w:r>
      <w:r w:rsidR="008F34CE">
        <w:rPr>
          <w:rFonts w:ascii="Arial" w:hAnsi="Arial" w:cs="Arial"/>
          <w:b/>
          <w:noProof w:val="0"/>
          <w:sz w:val="24"/>
          <w:szCs w:val="24"/>
          <w:lang w:val="en-GB" w:eastAsia="en-US"/>
        </w:rPr>
        <w:t xml:space="preserve">to </w:t>
      </w:r>
      <w:r w:rsidRPr="008E15ED">
        <w:rPr>
          <w:rFonts w:ascii="Arial" w:hAnsi="Arial" w:cs="Arial"/>
          <w:b/>
          <w:noProof w:val="0"/>
          <w:sz w:val="24"/>
          <w:szCs w:val="24"/>
          <w:lang w:val="en-GB" w:eastAsia="en-US"/>
        </w:rPr>
        <w:t>1</w:t>
      </w:r>
      <w:r w:rsidR="008F34CE">
        <w:rPr>
          <w:rFonts w:ascii="Arial" w:hAnsi="Arial" w:cs="Arial"/>
          <w:b/>
          <w:noProof w:val="0"/>
          <w:sz w:val="24"/>
          <w:szCs w:val="24"/>
          <w:lang w:val="en-GB" w:eastAsia="en-US"/>
        </w:rPr>
        <w:t>7 April</w:t>
      </w:r>
      <w:r w:rsidRPr="008E15ED">
        <w:rPr>
          <w:rFonts w:ascii="Arial" w:hAnsi="Arial" w:cs="Arial"/>
          <w:b/>
          <w:noProof w:val="0"/>
          <w:sz w:val="24"/>
          <w:szCs w:val="24"/>
          <w:lang w:val="en-GB" w:eastAsia="en-US"/>
        </w:rPr>
        <w:t xml:space="preserve"> 2020</w:t>
      </w:r>
    </w:p>
    <w:p w14:paraId="0680605F" w14:textId="77777777" w:rsidR="001B1FE9" w:rsidRDefault="001B1FE9" w:rsidP="001B1FE9">
      <w:pPr>
        <w:pStyle w:val="References"/>
        <w:rPr>
          <w:sz w:val="24"/>
          <w:szCs w:val="24"/>
          <w:lang w:val="en-GB"/>
        </w:rPr>
      </w:pPr>
    </w:p>
    <w:p w14:paraId="05FDC653" w14:textId="77777777" w:rsidR="00786AC9" w:rsidRDefault="00786AC9" w:rsidP="001B1FE9">
      <w:pPr>
        <w:pStyle w:val="References"/>
        <w:rPr>
          <w:sz w:val="24"/>
          <w:szCs w:val="24"/>
          <w:lang w:val="en-GB"/>
        </w:rPr>
      </w:pPr>
    </w:p>
    <w:p w14:paraId="73AE1F43" w14:textId="77777777" w:rsidR="00786AC9" w:rsidRDefault="00786AC9" w:rsidP="001B1FE9">
      <w:pPr>
        <w:pStyle w:val="References"/>
        <w:rPr>
          <w:sz w:val="24"/>
          <w:szCs w:val="24"/>
          <w:lang w:val="en-GB"/>
        </w:rPr>
      </w:pPr>
    </w:p>
    <w:p w14:paraId="79F2479F" w14:textId="77777777" w:rsidR="00786AC9" w:rsidRDefault="00786AC9" w:rsidP="001B1FE9">
      <w:pPr>
        <w:pStyle w:val="References"/>
        <w:rPr>
          <w:sz w:val="24"/>
          <w:szCs w:val="24"/>
          <w:lang w:val="en-GB"/>
        </w:rPr>
      </w:pPr>
    </w:p>
    <w:p w14:paraId="5EB28962" w14:textId="77777777" w:rsidR="00FC7DE4" w:rsidRDefault="001B1FE9" w:rsidP="006653E0">
      <w:pPr>
        <w:spacing w:after="160" w:line="259" w:lineRule="auto"/>
        <w:rPr>
          <w:rFonts w:ascii="Arial" w:eastAsia="Calibri" w:hAnsi="Arial" w:cs="Arial"/>
          <w:b/>
          <w:noProof w:val="0"/>
          <w:sz w:val="24"/>
          <w:szCs w:val="24"/>
          <w:lang w:val="en-US" w:eastAsia="en-US"/>
        </w:rPr>
      </w:pPr>
      <w:r w:rsidRPr="00377021">
        <w:rPr>
          <w:lang w:val="en-GB"/>
        </w:rPr>
        <w:br w:type="page"/>
      </w:r>
      <w:r w:rsidR="00FC7DE4" w:rsidRPr="00FC7DE4">
        <w:rPr>
          <w:rFonts w:ascii="Arial" w:eastAsia="Calibri" w:hAnsi="Arial" w:cs="Arial"/>
          <w:b/>
          <w:noProof w:val="0"/>
          <w:sz w:val="24"/>
          <w:szCs w:val="24"/>
          <w:lang w:val="en-US" w:eastAsia="en-US"/>
        </w:rPr>
        <w:lastRenderedPageBreak/>
        <w:t>I. Background</w:t>
      </w:r>
    </w:p>
    <w:p w14:paraId="51CEF32D" w14:textId="7DA150BC" w:rsidR="00FC2280" w:rsidRDefault="006653E0"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w:t>
      </w:r>
      <w:r w:rsidR="00FC2280">
        <w:rPr>
          <w:rFonts w:ascii="Arial" w:eastAsia="Calibri" w:hAnsi="Arial" w:cs="Arial"/>
          <w:noProof w:val="0"/>
          <w:sz w:val="24"/>
          <w:szCs w:val="24"/>
          <w:lang w:val="en-US" w:eastAsia="en-US"/>
        </w:rPr>
        <w:t>April 2019 the Board of Governors approved several measures to increase the attractiveness of the European Schools for the teaching, but also the non-teaching staff.</w:t>
      </w:r>
    </w:p>
    <w:p w14:paraId="30A330D0" w14:textId="56E8BE68" w:rsidR="00FC2280" w:rsidRDefault="00FC2280"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This document is meant to provide the Board of Governors with an up-date on the implementation of these measures during the last 12 months.</w:t>
      </w:r>
    </w:p>
    <w:p w14:paraId="39DD7B8A" w14:textId="0216DD34" w:rsidR="00EB06BC" w:rsidRDefault="00EB06BC"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An in-depth analysis of all measures is envisaged by April 2021 as requested by the Board of Governors in April 2019.</w:t>
      </w:r>
    </w:p>
    <w:p w14:paraId="33A54E5E" w14:textId="67BC3008" w:rsidR="00FC2280" w:rsidRDefault="00FC2280"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98B927A" w14:textId="1B9CF07E" w:rsidR="00FC2280" w:rsidRDefault="00FC2280" w:rsidP="00FC2280">
      <w:pPr>
        <w:pStyle w:val="ListParagraph"/>
        <w:numPr>
          <w:ilvl w:val="0"/>
          <w:numId w:val="46"/>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Measures to increase the attractiveness of the European Schools for the </w:t>
      </w:r>
      <w:r w:rsidRPr="0038167A">
        <w:rPr>
          <w:rFonts w:ascii="Arial" w:eastAsia="Calibri" w:hAnsi="Arial" w:cs="Arial"/>
          <w:b/>
          <w:noProof w:val="0"/>
          <w:sz w:val="24"/>
          <w:szCs w:val="24"/>
          <w:u w:val="single"/>
          <w:lang w:val="en-US" w:eastAsia="en-US"/>
        </w:rPr>
        <w:t>teaching staff</w:t>
      </w:r>
    </w:p>
    <w:p w14:paraId="3D38F8CC" w14:textId="674B87B8" w:rsidR="00FC2280" w:rsidRDefault="00FC2280" w:rsidP="00FC2280">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Several proposals to increase the attractiveness of the European Schools for the </w:t>
      </w:r>
      <w:r w:rsidRPr="0038167A">
        <w:rPr>
          <w:rFonts w:ascii="Arial" w:eastAsia="Calibri" w:hAnsi="Arial" w:cs="Arial"/>
          <w:b/>
          <w:noProof w:val="0"/>
          <w:sz w:val="24"/>
          <w:szCs w:val="24"/>
          <w:lang w:val="en-US" w:eastAsia="en-US"/>
        </w:rPr>
        <w:t>teaching staff</w:t>
      </w:r>
      <w:r>
        <w:rPr>
          <w:rFonts w:ascii="Arial" w:eastAsia="Calibri" w:hAnsi="Arial" w:cs="Arial"/>
          <w:noProof w:val="0"/>
          <w:sz w:val="24"/>
          <w:szCs w:val="24"/>
          <w:lang w:val="en-US" w:eastAsia="en-US"/>
        </w:rPr>
        <w:t xml:space="preserve"> were presented to the Board of Governors in December 2018 and April 2019</w:t>
      </w:r>
      <w:r>
        <w:rPr>
          <w:rStyle w:val="FootnoteReference"/>
          <w:rFonts w:ascii="Arial" w:eastAsia="Calibri" w:hAnsi="Arial" w:cs="Arial"/>
          <w:noProof w:val="0"/>
          <w:sz w:val="24"/>
          <w:szCs w:val="24"/>
          <w:lang w:val="en-US" w:eastAsia="en-US"/>
        </w:rPr>
        <w:footnoteReference w:id="1"/>
      </w:r>
      <w:r>
        <w:rPr>
          <w:rFonts w:ascii="Arial" w:eastAsia="Calibri" w:hAnsi="Arial" w:cs="Arial"/>
          <w:noProof w:val="0"/>
          <w:sz w:val="24"/>
          <w:szCs w:val="24"/>
          <w:lang w:val="en-US" w:eastAsia="en-US"/>
        </w:rPr>
        <w:t>.</w:t>
      </w:r>
    </w:p>
    <w:p w14:paraId="57A27C2D" w14:textId="13FCBE0F" w:rsidR="00F00329" w:rsidRDefault="00F00329" w:rsidP="00FC2280">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Finally, at its meeting in April 2019 the Board of Governors concluded the following</w:t>
      </w:r>
      <w:r>
        <w:rPr>
          <w:rStyle w:val="FootnoteReference"/>
          <w:rFonts w:ascii="Arial" w:eastAsia="Calibri" w:hAnsi="Arial" w:cs="Arial"/>
          <w:noProof w:val="0"/>
          <w:sz w:val="24"/>
          <w:szCs w:val="24"/>
          <w:lang w:val="en-US" w:eastAsia="en-US"/>
        </w:rPr>
        <w:footnoteReference w:id="2"/>
      </w:r>
      <w:r>
        <w:rPr>
          <w:rFonts w:ascii="Arial" w:eastAsia="Calibri" w:hAnsi="Arial" w:cs="Arial"/>
          <w:noProof w:val="0"/>
          <w:sz w:val="24"/>
          <w:szCs w:val="24"/>
          <w:lang w:val="en-US" w:eastAsia="en-US"/>
        </w:rPr>
        <w:t>:</w:t>
      </w:r>
    </w:p>
    <w:p w14:paraId="5C39B94B" w14:textId="36840F2D" w:rsidR="00FC2280" w:rsidRPr="00FC2280" w:rsidRDefault="00F00329" w:rsidP="00FC2280">
      <w:pPr>
        <w:overflowPunct/>
        <w:autoSpaceDE/>
        <w:autoSpaceDN/>
        <w:adjustRightInd/>
        <w:jc w:val="both"/>
        <w:textAlignment w:val="auto"/>
        <w:rPr>
          <w:rFonts w:ascii="Arial" w:hAnsi="Arial"/>
          <w:i/>
          <w:noProof w:val="0"/>
          <w:sz w:val="22"/>
          <w:szCs w:val="22"/>
          <w:lang w:val="en-GB" w:eastAsia="fr-FR"/>
        </w:rPr>
      </w:pPr>
      <w:r>
        <w:rPr>
          <w:rFonts w:ascii="Arial" w:hAnsi="Arial"/>
          <w:i/>
          <w:noProof w:val="0"/>
          <w:sz w:val="22"/>
          <w:szCs w:val="22"/>
          <w:lang w:val="en-GB" w:eastAsia="fr-FR"/>
        </w:rPr>
        <w:t>“</w:t>
      </w:r>
      <w:r w:rsidR="00FC2280" w:rsidRPr="00FC2280">
        <w:rPr>
          <w:rFonts w:ascii="Arial" w:hAnsi="Arial"/>
          <w:i/>
          <w:noProof w:val="0"/>
          <w:sz w:val="22"/>
          <w:szCs w:val="22"/>
          <w:lang w:val="en-GB" w:eastAsia="fr-FR"/>
        </w:rPr>
        <w:t>The Board of Governors examined and discussed the revised proposals and decided to commit itself to increasing the attractiveness of the European Schools for teaching staff in order to keep the European Schools competitive and to ensure a high standard of teaching and learning.</w:t>
      </w:r>
    </w:p>
    <w:p w14:paraId="2D86694F" w14:textId="77777777" w:rsidR="00FC2280" w:rsidRPr="00FC2280" w:rsidRDefault="00FC2280" w:rsidP="00FC2280">
      <w:pPr>
        <w:overflowPunct/>
        <w:autoSpaceDE/>
        <w:autoSpaceDN/>
        <w:adjustRightInd/>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 xml:space="preserve"> </w:t>
      </w:r>
    </w:p>
    <w:p w14:paraId="1882C73B" w14:textId="77777777" w:rsidR="00FC2280" w:rsidRPr="00FC2280" w:rsidRDefault="00FC2280" w:rsidP="00FC2280">
      <w:pPr>
        <w:overflowPunct/>
        <w:autoSpaceDE/>
        <w:autoSpaceDN/>
        <w:adjustRightInd/>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 xml:space="preserve">In the light of that commitment, the Board of Governors endorsed, by a two-thirds majority, the following proposals: </w:t>
      </w:r>
    </w:p>
    <w:p w14:paraId="6C21D981" w14:textId="77777777" w:rsidR="00FC2280" w:rsidRPr="00FC2280" w:rsidRDefault="00FC2280" w:rsidP="00FC2280">
      <w:pPr>
        <w:overflowPunct/>
        <w:autoSpaceDE/>
        <w:autoSpaceDN/>
        <w:adjustRightInd/>
        <w:textAlignment w:val="auto"/>
        <w:rPr>
          <w:rFonts w:ascii="Arial" w:hAnsi="Arial"/>
          <w:i/>
          <w:noProof w:val="0"/>
          <w:sz w:val="22"/>
          <w:szCs w:val="22"/>
          <w:lang w:val="en-GB" w:eastAsia="fr-FR"/>
        </w:rPr>
      </w:pPr>
    </w:p>
    <w:p w14:paraId="69A2171B"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Introduction of a ‘Compensatory Allowance’ of a maximum of €1000 per month, as indicated in chapter II.1.a), with effect from 1 September 2019.</w:t>
      </w:r>
    </w:p>
    <w:p w14:paraId="0A5D60B8"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3B543AA0"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Introduction of the possibility of extension of secondments in exceptional cases, as indicated in chapter II.1.b), with immediate effect.</w:t>
      </w:r>
    </w:p>
    <w:p w14:paraId="2959E66A"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78E945A0"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Introduction of the possibility of multiple secondments under the conditions indicated in chapter II.1.b), with effect from 1 September 2019.</w:t>
      </w:r>
    </w:p>
    <w:p w14:paraId="2820F227"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12F692B8"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Increase in the salaries of locally recruited teachers at the European Schools in Frankfurt by 5%, in Karlsruhe by 7% and in Luxembourg by 38%, as indicated in chapter II.2.a), with effect from 1 September 2019.</w:t>
      </w:r>
    </w:p>
    <w:p w14:paraId="18675A70"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50053A00"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Introduction of the possibility of offering permanent contracts to locally recruited teachers, as indicated in chapter II.2.b), with effect from 1 September 2019.</w:t>
      </w:r>
    </w:p>
    <w:p w14:paraId="738EFE7E"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4FC62893" w14:textId="572A10D4"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Introduction of the possibility of determination of protected functions, as indicated in chapter II.2.c), with effect from 1 September 2019.</w:t>
      </w:r>
    </w:p>
    <w:p w14:paraId="000F7289"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6BA9B128"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lastRenderedPageBreak/>
        <w:t>Introduction of a Middle Management Structure, as indicated in chapter II.2 d) and document 2019-01-D-57-en-3, with effect from 1 September 2020.</w:t>
      </w:r>
    </w:p>
    <w:p w14:paraId="67FE3EFF" w14:textId="77777777" w:rsidR="00FC2280" w:rsidRPr="00FC2280" w:rsidRDefault="00FC2280" w:rsidP="00FC2280">
      <w:pPr>
        <w:overflowPunct/>
        <w:autoSpaceDE/>
        <w:autoSpaceDN/>
        <w:adjustRightInd/>
        <w:ind w:left="360"/>
        <w:contextualSpacing/>
        <w:textAlignment w:val="auto"/>
        <w:rPr>
          <w:rFonts w:ascii="Arial" w:hAnsi="Arial"/>
          <w:i/>
          <w:noProof w:val="0"/>
          <w:sz w:val="22"/>
          <w:szCs w:val="22"/>
          <w:lang w:val="en-GB" w:eastAsia="fr-FR"/>
        </w:rPr>
      </w:pPr>
    </w:p>
    <w:p w14:paraId="1FC3A0AB" w14:textId="77777777" w:rsidR="00FC2280" w:rsidRPr="00FC2280" w:rsidRDefault="00FC2280" w:rsidP="00FC2280">
      <w:pPr>
        <w:numPr>
          <w:ilvl w:val="0"/>
          <w:numId w:val="47"/>
        </w:numPr>
        <w:overflowPunct/>
        <w:autoSpaceDE/>
        <w:autoSpaceDN/>
        <w:adjustRightInd/>
        <w:spacing w:before="120" w:after="120"/>
        <w:contextualSpacing/>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 xml:space="preserve">Signing of a Service Level Agreement (SLA) between the Office of the Secretary-General and the European Commission allowing members of the staff of the European Schools to participate in specific programmes to support the integration of new staff and their families. </w:t>
      </w:r>
    </w:p>
    <w:p w14:paraId="2EF78668" w14:textId="77777777" w:rsidR="00FC2280" w:rsidRPr="00FC2280" w:rsidRDefault="00FC2280" w:rsidP="00FC2280">
      <w:pPr>
        <w:overflowPunct/>
        <w:autoSpaceDE/>
        <w:autoSpaceDN/>
        <w:adjustRightInd/>
        <w:spacing w:before="120" w:after="120"/>
        <w:ind w:left="720"/>
        <w:contextualSpacing/>
        <w:jc w:val="both"/>
        <w:textAlignment w:val="auto"/>
        <w:rPr>
          <w:rFonts w:ascii="Arial" w:hAnsi="Arial"/>
          <w:i/>
          <w:noProof w:val="0"/>
          <w:sz w:val="22"/>
          <w:szCs w:val="22"/>
          <w:lang w:val="en-GB" w:eastAsia="fr-FR"/>
        </w:rPr>
      </w:pPr>
    </w:p>
    <w:p w14:paraId="68EC05CA" w14:textId="77777777" w:rsidR="00FC2280" w:rsidRPr="00FC2280" w:rsidRDefault="00FC2280" w:rsidP="00FC2280">
      <w:pPr>
        <w:overflowPunct/>
        <w:autoSpaceDE/>
        <w:autoSpaceDN/>
        <w:adjustRightInd/>
        <w:jc w:val="both"/>
        <w:textAlignment w:val="auto"/>
        <w:rPr>
          <w:rFonts w:ascii="Arial" w:hAnsi="Arial"/>
          <w:i/>
          <w:noProof w:val="0"/>
          <w:sz w:val="22"/>
          <w:szCs w:val="22"/>
          <w:lang w:val="en-GB" w:eastAsia="fr-FR"/>
        </w:rPr>
      </w:pPr>
    </w:p>
    <w:p w14:paraId="41A7178F" w14:textId="59DB87E4" w:rsidR="00FC2280" w:rsidRPr="00FC2280" w:rsidRDefault="00FC2280" w:rsidP="00FC2280">
      <w:pPr>
        <w:overflowPunct/>
        <w:autoSpaceDE/>
        <w:autoSpaceDN/>
        <w:adjustRightInd/>
        <w:jc w:val="both"/>
        <w:textAlignment w:val="auto"/>
        <w:rPr>
          <w:rFonts w:ascii="Arial" w:hAnsi="Arial"/>
          <w:i/>
          <w:noProof w:val="0"/>
          <w:sz w:val="22"/>
          <w:szCs w:val="22"/>
          <w:lang w:val="en-GB" w:eastAsia="fr-FR"/>
        </w:rPr>
      </w:pPr>
      <w:r w:rsidRPr="00FC2280">
        <w:rPr>
          <w:rFonts w:ascii="Arial" w:hAnsi="Arial"/>
          <w:i/>
          <w:noProof w:val="0"/>
          <w:sz w:val="22"/>
          <w:szCs w:val="22"/>
          <w:lang w:val="en-GB" w:eastAsia="fr-FR"/>
        </w:rPr>
        <w:t>In addition, the Board of Governors mandated the Office of the Secretary-General to provide an in-depth analysis of the impact of the measures adopted by April 2021. This analysis should also address the question of the potential impact of the new Cost Sharing Mechanism, to be adopted by written procedure (as point B7), on the staffing situation in the European Schools.</w:t>
      </w:r>
      <w:r w:rsidR="00F00329">
        <w:rPr>
          <w:rFonts w:ascii="Arial" w:hAnsi="Arial"/>
          <w:i/>
          <w:noProof w:val="0"/>
          <w:sz w:val="22"/>
          <w:szCs w:val="22"/>
          <w:lang w:val="en-GB" w:eastAsia="fr-FR"/>
        </w:rPr>
        <w:t>”</w:t>
      </w:r>
      <w:r w:rsidRPr="00FC2280">
        <w:rPr>
          <w:rFonts w:ascii="Arial" w:hAnsi="Arial"/>
          <w:i/>
          <w:noProof w:val="0"/>
          <w:sz w:val="22"/>
          <w:szCs w:val="22"/>
          <w:lang w:val="en-GB" w:eastAsia="fr-FR"/>
        </w:rPr>
        <w:t xml:space="preserve"> </w:t>
      </w:r>
    </w:p>
    <w:p w14:paraId="423FA87C" w14:textId="77777777" w:rsidR="00FC2280" w:rsidRPr="00FC2280" w:rsidRDefault="00FC2280" w:rsidP="00FC2280">
      <w:pPr>
        <w:overflowPunct/>
        <w:autoSpaceDE/>
        <w:autoSpaceDN/>
        <w:adjustRightInd/>
        <w:spacing w:before="120" w:after="120"/>
        <w:jc w:val="both"/>
        <w:textAlignment w:val="auto"/>
        <w:rPr>
          <w:rFonts w:ascii="Arial" w:eastAsia="Times" w:hAnsi="Arial"/>
          <w:i/>
          <w:noProof w:val="0"/>
          <w:sz w:val="22"/>
          <w:szCs w:val="22"/>
          <w:lang w:val="en-GB" w:eastAsia="fr-FR"/>
        </w:rPr>
      </w:pPr>
    </w:p>
    <w:p w14:paraId="12C3DEC4" w14:textId="4CDDC40A" w:rsidR="00F00329" w:rsidRDefault="00F00329" w:rsidP="00F00329">
      <w:pPr>
        <w:pStyle w:val="ListParagraph"/>
        <w:numPr>
          <w:ilvl w:val="0"/>
          <w:numId w:val="48"/>
        </w:num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Pr>
          <w:rFonts w:ascii="Arial" w:eastAsia="Calibri" w:hAnsi="Arial" w:cs="Arial"/>
          <w:b/>
          <w:noProof w:val="0"/>
          <w:sz w:val="24"/>
          <w:szCs w:val="24"/>
          <w:lang w:val="en-GB" w:eastAsia="en-US"/>
        </w:rPr>
        <w:t>Measures for the seconded staff</w:t>
      </w:r>
    </w:p>
    <w:p w14:paraId="734FA12D" w14:textId="47873A7D"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As illustrated, the measures increasing the attractiveness for the </w:t>
      </w:r>
      <w:r w:rsidRPr="00EB06BC">
        <w:rPr>
          <w:rFonts w:ascii="Arial" w:eastAsia="Calibri" w:hAnsi="Arial" w:cs="Arial"/>
          <w:b/>
          <w:noProof w:val="0"/>
          <w:sz w:val="24"/>
          <w:szCs w:val="24"/>
          <w:lang w:val="en-GB" w:eastAsia="en-US"/>
        </w:rPr>
        <w:t xml:space="preserve">seconded </w:t>
      </w:r>
      <w:r>
        <w:rPr>
          <w:rFonts w:ascii="Arial" w:eastAsia="Calibri" w:hAnsi="Arial" w:cs="Arial"/>
          <w:noProof w:val="0"/>
          <w:sz w:val="24"/>
          <w:szCs w:val="24"/>
          <w:lang w:val="en-GB" w:eastAsia="en-US"/>
        </w:rPr>
        <w:t xml:space="preserve">staff mainly concerned </w:t>
      </w:r>
    </w:p>
    <w:p w14:paraId="4FFBE7AA" w14:textId="7D18888A" w:rsidR="00F00329" w:rsidRDefault="00F00329" w:rsidP="00F00329">
      <w:pPr>
        <w:pStyle w:val="ListParagraph"/>
        <w:numPr>
          <w:ilvl w:val="0"/>
          <w:numId w:val="49"/>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introduction of a ‘compensation allowance’</w:t>
      </w:r>
      <w:r w:rsidR="00EB06BC">
        <w:rPr>
          <w:rFonts w:ascii="Arial" w:eastAsia="Calibri" w:hAnsi="Arial" w:cs="Arial"/>
          <w:noProof w:val="0"/>
          <w:sz w:val="24"/>
          <w:szCs w:val="24"/>
          <w:lang w:val="en-GB" w:eastAsia="en-US"/>
        </w:rPr>
        <w:t xml:space="preserve"> for all seconded staff</w:t>
      </w:r>
      <w:r>
        <w:rPr>
          <w:rFonts w:ascii="Arial" w:eastAsia="Calibri" w:hAnsi="Arial" w:cs="Arial"/>
          <w:noProof w:val="0"/>
          <w:sz w:val="24"/>
          <w:szCs w:val="24"/>
          <w:lang w:val="en-GB" w:eastAsia="en-US"/>
        </w:rPr>
        <w:t>,</w:t>
      </w:r>
    </w:p>
    <w:p w14:paraId="6783F87A" w14:textId="4A47B3CA" w:rsidR="00F00329" w:rsidRDefault="00F00329" w:rsidP="00F00329">
      <w:pPr>
        <w:pStyle w:val="ListParagraph"/>
        <w:numPr>
          <w:ilvl w:val="0"/>
          <w:numId w:val="49"/>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possibility of an extraordinary prolongation of secondment to a maximum of twelve years and</w:t>
      </w:r>
    </w:p>
    <w:p w14:paraId="3BC927DF" w14:textId="4956FF2C" w:rsidR="00F00329" w:rsidRDefault="00F00329" w:rsidP="00F00329">
      <w:pPr>
        <w:pStyle w:val="ListParagraph"/>
        <w:numPr>
          <w:ilvl w:val="0"/>
          <w:numId w:val="49"/>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possibility of a second secondment.</w:t>
      </w:r>
    </w:p>
    <w:p w14:paraId="2988271C" w14:textId="7FF7D106"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611ACBAA" w14:textId="0768D5DF" w:rsidR="00F00329" w:rsidRDefault="00F00329" w:rsidP="00F0032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F00329">
        <w:rPr>
          <w:rFonts w:ascii="Arial" w:eastAsia="Calibri" w:hAnsi="Arial" w:cs="Arial"/>
          <w:b/>
          <w:noProof w:val="0"/>
          <w:sz w:val="24"/>
          <w:szCs w:val="24"/>
          <w:lang w:val="en-GB" w:eastAsia="en-US"/>
        </w:rPr>
        <w:t>aa) ‘Compensation allowance’</w:t>
      </w:r>
    </w:p>
    <w:p w14:paraId="5BE18FF8" w14:textId="693AAB9C"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compensation allowance is calculated on a monthly basis, but paid only once at the end of the school year.</w:t>
      </w:r>
    </w:p>
    <w:p w14:paraId="0AD66D25" w14:textId="3B31AA11"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conditions for the implementation of this new allowance were clarified in a MEMO</w:t>
      </w:r>
      <w:r>
        <w:rPr>
          <w:rStyle w:val="FootnoteReference"/>
          <w:rFonts w:ascii="Arial" w:eastAsia="Calibri" w:hAnsi="Arial" w:cs="Arial"/>
          <w:noProof w:val="0"/>
          <w:sz w:val="24"/>
          <w:szCs w:val="24"/>
          <w:lang w:val="en-GB" w:eastAsia="en-US"/>
        </w:rPr>
        <w:footnoteReference w:id="3"/>
      </w:r>
      <w:r>
        <w:rPr>
          <w:rFonts w:ascii="Arial" w:eastAsia="Calibri" w:hAnsi="Arial" w:cs="Arial"/>
          <w:noProof w:val="0"/>
          <w:sz w:val="24"/>
          <w:szCs w:val="24"/>
          <w:lang w:val="en-GB" w:eastAsia="en-US"/>
        </w:rPr>
        <w:t>.</w:t>
      </w:r>
    </w:p>
    <w:p w14:paraId="4572EB80" w14:textId="20D62FD3"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first payment is envisaged for June/July 2020. Therefore, the Office of the Secretary-General does not dispose of reliable figures yet.</w:t>
      </w:r>
    </w:p>
    <w:p w14:paraId="53F572FD" w14:textId="0A493CBD" w:rsidR="00F00329" w:rsidRDefault="00F00329"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36ABD68F" w14:textId="3EABCB60" w:rsidR="00F00329" w:rsidRDefault="00F00329" w:rsidP="00F0032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F00329">
        <w:rPr>
          <w:rFonts w:ascii="Arial" w:eastAsia="Calibri" w:hAnsi="Arial" w:cs="Arial"/>
          <w:b/>
          <w:noProof w:val="0"/>
          <w:sz w:val="24"/>
          <w:szCs w:val="24"/>
          <w:lang w:val="en-GB" w:eastAsia="en-US"/>
        </w:rPr>
        <w:t>bb) Possibility of an extraordinary prolongation of secondment up to 12 years</w:t>
      </w:r>
    </w:p>
    <w:p w14:paraId="3CA8AD6D" w14:textId="4C588349" w:rsidR="005A0490" w:rsidRDefault="005A0490"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This new measure, which requires an agreement between the seconding authority and the school management</w:t>
      </w:r>
      <w:r w:rsidR="003F1018">
        <w:rPr>
          <w:rFonts w:ascii="Arial" w:eastAsia="Calibri" w:hAnsi="Arial" w:cs="Arial"/>
          <w:noProof w:val="0"/>
          <w:sz w:val="24"/>
          <w:szCs w:val="24"/>
          <w:lang w:val="en-GB" w:eastAsia="en-US"/>
        </w:rPr>
        <w:t>,</w:t>
      </w:r>
      <w:r>
        <w:rPr>
          <w:rFonts w:ascii="Arial" w:eastAsia="Calibri" w:hAnsi="Arial" w:cs="Arial"/>
          <w:noProof w:val="0"/>
          <w:sz w:val="24"/>
          <w:szCs w:val="24"/>
          <w:lang w:val="en-GB" w:eastAsia="en-US"/>
        </w:rPr>
        <w:t xml:space="preserve"> has been applied for the first time at the end of the 2018/19 school year as the measure entered into force as of end of April 2019.</w:t>
      </w:r>
    </w:p>
    <w:p w14:paraId="2E154487" w14:textId="226AAF3F" w:rsidR="005A0490" w:rsidRDefault="00D35FD8"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At the end of the 2019/20 </w:t>
      </w:r>
      <w:r w:rsidR="000234B1">
        <w:rPr>
          <w:rFonts w:ascii="Arial" w:eastAsia="Calibri" w:hAnsi="Arial" w:cs="Arial"/>
          <w:noProof w:val="0"/>
          <w:sz w:val="24"/>
          <w:szCs w:val="24"/>
          <w:lang w:val="en-GB" w:eastAsia="en-US"/>
        </w:rPr>
        <w:t>school year in 25</w:t>
      </w:r>
      <w:r>
        <w:rPr>
          <w:rFonts w:ascii="Arial" w:eastAsia="Calibri" w:hAnsi="Arial" w:cs="Arial"/>
          <w:noProof w:val="0"/>
          <w:sz w:val="24"/>
          <w:szCs w:val="24"/>
          <w:lang w:val="en-GB" w:eastAsia="en-US"/>
        </w:rPr>
        <w:t xml:space="preserve"> cases the seconding authority and the school management agreed upon a prolongation of secondment for another one</w:t>
      </w:r>
      <w:r w:rsidR="003F1018">
        <w:rPr>
          <w:rFonts w:ascii="Arial" w:eastAsia="Calibri" w:hAnsi="Arial" w:cs="Arial"/>
          <w:noProof w:val="0"/>
          <w:sz w:val="24"/>
          <w:szCs w:val="24"/>
          <w:lang w:val="en-GB" w:eastAsia="en-US"/>
        </w:rPr>
        <w:t>,</w:t>
      </w:r>
      <w:r>
        <w:rPr>
          <w:rFonts w:ascii="Arial" w:eastAsia="Calibri" w:hAnsi="Arial" w:cs="Arial"/>
          <w:noProof w:val="0"/>
          <w:sz w:val="24"/>
          <w:szCs w:val="24"/>
          <w:lang w:val="en-GB" w:eastAsia="en-US"/>
        </w:rPr>
        <w:t xml:space="preserve"> two </w:t>
      </w:r>
      <w:r w:rsidR="003F1018">
        <w:rPr>
          <w:rFonts w:ascii="Arial" w:eastAsia="Calibri" w:hAnsi="Arial" w:cs="Arial"/>
          <w:noProof w:val="0"/>
          <w:sz w:val="24"/>
          <w:szCs w:val="24"/>
          <w:lang w:val="en-GB" w:eastAsia="en-US"/>
        </w:rPr>
        <w:t xml:space="preserve">or three </w:t>
      </w:r>
      <w:r>
        <w:rPr>
          <w:rFonts w:ascii="Arial" w:eastAsia="Calibri" w:hAnsi="Arial" w:cs="Arial"/>
          <w:noProof w:val="0"/>
          <w:sz w:val="24"/>
          <w:szCs w:val="24"/>
          <w:lang w:val="en-GB" w:eastAsia="en-US"/>
        </w:rPr>
        <w:t xml:space="preserve">years and up to a maximum of 12 years. The Member States making use of this exception </w:t>
      </w:r>
      <w:r w:rsidR="003F1018">
        <w:rPr>
          <w:rFonts w:ascii="Arial" w:eastAsia="Calibri" w:hAnsi="Arial" w:cs="Arial"/>
          <w:noProof w:val="0"/>
          <w:sz w:val="24"/>
          <w:szCs w:val="24"/>
          <w:lang w:val="en-GB" w:eastAsia="en-US"/>
        </w:rPr>
        <w:t>are</w:t>
      </w:r>
      <w:r>
        <w:rPr>
          <w:rFonts w:ascii="Arial" w:eastAsia="Calibri" w:hAnsi="Arial" w:cs="Arial"/>
          <w:noProof w:val="0"/>
          <w:sz w:val="24"/>
          <w:szCs w:val="24"/>
          <w:lang w:val="en-GB" w:eastAsia="en-US"/>
        </w:rPr>
        <w:t xml:space="preserve"> Austria, Belgium, Ireland, Luxembourg and </w:t>
      </w:r>
      <w:r w:rsidR="000234B1">
        <w:rPr>
          <w:rFonts w:ascii="Arial" w:eastAsia="Calibri" w:hAnsi="Arial" w:cs="Arial"/>
          <w:noProof w:val="0"/>
          <w:sz w:val="24"/>
          <w:szCs w:val="24"/>
          <w:lang w:val="en-GB" w:eastAsia="en-US"/>
        </w:rPr>
        <w:t xml:space="preserve">the </w:t>
      </w:r>
      <w:r>
        <w:rPr>
          <w:rFonts w:ascii="Arial" w:eastAsia="Calibri" w:hAnsi="Arial" w:cs="Arial"/>
          <w:noProof w:val="0"/>
          <w:sz w:val="24"/>
          <w:szCs w:val="24"/>
          <w:lang w:val="en-GB" w:eastAsia="en-US"/>
        </w:rPr>
        <w:t xml:space="preserve">United Kingdom. The main reason </w:t>
      </w:r>
      <w:r>
        <w:rPr>
          <w:rFonts w:ascii="Arial" w:eastAsia="Calibri" w:hAnsi="Arial" w:cs="Arial"/>
          <w:noProof w:val="0"/>
          <w:sz w:val="24"/>
          <w:szCs w:val="24"/>
          <w:lang w:val="en-GB" w:eastAsia="en-US"/>
        </w:rPr>
        <w:lastRenderedPageBreak/>
        <w:t xml:space="preserve">were difficulties to </w:t>
      </w:r>
      <w:r w:rsidR="003F1018">
        <w:rPr>
          <w:rFonts w:ascii="Arial" w:eastAsia="Calibri" w:hAnsi="Arial" w:cs="Arial"/>
          <w:noProof w:val="0"/>
          <w:sz w:val="24"/>
          <w:szCs w:val="24"/>
          <w:lang w:val="en-GB" w:eastAsia="en-US"/>
        </w:rPr>
        <w:t xml:space="preserve">find </w:t>
      </w:r>
      <w:r>
        <w:rPr>
          <w:rFonts w:ascii="Arial" w:eastAsia="Calibri" w:hAnsi="Arial" w:cs="Arial"/>
          <w:noProof w:val="0"/>
          <w:sz w:val="24"/>
          <w:szCs w:val="24"/>
          <w:lang w:val="en-GB" w:eastAsia="en-US"/>
        </w:rPr>
        <w:t xml:space="preserve">new qualified teaching staff for secondment. </w:t>
      </w:r>
      <w:r w:rsidR="003F1018">
        <w:rPr>
          <w:rFonts w:ascii="Arial" w:eastAsia="Calibri" w:hAnsi="Arial" w:cs="Arial"/>
          <w:noProof w:val="0"/>
          <w:sz w:val="24"/>
          <w:szCs w:val="24"/>
          <w:lang w:val="en-GB" w:eastAsia="en-US"/>
        </w:rPr>
        <w:t xml:space="preserve">The UK offered the prolongation of secondments in line with its obligations laid down in Article 125 of the Withdrawal Agreement. </w:t>
      </w:r>
      <w:r>
        <w:rPr>
          <w:rFonts w:ascii="Arial" w:eastAsia="Calibri" w:hAnsi="Arial" w:cs="Arial"/>
          <w:noProof w:val="0"/>
          <w:sz w:val="24"/>
          <w:szCs w:val="24"/>
          <w:lang w:val="en-GB" w:eastAsia="en-US"/>
        </w:rPr>
        <w:t>More detail</w:t>
      </w:r>
      <w:r w:rsidR="003F1018">
        <w:rPr>
          <w:rFonts w:ascii="Arial" w:eastAsia="Calibri" w:hAnsi="Arial" w:cs="Arial"/>
          <w:noProof w:val="0"/>
          <w:sz w:val="24"/>
          <w:szCs w:val="24"/>
          <w:lang w:val="en-GB" w:eastAsia="en-US"/>
        </w:rPr>
        <w:t>s</w:t>
      </w:r>
      <w:r>
        <w:rPr>
          <w:rFonts w:ascii="Arial" w:eastAsia="Calibri" w:hAnsi="Arial" w:cs="Arial"/>
          <w:noProof w:val="0"/>
          <w:sz w:val="24"/>
          <w:szCs w:val="24"/>
          <w:lang w:val="en-GB" w:eastAsia="en-US"/>
        </w:rPr>
        <w:t xml:space="preserve"> are provided in the Written Communication ‘9-year contracts extended exceptionally in 2020-21’</w:t>
      </w:r>
      <w:r>
        <w:rPr>
          <w:rStyle w:val="FootnoteReference"/>
          <w:rFonts w:ascii="Arial" w:eastAsia="Calibri" w:hAnsi="Arial" w:cs="Arial"/>
          <w:noProof w:val="0"/>
          <w:sz w:val="24"/>
          <w:szCs w:val="24"/>
          <w:lang w:val="en-GB" w:eastAsia="en-US"/>
        </w:rPr>
        <w:footnoteReference w:id="4"/>
      </w:r>
      <w:r>
        <w:rPr>
          <w:rFonts w:ascii="Arial" w:eastAsia="Calibri" w:hAnsi="Arial" w:cs="Arial"/>
          <w:noProof w:val="0"/>
          <w:sz w:val="24"/>
          <w:szCs w:val="24"/>
          <w:lang w:val="en-GB" w:eastAsia="en-US"/>
        </w:rPr>
        <w:t>.</w:t>
      </w:r>
    </w:p>
    <w:p w14:paraId="14339571" w14:textId="77777777" w:rsidR="00D35FD8" w:rsidRDefault="00D35FD8"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28F53F4C" w14:textId="3FBC7466" w:rsidR="00D35FD8" w:rsidRDefault="00D35FD8" w:rsidP="00F0032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Pr>
          <w:rFonts w:ascii="Arial" w:eastAsia="Calibri" w:hAnsi="Arial" w:cs="Arial"/>
          <w:b/>
          <w:noProof w:val="0"/>
          <w:sz w:val="24"/>
          <w:szCs w:val="24"/>
          <w:lang w:val="en-GB" w:eastAsia="en-US"/>
        </w:rPr>
        <w:t>cc) Possibility of a second secondment</w:t>
      </w:r>
    </w:p>
    <w:p w14:paraId="0328E5DA" w14:textId="7567E628" w:rsidR="00D35FD8" w:rsidRDefault="00D35FD8"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Also this new measure was introduced with immediate effect in April 2019. For the moment, the Office of the Secretary-General does not dispose of any reliable data on this measure.</w:t>
      </w:r>
    </w:p>
    <w:p w14:paraId="531C4A22" w14:textId="4B5BB1E4" w:rsidR="00D35FD8" w:rsidRDefault="00D35FD8"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A comprehensive analysis </w:t>
      </w:r>
      <w:r w:rsidR="003F1018">
        <w:rPr>
          <w:rFonts w:ascii="Arial" w:eastAsia="Calibri" w:hAnsi="Arial" w:cs="Arial"/>
          <w:noProof w:val="0"/>
          <w:sz w:val="24"/>
          <w:szCs w:val="24"/>
          <w:lang w:val="en-GB" w:eastAsia="en-US"/>
        </w:rPr>
        <w:t>of</w:t>
      </w:r>
      <w:r>
        <w:rPr>
          <w:rFonts w:ascii="Arial" w:eastAsia="Calibri" w:hAnsi="Arial" w:cs="Arial"/>
          <w:noProof w:val="0"/>
          <w:sz w:val="24"/>
          <w:szCs w:val="24"/>
          <w:lang w:val="en-GB" w:eastAsia="en-US"/>
        </w:rPr>
        <w:t xml:space="preserve"> this measure – as for all other measures – is envisaged in line with the mandate given by the Board of Governors </w:t>
      </w:r>
      <w:r w:rsidR="00EB06BC">
        <w:rPr>
          <w:rFonts w:ascii="Arial" w:eastAsia="Calibri" w:hAnsi="Arial" w:cs="Arial"/>
          <w:noProof w:val="0"/>
          <w:sz w:val="24"/>
          <w:szCs w:val="24"/>
          <w:lang w:val="en-GB" w:eastAsia="en-US"/>
        </w:rPr>
        <w:t xml:space="preserve">by </w:t>
      </w:r>
      <w:r>
        <w:rPr>
          <w:rFonts w:ascii="Arial" w:eastAsia="Calibri" w:hAnsi="Arial" w:cs="Arial"/>
          <w:noProof w:val="0"/>
          <w:sz w:val="24"/>
          <w:szCs w:val="24"/>
          <w:lang w:val="en-GB" w:eastAsia="en-US"/>
        </w:rPr>
        <w:t>April 2021.</w:t>
      </w:r>
    </w:p>
    <w:p w14:paraId="7646F129" w14:textId="6A2D456C" w:rsidR="00EB06BC" w:rsidRDefault="00EB06BC"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65CD205E" w14:textId="77777777" w:rsidR="0038167A" w:rsidRDefault="0038167A"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49BD589B" w14:textId="275AEBB2" w:rsidR="00EB06BC" w:rsidRDefault="00EB06BC" w:rsidP="00EB06BC">
      <w:pPr>
        <w:pStyle w:val="ListParagraph"/>
        <w:numPr>
          <w:ilvl w:val="0"/>
          <w:numId w:val="48"/>
        </w:num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Pr>
          <w:rFonts w:ascii="Arial" w:eastAsia="Calibri" w:hAnsi="Arial" w:cs="Arial"/>
          <w:b/>
          <w:noProof w:val="0"/>
          <w:sz w:val="24"/>
          <w:szCs w:val="24"/>
          <w:lang w:val="en-GB" w:eastAsia="en-US"/>
        </w:rPr>
        <w:t>Measures for the locally recruited teaching staff</w:t>
      </w:r>
    </w:p>
    <w:p w14:paraId="6610D2FE" w14:textId="121FD5B8"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As illustrated above, the measures to increase the attractiveness of the European Schools for the </w:t>
      </w:r>
      <w:r w:rsidRPr="00787014">
        <w:rPr>
          <w:rFonts w:ascii="Arial" w:eastAsia="Calibri" w:hAnsi="Arial" w:cs="Arial"/>
          <w:b/>
          <w:noProof w:val="0"/>
          <w:sz w:val="24"/>
          <w:szCs w:val="24"/>
          <w:lang w:val="en-GB" w:eastAsia="en-US"/>
        </w:rPr>
        <w:t>locally recruited teaching staff</w:t>
      </w:r>
      <w:r>
        <w:rPr>
          <w:rFonts w:ascii="Arial" w:eastAsia="Calibri" w:hAnsi="Arial" w:cs="Arial"/>
          <w:noProof w:val="0"/>
          <w:sz w:val="24"/>
          <w:szCs w:val="24"/>
          <w:lang w:val="en-GB" w:eastAsia="en-US"/>
        </w:rPr>
        <w:t xml:space="preserve"> mainly concerned</w:t>
      </w:r>
    </w:p>
    <w:p w14:paraId="6A56BA80" w14:textId="29265AE1" w:rsidR="00EB06BC" w:rsidRDefault="00EB06BC" w:rsidP="00EB06BC">
      <w:pPr>
        <w:pStyle w:val="ListParagraph"/>
        <w:numPr>
          <w:ilvl w:val="0"/>
          <w:numId w:val="50"/>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increase of the salary of the locally recruited teachers in Frankfurt, Karlsruhe and Luxembourg,</w:t>
      </w:r>
    </w:p>
    <w:p w14:paraId="442C569F" w14:textId="2814599B" w:rsidR="00EB06BC" w:rsidRDefault="00EB06BC" w:rsidP="00EB06BC">
      <w:pPr>
        <w:pStyle w:val="ListParagraph"/>
        <w:numPr>
          <w:ilvl w:val="0"/>
          <w:numId w:val="50"/>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possibility to offer a permanent contract as of the first year and</w:t>
      </w:r>
    </w:p>
    <w:p w14:paraId="181E0C47" w14:textId="43C23C62" w:rsidR="00EB06BC" w:rsidRDefault="00EB06BC" w:rsidP="00EB06BC">
      <w:pPr>
        <w:pStyle w:val="ListParagraph"/>
        <w:numPr>
          <w:ilvl w:val="0"/>
          <w:numId w:val="50"/>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creation of ‘protected posts’ requiring English native speakers.</w:t>
      </w:r>
    </w:p>
    <w:p w14:paraId="0D93543F" w14:textId="25457BBA"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75A85D3E" w14:textId="0495675B"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Also the implementation of these measures was accompanied by instructions given by the Office of the Secretary-General</w:t>
      </w:r>
      <w:r>
        <w:rPr>
          <w:rStyle w:val="FootnoteReference"/>
          <w:rFonts w:ascii="Arial" w:eastAsia="Calibri" w:hAnsi="Arial" w:cs="Arial"/>
          <w:noProof w:val="0"/>
          <w:sz w:val="24"/>
          <w:szCs w:val="24"/>
          <w:lang w:val="en-GB" w:eastAsia="en-US"/>
        </w:rPr>
        <w:footnoteReference w:id="5"/>
      </w:r>
      <w:r>
        <w:rPr>
          <w:rFonts w:ascii="Arial" w:eastAsia="Calibri" w:hAnsi="Arial" w:cs="Arial"/>
          <w:noProof w:val="0"/>
          <w:sz w:val="24"/>
          <w:szCs w:val="24"/>
          <w:lang w:val="en-GB" w:eastAsia="en-US"/>
        </w:rPr>
        <w:t>.</w:t>
      </w:r>
    </w:p>
    <w:p w14:paraId="72AAC4D4" w14:textId="1C4DF0C1"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7519D9C7" w14:textId="3B49C7D0" w:rsidR="00EB06BC" w:rsidRPr="00EB06BC" w:rsidRDefault="00EB06BC" w:rsidP="00EB06BC">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EB06BC">
        <w:rPr>
          <w:rFonts w:ascii="Arial" w:eastAsia="Calibri" w:hAnsi="Arial" w:cs="Arial"/>
          <w:b/>
          <w:noProof w:val="0"/>
          <w:sz w:val="24"/>
          <w:szCs w:val="24"/>
          <w:lang w:val="en-GB" w:eastAsia="en-US"/>
        </w:rPr>
        <w:t>aa) Salary increase</w:t>
      </w:r>
    </w:p>
    <w:p w14:paraId="5BCA2190" w14:textId="6D138F48"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According to the schools in Luxembourg the substantial salary increase as of 1 September 2019 had </w:t>
      </w:r>
      <w:r w:rsidR="003F1018">
        <w:rPr>
          <w:rFonts w:ascii="Arial" w:eastAsia="Calibri" w:hAnsi="Arial" w:cs="Arial"/>
          <w:noProof w:val="0"/>
          <w:sz w:val="24"/>
          <w:szCs w:val="24"/>
          <w:lang w:val="en-GB" w:eastAsia="en-US"/>
        </w:rPr>
        <w:t xml:space="preserve">a </w:t>
      </w:r>
      <w:r>
        <w:rPr>
          <w:rFonts w:ascii="Arial" w:eastAsia="Calibri" w:hAnsi="Arial" w:cs="Arial"/>
          <w:noProof w:val="0"/>
          <w:sz w:val="24"/>
          <w:szCs w:val="24"/>
          <w:lang w:val="en-GB" w:eastAsia="en-US"/>
        </w:rPr>
        <w:t>very positive impact on their ability to attract new teachers and to maintain qualified colleagues.</w:t>
      </w:r>
    </w:p>
    <w:p w14:paraId="6DBC7C13" w14:textId="42C51F86" w:rsidR="00EB06BC" w:rsidRDefault="00EB06BC"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impact on the schools in Frankfurt and Karlsruhe was</w:t>
      </w:r>
      <w:r w:rsidR="003F1018">
        <w:rPr>
          <w:rFonts w:ascii="Arial" w:eastAsia="Calibri" w:hAnsi="Arial" w:cs="Arial"/>
          <w:noProof w:val="0"/>
          <w:sz w:val="24"/>
          <w:szCs w:val="24"/>
          <w:lang w:val="en-GB" w:eastAsia="en-US"/>
        </w:rPr>
        <w:t xml:space="preserve"> less significant</w:t>
      </w:r>
      <w:r>
        <w:rPr>
          <w:rFonts w:ascii="Arial" w:eastAsia="Calibri" w:hAnsi="Arial" w:cs="Arial"/>
          <w:noProof w:val="0"/>
          <w:sz w:val="24"/>
          <w:szCs w:val="24"/>
          <w:lang w:val="en-GB" w:eastAsia="en-US"/>
        </w:rPr>
        <w:t xml:space="preserve">, but it can be stated that the increase at least helped </w:t>
      </w:r>
      <w:r w:rsidR="003F1018">
        <w:rPr>
          <w:rFonts w:ascii="Arial" w:eastAsia="Calibri" w:hAnsi="Arial" w:cs="Arial"/>
          <w:noProof w:val="0"/>
          <w:sz w:val="24"/>
          <w:szCs w:val="24"/>
          <w:lang w:val="en-GB" w:eastAsia="en-US"/>
        </w:rPr>
        <w:t xml:space="preserve">both schools </w:t>
      </w:r>
      <w:r>
        <w:rPr>
          <w:rFonts w:ascii="Arial" w:eastAsia="Calibri" w:hAnsi="Arial" w:cs="Arial"/>
          <w:noProof w:val="0"/>
          <w:sz w:val="24"/>
          <w:szCs w:val="24"/>
          <w:lang w:val="en-GB" w:eastAsia="en-US"/>
        </w:rPr>
        <w:t>to maintain</w:t>
      </w:r>
      <w:r w:rsidR="003F1018">
        <w:rPr>
          <w:rFonts w:ascii="Arial" w:eastAsia="Calibri" w:hAnsi="Arial" w:cs="Arial"/>
          <w:noProof w:val="0"/>
          <w:sz w:val="24"/>
          <w:szCs w:val="24"/>
          <w:lang w:val="en-GB" w:eastAsia="en-US"/>
        </w:rPr>
        <w:t xml:space="preserve"> </w:t>
      </w:r>
      <w:r>
        <w:rPr>
          <w:rFonts w:ascii="Arial" w:eastAsia="Calibri" w:hAnsi="Arial" w:cs="Arial"/>
          <w:noProof w:val="0"/>
          <w:sz w:val="24"/>
          <w:szCs w:val="24"/>
          <w:lang w:val="en-GB" w:eastAsia="en-US"/>
        </w:rPr>
        <w:t>the current staff.</w:t>
      </w:r>
      <w:r w:rsidR="003F1018">
        <w:rPr>
          <w:rFonts w:ascii="Arial" w:eastAsia="Calibri" w:hAnsi="Arial" w:cs="Arial"/>
          <w:noProof w:val="0"/>
          <w:sz w:val="24"/>
          <w:szCs w:val="24"/>
          <w:lang w:val="en-GB" w:eastAsia="en-US"/>
        </w:rPr>
        <w:t xml:space="preserve"> Moreover, it can be stated that the ES Frankfurt still faces difficulties to attract new teachers</w:t>
      </w:r>
      <w:r w:rsidR="008917EA">
        <w:rPr>
          <w:rFonts w:ascii="Arial" w:eastAsia="Calibri" w:hAnsi="Arial" w:cs="Arial"/>
          <w:noProof w:val="0"/>
          <w:sz w:val="24"/>
          <w:szCs w:val="24"/>
          <w:lang w:val="en-GB" w:eastAsia="en-US"/>
        </w:rPr>
        <w:t>, seconded or locally recruited</w:t>
      </w:r>
      <w:r w:rsidR="003F1018">
        <w:rPr>
          <w:rFonts w:ascii="Arial" w:eastAsia="Calibri" w:hAnsi="Arial" w:cs="Arial"/>
          <w:noProof w:val="0"/>
          <w:sz w:val="24"/>
          <w:szCs w:val="24"/>
          <w:lang w:val="en-GB" w:eastAsia="en-US"/>
        </w:rPr>
        <w:t xml:space="preserve">, due to the high costs of living. </w:t>
      </w:r>
    </w:p>
    <w:p w14:paraId="69FD4944" w14:textId="77777777" w:rsidR="003769B1" w:rsidRDefault="003769B1" w:rsidP="00EB06BC">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49AD65A5" w14:textId="6FAA3831" w:rsidR="003769B1" w:rsidRPr="003769B1" w:rsidRDefault="003769B1" w:rsidP="00EB06BC">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3769B1">
        <w:rPr>
          <w:rFonts w:ascii="Arial" w:eastAsia="Calibri" w:hAnsi="Arial" w:cs="Arial"/>
          <w:b/>
          <w:noProof w:val="0"/>
          <w:sz w:val="24"/>
          <w:szCs w:val="24"/>
          <w:lang w:val="en-GB" w:eastAsia="en-US"/>
        </w:rPr>
        <w:t>bb) Possibility to offer a permanent contract as of the first year</w:t>
      </w:r>
    </w:p>
    <w:p w14:paraId="38820256" w14:textId="565F8370" w:rsidR="00D35FD8" w:rsidRDefault="003769B1"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This measure was implemented as of 1 September 2019. The schools made a reasonable use of this possibility. The teachers concerned need to be evaluated by the end of the current school year by the management and a national inspector. These evaluations have been carried out in many cases, but in several cases only by the management and not by an inspector, as some of the envisaged evaluation missions had to be cancelled due to the suspension of teaching ‘in situ’. For the details see the document addressing the ‘COVID-19 Consequences – Risk Assessment and proposed Actions’</w:t>
      </w:r>
      <w:r>
        <w:rPr>
          <w:rStyle w:val="FootnoteReference"/>
          <w:rFonts w:ascii="Arial" w:eastAsia="Calibri" w:hAnsi="Arial" w:cs="Arial"/>
          <w:noProof w:val="0"/>
          <w:sz w:val="24"/>
          <w:szCs w:val="24"/>
          <w:lang w:val="en-GB" w:eastAsia="en-US"/>
        </w:rPr>
        <w:footnoteReference w:id="6"/>
      </w:r>
      <w:r>
        <w:rPr>
          <w:rFonts w:ascii="Arial" w:eastAsia="Calibri" w:hAnsi="Arial" w:cs="Arial"/>
          <w:noProof w:val="0"/>
          <w:sz w:val="24"/>
          <w:szCs w:val="24"/>
          <w:lang w:val="en-GB" w:eastAsia="en-US"/>
        </w:rPr>
        <w:t xml:space="preserve">. </w:t>
      </w:r>
    </w:p>
    <w:p w14:paraId="66A8BCEF" w14:textId="72650FC3" w:rsidR="003769B1" w:rsidRDefault="003769B1"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2A1A9E1B" w14:textId="3437CA06" w:rsidR="003769B1" w:rsidRDefault="003769B1" w:rsidP="00F0032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3769B1">
        <w:rPr>
          <w:rFonts w:ascii="Arial" w:eastAsia="Calibri" w:hAnsi="Arial" w:cs="Arial"/>
          <w:b/>
          <w:noProof w:val="0"/>
          <w:sz w:val="24"/>
          <w:szCs w:val="24"/>
          <w:lang w:val="en-GB" w:eastAsia="en-US"/>
        </w:rPr>
        <w:t>cc) Creation of ‘protected post’</w:t>
      </w:r>
    </w:p>
    <w:p w14:paraId="4441FF82" w14:textId="7AD3410D" w:rsidR="003769B1" w:rsidRDefault="003769B1"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Administration Board</w:t>
      </w:r>
      <w:r w:rsidR="008917EA">
        <w:rPr>
          <w:rFonts w:ascii="Arial" w:eastAsia="Calibri" w:hAnsi="Arial" w:cs="Arial"/>
          <w:noProof w:val="0"/>
          <w:sz w:val="24"/>
          <w:szCs w:val="24"/>
          <w:lang w:val="en-GB" w:eastAsia="en-US"/>
        </w:rPr>
        <w:t>s</w:t>
      </w:r>
      <w:r>
        <w:rPr>
          <w:rFonts w:ascii="Arial" w:eastAsia="Calibri" w:hAnsi="Arial" w:cs="Arial"/>
          <w:noProof w:val="0"/>
          <w:sz w:val="24"/>
          <w:szCs w:val="24"/>
          <w:lang w:val="en-GB" w:eastAsia="en-US"/>
        </w:rPr>
        <w:t xml:space="preserve"> of all 13 </w:t>
      </w:r>
      <w:r w:rsidR="008917EA">
        <w:rPr>
          <w:rFonts w:ascii="Arial" w:eastAsia="Calibri" w:hAnsi="Arial" w:cs="Arial"/>
          <w:noProof w:val="0"/>
          <w:sz w:val="24"/>
          <w:szCs w:val="24"/>
          <w:lang w:val="en-GB" w:eastAsia="en-US"/>
        </w:rPr>
        <w:t>European S</w:t>
      </w:r>
      <w:r>
        <w:rPr>
          <w:rFonts w:ascii="Arial" w:eastAsia="Calibri" w:hAnsi="Arial" w:cs="Arial"/>
          <w:noProof w:val="0"/>
          <w:sz w:val="24"/>
          <w:szCs w:val="24"/>
          <w:lang w:val="en-GB" w:eastAsia="en-US"/>
        </w:rPr>
        <w:t>chools have agreed in their meetings in September/October 2019 on the creation of ‘protected posts’ which require English native speakers.</w:t>
      </w:r>
      <w:r w:rsidR="00787014">
        <w:rPr>
          <w:rFonts w:ascii="Arial" w:eastAsia="Calibri" w:hAnsi="Arial" w:cs="Arial"/>
          <w:noProof w:val="0"/>
          <w:sz w:val="24"/>
          <w:szCs w:val="24"/>
          <w:lang w:val="en-GB" w:eastAsia="en-US"/>
        </w:rPr>
        <w:t xml:space="preserve"> In total, 107 ‘protected posts’ were agreed.</w:t>
      </w:r>
    </w:p>
    <w:p w14:paraId="6264DD6F" w14:textId="1573C91A" w:rsidR="003769B1" w:rsidRDefault="003769B1"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The complete list can be found in the document </w:t>
      </w:r>
      <w:r w:rsidR="00387ABC">
        <w:rPr>
          <w:rFonts w:ascii="Arial" w:eastAsia="Calibri" w:hAnsi="Arial" w:cs="Arial"/>
          <w:noProof w:val="0"/>
          <w:sz w:val="24"/>
          <w:szCs w:val="24"/>
          <w:lang w:val="en-GB" w:eastAsia="en-US"/>
        </w:rPr>
        <w:t>‘Creation and suppression of seconded posts in the nursery, primary and secondary cycles – 2020/2021 school year’</w:t>
      </w:r>
      <w:r w:rsidR="00387ABC">
        <w:rPr>
          <w:rStyle w:val="FootnoteReference"/>
          <w:rFonts w:ascii="Arial" w:eastAsia="Calibri" w:hAnsi="Arial" w:cs="Arial"/>
          <w:noProof w:val="0"/>
          <w:sz w:val="24"/>
          <w:szCs w:val="24"/>
          <w:lang w:val="en-GB" w:eastAsia="en-US"/>
        </w:rPr>
        <w:footnoteReference w:id="7"/>
      </w:r>
      <w:r w:rsidR="00787014">
        <w:rPr>
          <w:rFonts w:ascii="Arial" w:eastAsia="Calibri" w:hAnsi="Arial" w:cs="Arial"/>
          <w:noProof w:val="0"/>
          <w:sz w:val="24"/>
          <w:szCs w:val="24"/>
          <w:lang w:val="en-GB" w:eastAsia="en-US"/>
        </w:rPr>
        <w:t xml:space="preserve"> which was presented to the Board of Governors in December 2019.</w:t>
      </w:r>
      <w:r w:rsidR="00387ABC">
        <w:rPr>
          <w:rFonts w:ascii="Arial" w:eastAsia="Calibri" w:hAnsi="Arial" w:cs="Arial"/>
          <w:noProof w:val="0"/>
          <w:sz w:val="24"/>
          <w:szCs w:val="24"/>
          <w:lang w:val="en-GB" w:eastAsia="en-US"/>
        </w:rPr>
        <w:t xml:space="preserve"> </w:t>
      </w:r>
    </w:p>
    <w:p w14:paraId="15F6B84D" w14:textId="095F91B7" w:rsidR="00787014" w:rsidRDefault="00787014"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3265CB9C" w14:textId="77777777" w:rsidR="0038167A" w:rsidRDefault="0038167A"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3A65D8FB" w14:textId="2230A747" w:rsidR="00787014" w:rsidRDefault="00787014" w:rsidP="00F0032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787014">
        <w:rPr>
          <w:rFonts w:ascii="Arial" w:eastAsia="Calibri" w:hAnsi="Arial" w:cs="Arial"/>
          <w:b/>
          <w:noProof w:val="0"/>
          <w:sz w:val="24"/>
          <w:szCs w:val="24"/>
          <w:lang w:val="en-GB" w:eastAsia="en-US"/>
        </w:rPr>
        <w:t>c) Creation of middle management functions</w:t>
      </w:r>
    </w:p>
    <w:p w14:paraId="3F8E13F4" w14:textId="4E07560C" w:rsidR="00787014" w:rsidRDefault="00787014"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A measures which concerns both, seconded teaching staff as well as the locally recruited teaching staff</w:t>
      </w:r>
      <w:r w:rsidR="0038167A">
        <w:rPr>
          <w:rFonts w:ascii="Arial" w:eastAsia="Calibri" w:hAnsi="Arial" w:cs="Arial"/>
          <w:noProof w:val="0"/>
          <w:sz w:val="24"/>
          <w:szCs w:val="24"/>
          <w:lang w:val="en-GB" w:eastAsia="en-US"/>
        </w:rPr>
        <w:t>,</w:t>
      </w:r>
      <w:r w:rsidR="000234B1">
        <w:rPr>
          <w:rFonts w:ascii="Arial" w:eastAsia="Calibri" w:hAnsi="Arial" w:cs="Arial"/>
          <w:noProof w:val="0"/>
          <w:sz w:val="24"/>
          <w:szCs w:val="24"/>
          <w:lang w:val="en-GB" w:eastAsia="en-US"/>
        </w:rPr>
        <w:t xml:space="preserve"> i</w:t>
      </w:r>
      <w:r>
        <w:rPr>
          <w:rFonts w:ascii="Arial" w:eastAsia="Calibri" w:hAnsi="Arial" w:cs="Arial"/>
          <w:noProof w:val="0"/>
          <w:sz w:val="24"/>
          <w:szCs w:val="24"/>
          <w:lang w:val="en-GB" w:eastAsia="en-US"/>
        </w:rPr>
        <w:t>s the creation of middle management functions in all schools as of September 2020. The main principles were agreed by the Board of Governors in April 2019</w:t>
      </w:r>
      <w:r>
        <w:rPr>
          <w:rStyle w:val="FootnoteReference"/>
          <w:rFonts w:ascii="Arial" w:eastAsia="Calibri" w:hAnsi="Arial" w:cs="Arial"/>
          <w:noProof w:val="0"/>
          <w:sz w:val="24"/>
          <w:szCs w:val="24"/>
          <w:lang w:val="en-GB" w:eastAsia="en-US"/>
        </w:rPr>
        <w:footnoteReference w:id="8"/>
      </w:r>
      <w:r>
        <w:rPr>
          <w:rFonts w:ascii="Arial" w:eastAsia="Calibri" w:hAnsi="Arial" w:cs="Arial"/>
          <w:noProof w:val="0"/>
          <w:sz w:val="24"/>
          <w:szCs w:val="24"/>
          <w:lang w:val="en-GB" w:eastAsia="en-US"/>
        </w:rPr>
        <w:t>.</w:t>
      </w:r>
    </w:p>
    <w:p w14:paraId="7A1928AE" w14:textId="50A4AC51" w:rsidR="00787014" w:rsidRDefault="00787014"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More precise ‘Im</w:t>
      </w:r>
      <w:r w:rsidR="000234B1">
        <w:rPr>
          <w:rFonts w:ascii="Arial" w:eastAsia="Calibri" w:hAnsi="Arial" w:cs="Arial"/>
          <w:noProof w:val="0"/>
          <w:sz w:val="24"/>
          <w:szCs w:val="24"/>
          <w:lang w:val="en-GB" w:eastAsia="en-US"/>
        </w:rPr>
        <w:t>plementing Regulations for the A</w:t>
      </w:r>
      <w:r>
        <w:rPr>
          <w:rFonts w:ascii="Arial" w:eastAsia="Calibri" w:hAnsi="Arial" w:cs="Arial"/>
          <w:noProof w:val="0"/>
          <w:sz w:val="24"/>
          <w:szCs w:val="24"/>
          <w:lang w:val="en-GB" w:eastAsia="en-US"/>
        </w:rPr>
        <w:t>ppointment of Assistant Deputy Directors of the European Schools’</w:t>
      </w:r>
      <w:r>
        <w:rPr>
          <w:rStyle w:val="FootnoteReference"/>
          <w:rFonts w:ascii="Arial" w:eastAsia="Calibri" w:hAnsi="Arial" w:cs="Arial"/>
          <w:noProof w:val="0"/>
          <w:sz w:val="24"/>
          <w:szCs w:val="24"/>
          <w:lang w:val="en-GB" w:eastAsia="en-US"/>
        </w:rPr>
        <w:footnoteReference w:id="9"/>
      </w:r>
      <w:r>
        <w:rPr>
          <w:rFonts w:ascii="Arial" w:eastAsia="Calibri" w:hAnsi="Arial" w:cs="Arial"/>
          <w:noProof w:val="0"/>
          <w:sz w:val="24"/>
          <w:szCs w:val="24"/>
          <w:lang w:val="en-GB" w:eastAsia="en-US"/>
        </w:rPr>
        <w:t xml:space="preserve"> </w:t>
      </w:r>
      <w:r w:rsidR="00814837">
        <w:rPr>
          <w:rFonts w:ascii="Arial" w:eastAsia="Calibri" w:hAnsi="Arial" w:cs="Arial"/>
          <w:noProof w:val="0"/>
          <w:sz w:val="24"/>
          <w:szCs w:val="24"/>
          <w:lang w:val="en-GB" w:eastAsia="en-US"/>
        </w:rPr>
        <w:t>and also the necessary amendm</w:t>
      </w:r>
      <w:r>
        <w:rPr>
          <w:rFonts w:ascii="Arial" w:eastAsia="Calibri" w:hAnsi="Arial" w:cs="Arial"/>
          <w:noProof w:val="0"/>
          <w:sz w:val="24"/>
          <w:szCs w:val="24"/>
          <w:lang w:val="en-GB" w:eastAsia="en-US"/>
        </w:rPr>
        <w:t>ents</w:t>
      </w:r>
      <w:r w:rsidR="008917EA">
        <w:rPr>
          <w:rFonts w:ascii="Arial" w:eastAsia="Calibri" w:hAnsi="Arial" w:cs="Arial"/>
          <w:noProof w:val="0"/>
          <w:sz w:val="24"/>
          <w:szCs w:val="24"/>
          <w:lang w:val="en-GB" w:eastAsia="en-US"/>
        </w:rPr>
        <w:t xml:space="preserve"> the staff regulations</w:t>
      </w:r>
      <w:r w:rsidR="00814837">
        <w:rPr>
          <w:rStyle w:val="FootnoteReference"/>
          <w:rFonts w:ascii="Arial" w:eastAsia="Calibri" w:hAnsi="Arial" w:cs="Arial"/>
          <w:noProof w:val="0"/>
          <w:sz w:val="24"/>
          <w:szCs w:val="24"/>
          <w:lang w:val="en-GB" w:eastAsia="en-US"/>
        </w:rPr>
        <w:footnoteReference w:id="10"/>
      </w:r>
      <w:r w:rsidR="008917EA">
        <w:rPr>
          <w:rFonts w:ascii="Arial" w:eastAsia="Calibri" w:hAnsi="Arial" w:cs="Arial"/>
          <w:noProof w:val="0"/>
          <w:sz w:val="24"/>
          <w:szCs w:val="24"/>
          <w:lang w:val="en-GB" w:eastAsia="en-US"/>
        </w:rPr>
        <w:t xml:space="preserve">, namely </w:t>
      </w:r>
      <w:r>
        <w:rPr>
          <w:rFonts w:ascii="Arial" w:eastAsia="Calibri" w:hAnsi="Arial" w:cs="Arial"/>
          <w:noProof w:val="0"/>
          <w:sz w:val="24"/>
          <w:szCs w:val="24"/>
          <w:lang w:val="en-GB" w:eastAsia="en-US"/>
        </w:rPr>
        <w:t>to the ‘</w:t>
      </w:r>
      <w:r w:rsidR="00814837">
        <w:rPr>
          <w:rFonts w:ascii="Arial" w:eastAsia="Calibri" w:hAnsi="Arial" w:cs="Arial"/>
          <w:noProof w:val="0"/>
          <w:sz w:val="24"/>
          <w:szCs w:val="24"/>
          <w:lang w:val="en-GB" w:eastAsia="en-US"/>
        </w:rPr>
        <w:t>Regulations for Seconded Staff M</w:t>
      </w:r>
      <w:r>
        <w:rPr>
          <w:rFonts w:ascii="Arial" w:eastAsia="Calibri" w:hAnsi="Arial" w:cs="Arial"/>
          <w:noProof w:val="0"/>
          <w:sz w:val="24"/>
          <w:szCs w:val="24"/>
          <w:lang w:val="en-GB" w:eastAsia="en-US"/>
        </w:rPr>
        <w:t xml:space="preserve">embers of the European Schools’ and to the </w:t>
      </w:r>
      <w:r w:rsidR="00814837">
        <w:rPr>
          <w:rFonts w:ascii="Arial" w:eastAsia="Calibri" w:hAnsi="Arial" w:cs="Arial"/>
          <w:noProof w:val="0"/>
          <w:sz w:val="24"/>
          <w:szCs w:val="24"/>
          <w:lang w:val="en-GB" w:eastAsia="en-US"/>
        </w:rPr>
        <w:t>‘Service R</w:t>
      </w:r>
      <w:r>
        <w:rPr>
          <w:rFonts w:ascii="Arial" w:eastAsia="Calibri" w:hAnsi="Arial" w:cs="Arial"/>
          <w:noProof w:val="0"/>
          <w:sz w:val="24"/>
          <w:szCs w:val="24"/>
          <w:lang w:val="en-GB" w:eastAsia="en-US"/>
        </w:rPr>
        <w:t>egulations for Locally Recr</w:t>
      </w:r>
      <w:r w:rsidR="00814837">
        <w:rPr>
          <w:rFonts w:ascii="Arial" w:eastAsia="Calibri" w:hAnsi="Arial" w:cs="Arial"/>
          <w:noProof w:val="0"/>
          <w:sz w:val="24"/>
          <w:szCs w:val="24"/>
          <w:lang w:val="en-GB" w:eastAsia="en-US"/>
        </w:rPr>
        <w:t>uited T</w:t>
      </w:r>
      <w:r>
        <w:rPr>
          <w:rFonts w:ascii="Arial" w:eastAsia="Calibri" w:hAnsi="Arial" w:cs="Arial"/>
          <w:noProof w:val="0"/>
          <w:sz w:val="24"/>
          <w:szCs w:val="24"/>
          <w:lang w:val="en-GB" w:eastAsia="en-US"/>
        </w:rPr>
        <w:t>eachers in the European Schools’</w:t>
      </w:r>
      <w:r w:rsidR="008917EA">
        <w:rPr>
          <w:rFonts w:ascii="Arial" w:eastAsia="Calibri" w:hAnsi="Arial" w:cs="Arial"/>
          <w:noProof w:val="0"/>
          <w:sz w:val="24"/>
          <w:szCs w:val="24"/>
          <w:lang w:val="en-GB" w:eastAsia="en-US"/>
        </w:rPr>
        <w:t>,</w:t>
      </w:r>
      <w:r>
        <w:rPr>
          <w:rFonts w:ascii="Arial" w:eastAsia="Calibri" w:hAnsi="Arial" w:cs="Arial"/>
          <w:noProof w:val="0"/>
          <w:sz w:val="24"/>
          <w:szCs w:val="24"/>
          <w:lang w:val="en-GB" w:eastAsia="en-US"/>
        </w:rPr>
        <w:t xml:space="preserve"> were approved by the Board of Governors at its meeting in December 2019.</w:t>
      </w:r>
    </w:p>
    <w:p w14:paraId="184078BE" w14:textId="6457C5C6" w:rsidR="00814837" w:rsidRDefault="00814837"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This allowed to publish the new functions and to ask Member States for concrete candidatures by letter of the Secretary-General </w:t>
      </w:r>
      <w:r w:rsidRPr="00D336D6">
        <w:rPr>
          <w:rFonts w:ascii="Arial" w:eastAsia="Calibri" w:hAnsi="Arial" w:cs="Arial"/>
          <w:noProof w:val="0"/>
          <w:sz w:val="24"/>
          <w:szCs w:val="24"/>
          <w:lang w:val="en-GB" w:eastAsia="en-US"/>
        </w:rPr>
        <w:t xml:space="preserve">of </w:t>
      </w:r>
      <w:r w:rsidR="00D336D6" w:rsidRPr="00D336D6">
        <w:rPr>
          <w:rFonts w:ascii="Arial" w:eastAsia="Calibri" w:hAnsi="Arial" w:cs="Arial"/>
          <w:noProof w:val="0"/>
          <w:sz w:val="24"/>
          <w:szCs w:val="24"/>
          <w:lang w:val="en-GB" w:eastAsia="en-US"/>
        </w:rPr>
        <w:t>18</w:t>
      </w:r>
      <w:r w:rsidRPr="00D336D6">
        <w:rPr>
          <w:rFonts w:ascii="Arial" w:eastAsia="Calibri" w:hAnsi="Arial" w:cs="Arial"/>
          <w:noProof w:val="0"/>
          <w:sz w:val="24"/>
          <w:szCs w:val="24"/>
          <w:lang w:val="en-GB" w:eastAsia="en-US"/>
        </w:rPr>
        <w:t xml:space="preserve"> December 2019</w:t>
      </w:r>
      <w:r w:rsidR="00D336D6">
        <w:rPr>
          <w:rStyle w:val="FootnoteReference"/>
          <w:rFonts w:ascii="Arial" w:eastAsia="Calibri" w:hAnsi="Arial" w:cs="Arial"/>
          <w:noProof w:val="0"/>
          <w:sz w:val="24"/>
          <w:szCs w:val="24"/>
          <w:lang w:val="en-GB" w:eastAsia="en-US"/>
        </w:rPr>
        <w:footnoteReference w:id="11"/>
      </w:r>
      <w:r>
        <w:rPr>
          <w:rFonts w:ascii="Arial" w:eastAsia="Calibri" w:hAnsi="Arial" w:cs="Arial"/>
          <w:noProof w:val="0"/>
          <w:sz w:val="24"/>
          <w:szCs w:val="24"/>
          <w:lang w:val="en-GB" w:eastAsia="en-US"/>
        </w:rPr>
        <w:t>.</w:t>
      </w:r>
    </w:p>
    <w:p w14:paraId="1924EDC4" w14:textId="0B3FCC5D" w:rsidR="00814837" w:rsidRDefault="00814837"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lastRenderedPageBreak/>
        <w:t xml:space="preserve">Within the deadline, which was prolonged on request of two delegations </w:t>
      </w:r>
      <w:r w:rsidR="00D336D6" w:rsidRPr="00D336D6">
        <w:rPr>
          <w:rFonts w:ascii="Arial" w:eastAsia="Calibri" w:hAnsi="Arial" w:cs="Arial"/>
          <w:noProof w:val="0"/>
          <w:sz w:val="24"/>
          <w:szCs w:val="24"/>
          <w:lang w:val="en-GB" w:eastAsia="en-US"/>
        </w:rPr>
        <w:t>until 16</w:t>
      </w:r>
      <w:r w:rsidRPr="00D336D6">
        <w:rPr>
          <w:rFonts w:ascii="Arial" w:eastAsia="Calibri" w:hAnsi="Arial" w:cs="Arial"/>
          <w:noProof w:val="0"/>
          <w:sz w:val="24"/>
          <w:szCs w:val="24"/>
          <w:lang w:val="en-GB" w:eastAsia="en-US"/>
        </w:rPr>
        <w:t xml:space="preserve"> March</w:t>
      </w:r>
      <w:r>
        <w:rPr>
          <w:rFonts w:ascii="Arial" w:eastAsia="Calibri" w:hAnsi="Arial" w:cs="Arial"/>
          <w:noProof w:val="0"/>
          <w:sz w:val="24"/>
          <w:szCs w:val="24"/>
          <w:lang w:val="en-GB" w:eastAsia="en-US"/>
        </w:rPr>
        <w:t xml:space="preserve"> 2020</w:t>
      </w:r>
      <w:r w:rsidR="00D336D6">
        <w:rPr>
          <w:rStyle w:val="FootnoteReference"/>
          <w:rFonts w:ascii="Arial" w:eastAsia="Calibri" w:hAnsi="Arial" w:cs="Arial"/>
          <w:noProof w:val="0"/>
          <w:sz w:val="24"/>
          <w:szCs w:val="24"/>
          <w:lang w:val="en-GB" w:eastAsia="en-US"/>
        </w:rPr>
        <w:footnoteReference w:id="12"/>
      </w:r>
      <w:r>
        <w:rPr>
          <w:rFonts w:ascii="Arial" w:eastAsia="Calibri" w:hAnsi="Arial" w:cs="Arial"/>
          <w:noProof w:val="0"/>
          <w:sz w:val="24"/>
          <w:szCs w:val="24"/>
          <w:lang w:val="en-GB" w:eastAsia="en-US"/>
        </w:rPr>
        <w:t xml:space="preserve">, the Office of the Secretary-General </w:t>
      </w:r>
      <w:r w:rsidR="00D336D6" w:rsidRPr="006310D2">
        <w:rPr>
          <w:rFonts w:ascii="Arial" w:eastAsia="Calibri" w:hAnsi="Arial" w:cs="Arial"/>
          <w:noProof w:val="0"/>
          <w:sz w:val="24"/>
          <w:szCs w:val="24"/>
          <w:lang w:val="en-GB" w:eastAsia="en-US"/>
        </w:rPr>
        <w:t>received</w:t>
      </w:r>
      <w:r w:rsidR="006310D2">
        <w:rPr>
          <w:rFonts w:ascii="Arial" w:eastAsia="Calibri" w:hAnsi="Arial" w:cs="Arial"/>
          <w:noProof w:val="0"/>
          <w:sz w:val="24"/>
          <w:szCs w:val="24"/>
          <w:lang w:val="en-GB" w:eastAsia="en-US"/>
        </w:rPr>
        <w:t xml:space="preserve"> for the 23 published </w:t>
      </w:r>
      <w:r w:rsidR="008917EA">
        <w:rPr>
          <w:rFonts w:ascii="Arial" w:eastAsia="Calibri" w:hAnsi="Arial" w:cs="Arial"/>
          <w:noProof w:val="0"/>
          <w:sz w:val="24"/>
          <w:szCs w:val="24"/>
          <w:lang w:val="en-GB" w:eastAsia="en-US"/>
        </w:rPr>
        <w:t xml:space="preserve">middle management </w:t>
      </w:r>
      <w:r w:rsidR="006310D2">
        <w:rPr>
          <w:rFonts w:ascii="Arial" w:eastAsia="Calibri" w:hAnsi="Arial" w:cs="Arial"/>
          <w:noProof w:val="0"/>
          <w:sz w:val="24"/>
          <w:szCs w:val="24"/>
          <w:lang w:val="en-GB" w:eastAsia="en-US"/>
        </w:rPr>
        <w:t>functions</w:t>
      </w:r>
      <w:r w:rsidR="00D336D6" w:rsidRPr="006310D2">
        <w:rPr>
          <w:rFonts w:ascii="Arial" w:eastAsia="Calibri" w:hAnsi="Arial" w:cs="Arial"/>
          <w:noProof w:val="0"/>
          <w:sz w:val="24"/>
          <w:szCs w:val="24"/>
          <w:lang w:val="en-GB" w:eastAsia="en-US"/>
        </w:rPr>
        <w:t xml:space="preserve"> </w:t>
      </w:r>
      <w:r w:rsidR="008917EA">
        <w:rPr>
          <w:rFonts w:ascii="Arial" w:eastAsia="Calibri" w:hAnsi="Arial" w:cs="Arial"/>
          <w:noProof w:val="0"/>
          <w:sz w:val="24"/>
          <w:szCs w:val="24"/>
          <w:lang w:val="en-GB" w:eastAsia="en-US"/>
        </w:rPr>
        <w:t xml:space="preserve">in total </w:t>
      </w:r>
      <w:r w:rsidR="006310D2" w:rsidRPr="006310D2">
        <w:rPr>
          <w:rFonts w:ascii="Arial" w:eastAsia="Calibri" w:hAnsi="Arial" w:cs="Arial"/>
          <w:noProof w:val="0"/>
          <w:sz w:val="24"/>
          <w:szCs w:val="24"/>
          <w:lang w:val="en-GB" w:eastAsia="en-US"/>
        </w:rPr>
        <w:t>73</w:t>
      </w:r>
      <w:r w:rsidRPr="006310D2">
        <w:rPr>
          <w:rFonts w:ascii="Arial" w:eastAsia="Calibri" w:hAnsi="Arial" w:cs="Arial"/>
          <w:noProof w:val="0"/>
          <w:sz w:val="24"/>
          <w:szCs w:val="24"/>
          <w:lang w:val="en-GB" w:eastAsia="en-US"/>
        </w:rPr>
        <w:t xml:space="preserve"> candidatures</w:t>
      </w:r>
      <w:r>
        <w:rPr>
          <w:rFonts w:ascii="Arial" w:eastAsia="Calibri" w:hAnsi="Arial" w:cs="Arial"/>
          <w:noProof w:val="0"/>
          <w:sz w:val="24"/>
          <w:szCs w:val="24"/>
          <w:lang w:val="en-GB" w:eastAsia="en-US"/>
        </w:rPr>
        <w:t xml:space="preserve"> for secondment from </w:t>
      </w:r>
      <w:r w:rsidR="006310D2">
        <w:rPr>
          <w:rFonts w:ascii="Arial" w:eastAsia="Calibri" w:hAnsi="Arial" w:cs="Arial"/>
          <w:noProof w:val="0"/>
          <w:sz w:val="24"/>
          <w:szCs w:val="24"/>
          <w:lang w:val="en-GB" w:eastAsia="en-US"/>
        </w:rPr>
        <w:t>13</w:t>
      </w:r>
      <w:r>
        <w:rPr>
          <w:rFonts w:ascii="Arial" w:eastAsia="Calibri" w:hAnsi="Arial" w:cs="Arial"/>
          <w:noProof w:val="0"/>
          <w:sz w:val="24"/>
          <w:szCs w:val="24"/>
          <w:lang w:val="en-GB" w:eastAsia="en-US"/>
        </w:rPr>
        <w:t xml:space="preserve"> delegations.</w:t>
      </w:r>
      <w:r w:rsidR="002F3755">
        <w:rPr>
          <w:rFonts w:ascii="Arial" w:eastAsia="Calibri" w:hAnsi="Arial" w:cs="Arial"/>
          <w:noProof w:val="0"/>
          <w:sz w:val="24"/>
          <w:szCs w:val="24"/>
          <w:lang w:val="en-GB" w:eastAsia="en-US"/>
        </w:rPr>
        <w:t xml:space="preserve"> </w:t>
      </w:r>
      <w:r w:rsidR="006310D2">
        <w:rPr>
          <w:rFonts w:ascii="Arial" w:eastAsia="Calibri" w:hAnsi="Arial" w:cs="Arial"/>
          <w:noProof w:val="0"/>
          <w:sz w:val="24"/>
          <w:szCs w:val="24"/>
          <w:lang w:val="en-GB" w:eastAsia="en-US"/>
        </w:rPr>
        <w:t xml:space="preserve">Each published function received at least one candidature for secondment. None of the functions received more than six candidatures.  </w:t>
      </w:r>
    </w:p>
    <w:p w14:paraId="293020ED" w14:textId="115E46B3" w:rsidR="00814837" w:rsidRDefault="00814837"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In the meantime, the Spanish Presidents of the Board of Inspectors have appointed the inspectors supposed to be members of the different selection procedures which will be organized under the authority of each Director.</w:t>
      </w:r>
      <w:r w:rsidR="006310D2">
        <w:rPr>
          <w:rFonts w:ascii="Arial" w:eastAsia="Calibri" w:hAnsi="Arial" w:cs="Arial"/>
          <w:noProof w:val="0"/>
          <w:sz w:val="24"/>
          <w:szCs w:val="24"/>
          <w:lang w:val="en-GB" w:eastAsia="en-US"/>
        </w:rPr>
        <w:t xml:space="preserve"> The names of the inspectors are now communicated to the schools.</w:t>
      </w:r>
    </w:p>
    <w:p w14:paraId="12837B05" w14:textId="4F2A1B00" w:rsidR="00C57377" w:rsidRDefault="00814837"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Due to the current situation of confinement it was agreed that the interviews can be scheduled remotely. The interviews will </w:t>
      </w:r>
      <w:r w:rsidR="006310D2">
        <w:rPr>
          <w:rFonts w:ascii="Arial" w:eastAsia="Calibri" w:hAnsi="Arial" w:cs="Arial"/>
          <w:noProof w:val="0"/>
          <w:sz w:val="24"/>
          <w:szCs w:val="24"/>
          <w:lang w:val="en-GB" w:eastAsia="en-US"/>
        </w:rPr>
        <w:t xml:space="preserve">be scheduled </w:t>
      </w:r>
      <w:r>
        <w:rPr>
          <w:rFonts w:ascii="Arial" w:eastAsia="Calibri" w:hAnsi="Arial" w:cs="Arial"/>
          <w:noProof w:val="0"/>
          <w:sz w:val="24"/>
          <w:szCs w:val="24"/>
          <w:lang w:val="en-GB" w:eastAsia="en-US"/>
        </w:rPr>
        <w:t>in the coming weeks; one procedure has already been finalized.</w:t>
      </w:r>
    </w:p>
    <w:p w14:paraId="5ADEAAEE" w14:textId="6278E765" w:rsidR="00814837" w:rsidRDefault="00814837"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In case no qualified candidate for secondment can be appointed, the procedure</w:t>
      </w:r>
      <w:r w:rsidR="008917EA">
        <w:rPr>
          <w:rFonts w:ascii="Arial" w:eastAsia="Calibri" w:hAnsi="Arial" w:cs="Arial"/>
          <w:noProof w:val="0"/>
          <w:sz w:val="24"/>
          <w:szCs w:val="24"/>
          <w:lang w:val="en-GB" w:eastAsia="en-US"/>
        </w:rPr>
        <w:t>(s)</w:t>
      </w:r>
      <w:r>
        <w:rPr>
          <w:rFonts w:ascii="Arial" w:eastAsia="Calibri" w:hAnsi="Arial" w:cs="Arial"/>
          <w:noProof w:val="0"/>
          <w:sz w:val="24"/>
          <w:szCs w:val="24"/>
          <w:lang w:val="en-GB" w:eastAsia="en-US"/>
        </w:rPr>
        <w:t xml:space="preserve"> will be opened for locally recruited teaching staff already employed in one of the 13 European Schools.</w:t>
      </w:r>
    </w:p>
    <w:p w14:paraId="08DB00BD" w14:textId="1A7ECF47" w:rsidR="0038167A" w:rsidRDefault="0038167A"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0DE292E4" w14:textId="77777777" w:rsidR="0038167A" w:rsidRDefault="0038167A" w:rsidP="00F0032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34740280" w14:textId="3125717F" w:rsidR="0038167A" w:rsidRPr="0038167A" w:rsidRDefault="0038167A" w:rsidP="0038167A">
      <w:pPr>
        <w:pStyle w:val="ListParagraph"/>
        <w:numPr>
          <w:ilvl w:val="0"/>
          <w:numId w:val="52"/>
        </w:num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38167A">
        <w:rPr>
          <w:rFonts w:ascii="Arial" w:eastAsia="Calibri" w:hAnsi="Arial" w:cs="Arial"/>
          <w:b/>
          <w:noProof w:val="0"/>
          <w:sz w:val="24"/>
          <w:szCs w:val="24"/>
          <w:lang w:val="en-GB" w:eastAsia="en-US"/>
        </w:rPr>
        <w:t>Meas</w:t>
      </w:r>
      <w:r>
        <w:rPr>
          <w:rFonts w:ascii="Arial" w:eastAsia="Calibri" w:hAnsi="Arial" w:cs="Arial"/>
          <w:b/>
          <w:noProof w:val="0"/>
          <w:sz w:val="24"/>
          <w:szCs w:val="24"/>
          <w:lang w:val="en-GB" w:eastAsia="en-US"/>
        </w:rPr>
        <w:t>ures to increase the attractive</w:t>
      </w:r>
      <w:r w:rsidRPr="0038167A">
        <w:rPr>
          <w:rFonts w:ascii="Arial" w:eastAsia="Calibri" w:hAnsi="Arial" w:cs="Arial"/>
          <w:b/>
          <w:noProof w:val="0"/>
          <w:sz w:val="24"/>
          <w:szCs w:val="24"/>
          <w:lang w:val="en-GB" w:eastAsia="en-US"/>
        </w:rPr>
        <w:t>ne</w:t>
      </w:r>
      <w:r>
        <w:rPr>
          <w:rFonts w:ascii="Arial" w:eastAsia="Calibri" w:hAnsi="Arial" w:cs="Arial"/>
          <w:b/>
          <w:noProof w:val="0"/>
          <w:sz w:val="24"/>
          <w:szCs w:val="24"/>
          <w:lang w:val="en-GB" w:eastAsia="en-US"/>
        </w:rPr>
        <w:t>ss of the European S</w:t>
      </w:r>
      <w:r w:rsidRPr="0038167A">
        <w:rPr>
          <w:rFonts w:ascii="Arial" w:eastAsia="Calibri" w:hAnsi="Arial" w:cs="Arial"/>
          <w:b/>
          <w:noProof w:val="0"/>
          <w:sz w:val="24"/>
          <w:szCs w:val="24"/>
          <w:lang w:val="en-GB" w:eastAsia="en-US"/>
        </w:rPr>
        <w:t>chools for the Administrative and Ancillary Staff</w:t>
      </w:r>
      <w:r>
        <w:rPr>
          <w:rFonts w:ascii="Arial" w:eastAsia="Calibri" w:hAnsi="Arial" w:cs="Arial"/>
          <w:b/>
          <w:noProof w:val="0"/>
          <w:sz w:val="24"/>
          <w:szCs w:val="24"/>
          <w:lang w:val="en-GB" w:eastAsia="en-US"/>
        </w:rPr>
        <w:t xml:space="preserve"> (AAS)</w:t>
      </w:r>
    </w:p>
    <w:p w14:paraId="5E9C0710" w14:textId="3F3AF6FE" w:rsidR="0038167A" w:rsidRDefault="0038167A"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542232E8" w14:textId="22975A30" w:rsidR="0038167A" w:rsidRDefault="004C07F1"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In April 2019 the Board of G</w:t>
      </w:r>
      <w:r w:rsidR="0038167A">
        <w:rPr>
          <w:rFonts w:ascii="Arial" w:eastAsia="Calibri" w:hAnsi="Arial" w:cs="Arial"/>
          <w:noProof w:val="0"/>
          <w:sz w:val="24"/>
          <w:szCs w:val="24"/>
          <w:lang w:val="en-GB" w:eastAsia="en-US"/>
        </w:rPr>
        <w:t xml:space="preserve">overnors also approved a </w:t>
      </w:r>
      <w:r>
        <w:rPr>
          <w:rFonts w:ascii="Arial" w:eastAsia="Calibri" w:hAnsi="Arial" w:cs="Arial"/>
          <w:noProof w:val="0"/>
          <w:sz w:val="24"/>
          <w:szCs w:val="24"/>
          <w:lang w:val="en-GB" w:eastAsia="en-US"/>
        </w:rPr>
        <w:t>‘Revision of the AAS Salary and Progression System’</w:t>
      </w:r>
      <w:r>
        <w:rPr>
          <w:rStyle w:val="FootnoteReference"/>
          <w:rFonts w:ascii="Arial" w:eastAsia="Calibri" w:hAnsi="Arial" w:cs="Arial"/>
          <w:noProof w:val="0"/>
          <w:sz w:val="24"/>
          <w:szCs w:val="24"/>
          <w:lang w:val="en-GB" w:eastAsia="en-US"/>
        </w:rPr>
        <w:footnoteReference w:id="13"/>
      </w:r>
      <w:r w:rsidR="0038167A">
        <w:rPr>
          <w:rFonts w:ascii="Arial" w:eastAsia="Calibri" w:hAnsi="Arial" w:cs="Arial"/>
          <w:noProof w:val="0"/>
          <w:sz w:val="24"/>
          <w:szCs w:val="24"/>
          <w:lang w:val="en-GB" w:eastAsia="en-US"/>
        </w:rPr>
        <w:t xml:space="preserve"> and ‘Implementing Rules for the Evaluation and Progression of </w:t>
      </w:r>
      <w:r>
        <w:rPr>
          <w:rFonts w:ascii="Arial" w:eastAsia="Calibri" w:hAnsi="Arial" w:cs="Arial"/>
          <w:noProof w:val="0"/>
          <w:sz w:val="24"/>
          <w:szCs w:val="24"/>
          <w:lang w:val="en-GB" w:eastAsia="en-US"/>
        </w:rPr>
        <w:t xml:space="preserve"> members of the </w:t>
      </w:r>
      <w:r w:rsidR="0038167A">
        <w:rPr>
          <w:rFonts w:ascii="Arial" w:eastAsia="Calibri" w:hAnsi="Arial" w:cs="Arial"/>
          <w:noProof w:val="0"/>
          <w:sz w:val="24"/>
          <w:szCs w:val="24"/>
          <w:lang w:val="en-GB" w:eastAsia="en-US"/>
        </w:rPr>
        <w:t>AAS</w:t>
      </w:r>
      <w:r>
        <w:rPr>
          <w:rFonts w:ascii="Arial" w:eastAsia="Calibri" w:hAnsi="Arial" w:cs="Arial"/>
          <w:noProof w:val="0"/>
          <w:sz w:val="24"/>
          <w:szCs w:val="24"/>
          <w:lang w:val="en-GB" w:eastAsia="en-US"/>
        </w:rPr>
        <w:t xml:space="preserve"> in the European Schools</w:t>
      </w:r>
      <w:r w:rsidR="0038167A">
        <w:rPr>
          <w:rFonts w:ascii="Arial" w:eastAsia="Calibri" w:hAnsi="Arial" w:cs="Arial"/>
          <w:noProof w:val="0"/>
          <w:sz w:val="24"/>
          <w:szCs w:val="24"/>
          <w:lang w:val="en-GB" w:eastAsia="en-US"/>
        </w:rPr>
        <w:t>’</w:t>
      </w:r>
      <w:r>
        <w:rPr>
          <w:rStyle w:val="FootnoteReference"/>
          <w:rFonts w:ascii="Arial" w:eastAsia="Calibri" w:hAnsi="Arial" w:cs="Arial"/>
          <w:noProof w:val="0"/>
          <w:sz w:val="24"/>
          <w:szCs w:val="24"/>
          <w:lang w:val="en-GB" w:eastAsia="en-US"/>
        </w:rPr>
        <w:footnoteReference w:id="14"/>
      </w:r>
      <w:r w:rsidR="0038167A">
        <w:rPr>
          <w:rFonts w:ascii="Arial" w:eastAsia="Calibri" w:hAnsi="Arial" w:cs="Arial"/>
          <w:noProof w:val="0"/>
          <w:sz w:val="24"/>
          <w:szCs w:val="24"/>
          <w:lang w:val="en-GB" w:eastAsia="en-US"/>
        </w:rPr>
        <w:t>.</w:t>
      </w:r>
    </w:p>
    <w:p w14:paraId="191F6C92" w14:textId="060FCCBF" w:rsidR="0038167A" w:rsidRPr="0038167A" w:rsidRDefault="0038167A" w:rsidP="0038167A">
      <w:pPr>
        <w:overflowPunct/>
        <w:autoSpaceDE/>
        <w:autoSpaceDN/>
        <w:adjustRightInd/>
        <w:spacing w:after="160" w:line="259" w:lineRule="auto"/>
        <w:jc w:val="both"/>
        <w:textAlignment w:val="auto"/>
        <w:rPr>
          <w:rFonts w:ascii="Arial" w:hAnsi="Arial" w:cs="Arial"/>
          <w:noProof w:val="0"/>
          <w:color w:val="000000"/>
          <w:sz w:val="24"/>
          <w:szCs w:val="24"/>
          <w:lang w:val="en-GB" w:eastAsia="ar-SA"/>
        </w:rPr>
      </w:pPr>
      <w:r w:rsidRPr="0038167A">
        <w:rPr>
          <w:rFonts w:ascii="Arial" w:eastAsia="Calibri" w:hAnsi="Arial" w:cs="Arial"/>
          <w:noProof w:val="0"/>
          <w:sz w:val="24"/>
          <w:szCs w:val="24"/>
          <w:lang w:val="en-GB" w:eastAsia="en-US"/>
        </w:rPr>
        <w:t xml:space="preserve">More precisely, </w:t>
      </w:r>
      <w:r>
        <w:rPr>
          <w:rFonts w:ascii="Arial" w:eastAsia="Calibri" w:hAnsi="Arial" w:cs="Arial"/>
          <w:noProof w:val="0"/>
          <w:sz w:val="24"/>
          <w:szCs w:val="24"/>
          <w:lang w:val="en-GB" w:eastAsia="en-US"/>
        </w:rPr>
        <w:t xml:space="preserve">the Board of Governors </w:t>
      </w:r>
      <w:r w:rsidRPr="0038167A">
        <w:rPr>
          <w:rFonts w:ascii="Arial" w:hAnsi="Arial" w:cs="Arial"/>
          <w:noProof w:val="0"/>
          <w:color w:val="000000"/>
          <w:sz w:val="24"/>
          <w:szCs w:val="24"/>
          <w:lang w:val="en-GB" w:eastAsia="ar-SA"/>
        </w:rPr>
        <w:t>decided by a two-thirds majority:</w:t>
      </w:r>
    </w:p>
    <w:p w14:paraId="18F92AAA" w14:textId="16B61093" w:rsidR="0038167A" w:rsidRPr="0038167A" w:rsidRDefault="0038167A" w:rsidP="0038167A">
      <w:pPr>
        <w:numPr>
          <w:ilvl w:val="0"/>
          <w:numId w:val="53"/>
        </w:numPr>
        <w:suppressAutoHyphens/>
        <w:overflowPunct/>
        <w:autoSpaceDE/>
        <w:autoSpaceDN/>
        <w:adjustRightInd/>
        <w:spacing w:before="120" w:after="120"/>
        <w:jc w:val="both"/>
        <w:textAlignment w:val="auto"/>
        <w:rPr>
          <w:rFonts w:ascii="Arial" w:hAnsi="Arial" w:cs="Arial"/>
          <w:i/>
          <w:noProof w:val="0"/>
          <w:color w:val="000000"/>
          <w:sz w:val="24"/>
          <w:szCs w:val="24"/>
          <w:lang w:val="en-GB" w:eastAsia="ar-SA"/>
        </w:rPr>
      </w:pPr>
      <w:r>
        <w:rPr>
          <w:rFonts w:ascii="Arial" w:hAnsi="Arial" w:cs="Arial"/>
          <w:i/>
          <w:noProof w:val="0"/>
          <w:color w:val="000000"/>
          <w:sz w:val="24"/>
          <w:szCs w:val="24"/>
          <w:u w:val="single"/>
          <w:lang w:val="en-GB" w:eastAsia="ar-SA"/>
        </w:rPr>
        <w:t>“</w:t>
      </w:r>
      <w:r w:rsidRPr="0038167A">
        <w:rPr>
          <w:rFonts w:ascii="Arial" w:hAnsi="Arial" w:cs="Arial"/>
          <w:i/>
          <w:noProof w:val="0"/>
          <w:color w:val="000000"/>
          <w:sz w:val="24"/>
          <w:szCs w:val="24"/>
          <w:u w:val="single"/>
          <w:lang w:val="en-GB" w:eastAsia="ar-SA"/>
        </w:rPr>
        <w:t>to adopt</w:t>
      </w:r>
      <w:r w:rsidRPr="0038167A">
        <w:rPr>
          <w:rFonts w:ascii="Arial" w:hAnsi="Arial" w:cs="Arial"/>
          <w:i/>
          <w:noProof w:val="0"/>
          <w:color w:val="000000"/>
          <w:sz w:val="24"/>
          <w:szCs w:val="24"/>
          <w:lang w:val="en-GB" w:eastAsia="ar-SA"/>
        </w:rPr>
        <w:t xml:space="preserve"> the proposals to amend the Service Regulations for the Administrative and Ancillary Staff of the European Schools as set out in Annex I to the document;</w:t>
      </w:r>
    </w:p>
    <w:p w14:paraId="29E66964" w14:textId="77777777" w:rsidR="0038167A" w:rsidRPr="0038167A" w:rsidRDefault="0038167A" w:rsidP="0038167A">
      <w:pPr>
        <w:numPr>
          <w:ilvl w:val="0"/>
          <w:numId w:val="53"/>
        </w:numPr>
        <w:suppressAutoHyphens/>
        <w:overflowPunct/>
        <w:autoSpaceDE/>
        <w:autoSpaceDN/>
        <w:adjustRightInd/>
        <w:spacing w:before="120" w:after="120"/>
        <w:jc w:val="both"/>
        <w:textAlignment w:val="auto"/>
        <w:rPr>
          <w:rFonts w:ascii="Arial" w:hAnsi="Arial" w:cs="Arial"/>
          <w:i/>
          <w:noProof w:val="0"/>
          <w:color w:val="000000"/>
          <w:sz w:val="24"/>
          <w:szCs w:val="24"/>
          <w:lang w:val="en-GB" w:eastAsia="ar-SA"/>
        </w:rPr>
      </w:pPr>
      <w:r w:rsidRPr="0038167A">
        <w:rPr>
          <w:rFonts w:ascii="Arial" w:hAnsi="Arial" w:cs="Arial"/>
          <w:i/>
          <w:noProof w:val="0"/>
          <w:color w:val="000000"/>
          <w:sz w:val="24"/>
          <w:szCs w:val="24"/>
          <w:u w:val="single"/>
          <w:lang w:val="en-GB" w:eastAsia="ar-SA"/>
        </w:rPr>
        <w:t>to adopt</w:t>
      </w:r>
      <w:r w:rsidRPr="0038167A">
        <w:rPr>
          <w:rFonts w:ascii="Arial" w:hAnsi="Arial" w:cs="Arial"/>
          <w:i/>
          <w:noProof w:val="0"/>
          <w:color w:val="000000"/>
          <w:sz w:val="24"/>
          <w:szCs w:val="24"/>
          <w:lang w:val="en-GB" w:eastAsia="ar-SA"/>
        </w:rPr>
        <w:t xml:space="preserve"> the revised salary tables as set out in Annex II to the document; </w:t>
      </w:r>
    </w:p>
    <w:p w14:paraId="0765EC8F" w14:textId="77777777" w:rsidR="0038167A" w:rsidRPr="0038167A" w:rsidRDefault="0038167A" w:rsidP="0038167A">
      <w:pPr>
        <w:numPr>
          <w:ilvl w:val="0"/>
          <w:numId w:val="53"/>
        </w:numPr>
        <w:suppressAutoHyphens/>
        <w:overflowPunct/>
        <w:autoSpaceDE/>
        <w:autoSpaceDN/>
        <w:adjustRightInd/>
        <w:spacing w:before="120" w:after="120"/>
        <w:jc w:val="both"/>
        <w:textAlignment w:val="auto"/>
        <w:rPr>
          <w:rFonts w:ascii="Arial" w:hAnsi="Arial" w:cs="Arial"/>
          <w:i/>
          <w:noProof w:val="0"/>
          <w:color w:val="000000"/>
          <w:sz w:val="24"/>
          <w:szCs w:val="24"/>
          <w:lang w:val="en-GB" w:eastAsia="ar-SA"/>
        </w:rPr>
      </w:pPr>
      <w:r w:rsidRPr="0038167A">
        <w:rPr>
          <w:rFonts w:ascii="Arial" w:hAnsi="Arial" w:cs="Arial"/>
          <w:i/>
          <w:noProof w:val="0"/>
          <w:color w:val="000000"/>
          <w:sz w:val="24"/>
          <w:szCs w:val="24"/>
          <w:u w:val="single"/>
          <w:lang w:val="en-GB" w:eastAsia="ar-SA"/>
        </w:rPr>
        <w:t>to adopt</w:t>
      </w:r>
      <w:r w:rsidRPr="0038167A">
        <w:rPr>
          <w:rFonts w:ascii="Arial" w:hAnsi="Arial" w:cs="Arial"/>
          <w:i/>
          <w:noProof w:val="0"/>
          <w:color w:val="000000"/>
          <w:sz w:val="24"/>
          <w:szCs w:val="24"/>
          <w:lang w:val="en-GB" w:eastAsia="ar-SA"/>
        </w:rPr>
        <w:t xml:space="preserve"> the ‘Implementing Rules for the Evaluation and Progression of Members of the AAS in the European Schools’ as set out in document 2019-02-D-31-en-3; and</w:t>
      </w:r>
    </w:p>
    <w:p w14:paraId="6C30EB82" w14:textId="01114B16" w:rsidR="0038167A" w:rsidRPr="0038167A" w:rsidRDefault="0038167A" w:rsidP="0038167A">
      <w:pPr>
        <w:numPr>
          <w:ilvl w:val="0"/>
          <w:numId w:val="53"/>
        </w:numPr>
        <w:suppressAutoHyphens/>
        <w:overflowPunct/>
        <w:autoSpaceDE/>
        <w:autoSpaceDN/>
        <w:adjustRightInd/>
        <w:spacing w:before="120" w:after="120"/>
        <w:jc w:val="both"/>
        <w:textAlignment w:val="auto"/>
        <w:rPr>
          <w:rFonts w:ascii="Arial" w:hAnsi="Arial" w:cs="Arial"/>
          <w:i/>
          <w:noProof w:val="0"/>
          <w:color w:val="000000"/>
          <w:sz w:val="24"/>
          <w:szCs w:val="24"/>
          <w:lang w:val="en-GB" w:eastAsia="ar-SA"/>
        </w:rPr>
      </w:pPr>
      <w:r w:rsidRPr="0038167A">
        <w:rPr>
          <w:rFonts w:ascii="Arial" w:hAnsi="Arial" w:cs="Arial"/>
          <w:i/>
          <w:noProof w:val="0"/>
          <w:color w:val="000000"/>
          <w:sz w:val="24"/>
          <w:szCs w:val="24"/>
          <w:u w:val="single"/>
          <w:lang w:val="en-GB" w:eastAsia="ar-SA"/>
        </w:rPr>
        <w:t>to mandate</w:t>
      </w:r>
      <w:r w:rsidRPr="0038167A">
        <w:rPr>
          <w:rFonts w:ascii="Arial" w:hAnsi="Arial" w:cs="Arial"/>
          <w:i/>
          <w:noProof w:val="0"/>
          <w:color w:val="000000"/>
          <w:sz w:val="24"/>
          <w:szCs w:val="24"/>
          <w:lang w:val="en-GB" w:eastAsia="ar-SA"/>
        </w:rPr>
        <w:t xml:space="preserve"> the AAS Working Group to provide a report on the implementation of the new evaluation and promotion policy by April 2021 to allow a potential review of the proposed amendments of the AAS Regulations, including the revised salary scales </w:t>
      </w:r>
      <w:r w:rsidRPr="0038167A">
        <w:rPr>
          <w:rFonts w:ascii="Arial" w:hAnsi="Arial" w:cs="Arial"/>
          <w:i/>
          <w:noProof w:val="0"/>
          <w:color w:val="000000"/>
          <w:sz w:val="24"/>
          <w:szCs w:val="24"/>
          <w:lang w:val="en-GB" w:eastAsia="ar-SA"/>
        </w:rPr>
        <w:lastRenderedPageBreak/>
        <w:t>and the proposed ‘Implementing Rules for the Evaluation and Progression of the AAS in the European Schools’ within two years after their entry into force.</w:t>
      </w:r>
      <w:r>
        <w:rPr>
          <w:rFonts w:ascii="Arial" w:hAnsi="Arial" w:cs="Arial"/>
          <w:i/>
          <w:noProof w:val="0"/>
          <w:color w:val="000000"/>
          <w:sz w:val="24"/>
          <w:szCs w:val="24"/>
          <w:lang w:val="en-GB" w:eastAsia="ar-SA"/>
        </w:rPr>
        <w:t>”</w:t>
      </w:r>
      <w:r>
        <w:rPr>
          <w:rStyle w:val="FootnoteReference"/>
          <w:rFonts w:ascii="Arial" w:hAnsi="Arial" w:cs="Arial"/>
          <w:i/>
          <w:noProof w:val="0"/>
          <w:color w:val="000000"/>
          <w:sz w:val="24"/>
          <w:szCs w:val="24"/>
          <w:lang w:val="en-GB" w:eastAsia="ar-SA"/>
        </w:rPr>
        <w:footnoteReference w:id="15"/>
      </w:r>
    </w:p>
    <w:p w14:paraId="53770C4B" w14:textId="77777777" w:rsidR="0038167A" w:rsidRDefault="0038167A"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08C03CB6" w14:textId="1D8FC786" w:rsidR="0038167A" w:rsidRDefault="0038167A"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These measures entered into force in January 2020. Their implementation was accompanie</w:t>
      </w:r>
      <w:r w:rsidR="004C07F1">
        <w:rPr>
          <w:rFonts w:ascii="Arial" w:eastAsia="Calibri" w:hAnsi="Arial" w:cs="Arial"/>
          <w:noProof w:val="0"/>
          <w:sz w:val="24"/>
          <w:szCs w:val="24"/>
          <w:lang w:val="en-GB" w:eastAsia="en-US"/>
        </w:rPr>
        <w:t>d by a MEMO</w:t>
      </w:r>
      <w:r w:rsidR="004C07F1">
        <w:rPr>
          <w:rStyle w:val="FootnoteReference"/>
          <w:rFonts w:ascii="Arial" w:eastAsia="Calibri" w:hAnsi="Arial" w:cs="Arial"/>
          <w:noProof w:val="0"/>
          <w:sz w:val="24"/>
          <w:szCs w:val="24"/>
          <w:lang w:val="en-GB" w:eastAsia="en-US"/>
        </w:rPr>
        <w:footnoteReference w:id="16"/>
      </w:r>
      <w:r w:rsidR="004C07F1">
        <w:rPr>
          <w:rFonts w:ascii="Arial" w:eastAsia="Calibri" w:hAnsi="Arial" w:cs="Arial"/>
          <w:noProof w:val="0"/>
          <w:sz w:val="24"/>
          <w:szCs w:val="24"/>
          <w:lang w:val="en-GB" w:eastAsia="en-US"/>
        </w:rPr>
        <w:t xml:space="preserve"> of the S</w:t>
      </w:r>
      <w:r>
        <w:rPr>
          <w:rFonts w:ascii="Arial" w:eastAsia="Calibri" w:hAnsi="Arial" w:cs="Arial"/>
          <w:noProof w:val="0"/>
          <w:sz w:val="24"/>
          <w:szCs w:val="24"/>
          <w:lang w:val="en-GB" w:eastAsia="en-US"/>
        </w:rPr>
        <w:t>ecretary-General and training and information session</w:t>
      </w:r>
      <w:r w:rsidR="004C07F1">
        <w:rPr>
          <w:rFonts w:ascii="Arial" w:eastAsia="Calibri" w:hAnsi="Arial" w:cs="Arial"/>
          <w:noProof w:val="0"/>
          <w:sz w:val="24"/>
          <w:szCs w:val="24"/>
          <w:lang w:val="en-GB" w:eastAsia="en-US"/>
        </w:rPr>
        <w:t>s</w:t>
      </w:r>
      <w:r>
        <w:rPr>
          <w:rFonts w:ascii="Arial" w:eastAsia="Calibri" w:hAnsi="Arial" w:cs="Arial"/>
          <w:noProof w:val="0"/>
          <w:sz w:val="24"/>
          <w:szCs w:val="24"/>
          <w:lang w:val="en-GB" w:eastAsia="en-US"/>
        </w:rPr>
        <w:t xml:space="preserve"> on a central, but also on school level.</w:t>
      </w:r>
    </w:p>
    <w:p w14:paraId="59F4A07D" w14:textId="3CED3F0D" w:rsidR="0038167A" w:rsidRDefault="0038167A"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In particular, for this measure it is too early to provide an in-depth analysis. But experience gained in the Office of the Secretary-General shows that at least for one sensitive function the new salary scale and the flexibility provided for the determination of the initial salary step</w:t>
      </w:r>
      <w:r w:rsidR="008917EA">
        <w:rPr>
          <w:rFonts w:ascii="Arial" w:eastAsia="Calibri" w:hAnsi="Arial" w:cs="Arial"/>
          <w:noProof w:val="0"/>
          <w:sz w:val="24"/>
          <w:szCs w:val="24"/>
          <w:lang w:val="en-GB" w:eastAsia="en-US"/>
        </w:rPr>
        <w:t xml:space="preserve"> already</w:t>
      </w:r>
      <w:bookmarkStart w:id="0" w:name="_GoBack"/>
      <w:bookmarkEnd w:id="0"/>
      <w:r>
        <w:rPr>
          <w:rFonts w:ascii="Arial" w:eastAsia="Calibri" w:hAnsi="Arial" w:cs="Arial"/>
          <w:noProof w:val="0"/>
          <w:sz w:val="24"/>
          <w:szCs w:val="24"/>
          <w:lang w:val="en-GB" w:eastAsia="en-US"/>
        </w:rPr>
        <w:t xml:space="preserve"> allowed </w:t>
      </w:r>
      <w:r w:rsidR="004C07F1">
        <w:rPr>
          <w:rFonts w:ascii="Arial" w:eastAsia="Calibri" w:hAnsi="Arial" w:cs="Arial"/>
          <w:noProof w:val="0"/>
          <w:sz w:val="24"/>
          <w:szCs w:val="24"/>
          <w:lang w:val="en-GB" w:eastAsia="en-US"/>
        </w:rPr>
        <w:t>the recruitment of</w:t>
      </w:r>
      <w:r>
        <w:rPr>
          <w:rFonts w:ascii="Arial" w:eastAsia="Calibri" w:hAnsi="Arial" w:cs="Arial"/>
          <w:noProof w:val="0"/>
          <w:sz w:val="24"/>
          <w:szCs w:val="24"/>
          <w:lang w:val="en-GB" w:eastAsia="en-US"/>
        </w:rPr>
        <w:t xml:space="preserve"> an expert in a very competitive area.</w:t>
      </w:r>
    </w:p>
    <w:p w14:paraId="47A74733" w14:textId="77777777" w:rsidR="004C07F1" w:rsidRDefault="004C07F1"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3558FFF6" w14:textId="77777777" w:rsidR="004C07F1" w:rsidRDefault="004C07F1"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p w14:paraId="15B7A328" w14:textId="1F2CFE16" w:rsidR="0038167A" w:rsidRDefault="004C07F1" w:rsidP="0038167A">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4C07F1">
        <w:rPr>
          <w:rFonts w:ascii="Arial" w:eastAsia="Calibri" w:hAnsi="Arial" w:cs="Arial"/>
          <w:b/>
          <w:noProof w:val="0"/>
          <w:sz w:val="24"/>
          <w:szCs w:val="24"/>
          <w:lang w:val="en-GB" w:eastAsia="en-US"/>
        </w:rPr>
        <w:t>II. Proposal</w:t>
      </w:r>
      <w:r w:rsidR="0038167A" w:rsidRPr="004C07F1">
        <w:rPr>
          <w:rFonts w:ascii="Arial" w:eastAsia="Calibri" w:hAnsi="Arial" w:cs="Arial"/>
          <w:b/>
          <w:noProof w:val="0"/>
          <w:sz w:val="24"/>
          <w:szCs w:val="24"/>
          <w:lang w:val="en-GB" w:eastAsia="en-US"/>
        </w:rPr>
        <w:t xml:space="preserve"> </w:t>
      </w:r>
    </w:p>
    <w:p w14:paraId="524C67F0" w14:textId="16BBC759" w:rsidR="004C07F1" w:rsidRPr="004C07F1" w:rsidRDefault="004C07F1" w:rsidP="0038167A">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The members of the Board of Governors are invited to take note of this communication.</w:t>
      </w:r>
    </w:p>
    <w:sectPr w:rsidR="004C07F1" w:rsidRPr="004C07F1" w:rsidSect="00FC2280">
      <w:footerReference w:type="default" r:id="rId12"/>
      <w:pgSz w:w="12240" w:h="15840" w:code="1"/>
      <w:pgMar w:top="1440" w:right="1440" w:bottom="567" w:left="1440" w:header="720" w:footer="72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4E5A6" w16cid:durableId="22347F72"/>
  <w16cid:commentId w16cid:paraId="2D7AD770" w16cid:durableId="223480CC"/>
  <w16cid:commentId w16cid:paraId="5CA7BE20" w16cid:durableId="22348304"/>
  <w16cid:commentId w16cid:paraId="696155FE" w16cid:durableId="2234842C"/>
  <w16cid:commentId w16cid:paraId="6C9BC5E5" w16cid:durableId="22348D01"/>
  <w16cid:commentId w16cid:paraId="49524DF8" w16cid:durableId="22348D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0CB6" w14:textId="77777777" w:rsidR="00896757" w:rsidRDefault="00896757">
      <w:r>
        <w:separator/>
      </w:r>
    </w:p>
  </w:endnote>
  <w:endnote w:type="continuationSeparator" w:id="0">
    <w:p w14:paraId="591CD420" w14:textId="77777777" w:rsidR="00896757" w:rsidRDefault="008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37356486"/>
      <w:docPartObj>
        <w:docPartGallery w:val="Page Numbers (Bottom of Page)"/>
        <w:docPartUnique/>
      </w:docPartObj>
    </w:sdtPr>
    <w:sdtEndPr>
      <w:rPr>
        <w:noProof/>
      </w:rPr>
    </w:sdtEndPr>
    <w:sdtContent>
      <w:p w14:paraId="01F874E3" w14:textId="45DDAFDF" w:rsidR="003523FD" w:rsidRDefault="003523FD">
        <w:pPr>
          <w:pStyle w:val="Footer"/>
          <w:jc w:val="center"/>
        </w:pPr>
        <w:r>
          <w:rPr>
            <w:noProof w:val="0"/>
          </w:rPr>
          <w:fldChar w:fldCharType="begin"/>
        </w:r>
        <w:r>
          <w:instrText xml:space="preserve"> PAGE   \* MERGEFORMAT </w:instrText>
        </w:r>
        <w:r>
          <w:rPr>
            <w:noProof w:val="0"/>
          </w:rPr>
          <w:fldChar w:fldCharType="separate"/>
        </w:r>
        <w:r w:rsidR="00264012">
          <w:t>6</w:t>
        </w:r>
        <w:r>
          <w:fldChar w:fldCharType="end"/>
        </w:r>
      </w:p>
    </w:sdtContent>
  </w:sdt>
  <w:p w14:paraId="0E1D2CC8" w14:textId="77777777" w:rsidR="003523FD" w:rsidRDefault="0035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15DE" w14:textId="77777777" w:rsidR="00896757" w:rsidRDefault="00896757">
      <w:r>
        <w:separator/>
      </w:r>
    </w:p>
  </w:footnote>
  <w:footnote w:type="continuationSeparator" w:id="0">
    <w:p w14:paraId="65FB3BAA" w14:textId="77777777" w:rsidR="00896757" w:rsidRDefault="00896757">
      <w:r>
        <w:continuationSeparator/>
      </w:r>
    </w:p>
  </w:footnote>
  <w:footnote w:id="1">
    <w:p w14:paraId="2BC78543" w14:textId="6F2D73A3" w:rsidR="00FC2280" w:rsidRPr="00FC2280" w:rsidRDefault="00FC2280">
      <w:pPr>
        <w:pStyle w:val="FootnoteText"/>
        <w:rPr>
          <w:lang w:val="en-US"/>
        </w:rPr>
      </w:pPr>
      <w:r>
        <w:rPr>
          <w:rStyle w:val="FootnoteReference"/>
        </w:rPr>
        <w:footnoteRef/>
      </w:r>
      <w:r w:rsidRPr="00FC2280">
        <w:rPr>
          <w:lang w:val="en-US"/>
        </w:rPr>
        <w:t xml:space="preserve"> For the details see doc.</w:t>
      </w:r>
      <w:r>
        <w:rPr>
          <w:lang w:val="en-US"/>
        </w:rPr>
        <w:t xml:space="preserve"> 2019-01-D-56-en-1.</w:t>
      </w:r>
    </w:p>
  </w:footnote>
  <w:footnote w:id="2">
    <w:p w14:paraId="621405A9" w14:textId="6EE3A72D" w:rsidR="00F00329" w:rsidRPr="00F00329" w:rsidRDefault="00F00329">
      <w:pPr>
        <w:pStyle w:val="FootnoteText"/>
        <w:rPr>
          <w:lang w:val="en-US"/>
        </w:rPr>
      </w:pPr>
      <w:r>
        <w:rPr>
          <w:rStyle w:val="FootnoteReference"/>
        </w:rPr>
        <w:footnoteRef/>
      </w:r>
      <w:r w:rsidRPr="00F00329">
        <w:rPr>
          <w:lang w:val="en-US"/>
        </w:rPr>
        <w:t xml:space="preserve"> Conclusions of the Board of Governors of April 2019 (doc.</w:t>
      </w:r>
      <w:r>
        <w:rPr>
          <w:lang w:val="en-US"/>
        </w:rPr>
        <w:t xml:space="preserve"> 2019-04-D-12-en-3).</w:t>
      </w:r>
      <w:r w:rsidRPr="00F00329">
        <w:rPr>
          <w:lang w:val="en-US"/>
        </w:rPr>
        <w:t xml:space="preserve"> </w:t>
      </w:r>
    </w:p>
  </w:footnote>
  <w:footnote w:id="3">
    <w:p w14:paraId="7B56319A" w14:textId="2DAEAAAB" w:rsidR="00F00329" w:rsidRDefault="00F00329">
      <w:pPr>
        <w:pStyle w:val="FootnoteText"/>
      </w:pPr>
      <w:r>
        <w:rPr>
          <w:rStyle w:val="FootnoteReference"/>
        </w:rPr>
        <w:footnoteRef/>
      </w:r>
      <w:r>
        <w:t xml:space="preserve"> MEMO 2019-05-M-2-en.</w:t>
      </w:r>
    </w:p>
  </w:footnote>
  <w:footnote w:id="4">
    <w:p w14:paraId="4971C09F" w14:textId="65136972" w:rsidR="00D35FD8" w:rsidRDefault="00D35FD8">
      <w:pPr>
        <w:pStyle w:val="FootnoteText"/>
      </w:pPr>
      <w:r>
        <w:rPr>
          <w:rStyle w:val="FootnoteReference"/>
        </w:rPr>
        <w:footnoteRef/>
      </w:r>
      <w:r>
        <w:t xml:space="preserve"> Doc. 2020-03-D-37-en-1.</w:t>
      </w:r>
    </w:p>
  </w:footnote>
  <w:footnote w:id="5">
    <w:p w14:paraId="42AEA9E7" w14:textId="3F0D8433" w:rsidR="00EB06BC" w:rsidRPr="00EB06BC" w:rsidRDefault="00EB06BC">
      <w:pPr>
        <w:pStyle w:val="FootnoteText"/>
        <w:rPr>
          <w:lang w:val="en-US"/>
        </w:rPr>
      </w:pPr>
      <w:r>
        <w:rPr>
          <w:rStyle w:val="FootnoteReference"/>
        </w:rPr>
        <w:footnoteRef/>
      </w:r>
      <w:r>
        <w:rPr>
          <w:lang w:val="en-US"/>
        </w:rPr>
        <w:t xml:space="preserve"> </w:t>
      </w:r>
      <w:r w:rsidRPr="00EB06BC">
        <w:rPr>
          <w:lang w:val="en-US"/>
        </w:rPr>
        <w:t>MEMO 2019-05-</w:t>
      </w:r>
      <w:r>
        <w:rPr>
          <w:lang w:val="en-US"/>
        </w:rPr>
        <w:t>M-3-en.</w:t>
      </w:r>
    </w:p>
  </w:footnote>
  <w:footnote w:id="6">
    <w:p w14:paraId="08D517BF" w14:textId="49AB4F67" w:rsidR="003769B1" w:rsidRDefault="003769B1">
      <w:pPr>
        <w:pStyle w:val="FootnoteText"/>
      </w:pPr>
      <w:r>
        <w:rPr>
          <w:rStyle w:val="FootnoteReference"/>
        </w:rPr>
        <w:footnoteRef/>
      </w:r>
      <w:r>
        <w:t xml:space="preserve"> 2020-03-D-44-en-1.</w:t>
      </w:r>
    </w:p>
  </w:footnote>
  <w:footnote w:id="7">
    <w:p w14:paraId="57E39417" w14:textId="267DBAB9" w:rsidR="00387ABC" w:rsidRDefault="00387ABC">
      <w:pPr>
        <w:pStyle w:val="FootnoteText"/>
      </w:pPr>
      <w:r>
        <w:rPr>
          <w:rStyle w:val="FootnoteReference"/>
        </w:rPr>
        <w:footnoteRef/>
      </w:r>
      <w:r>
        <w:t xml:space="preserve"> 2019-09-D-31-en-2.</w:t>
      </w:r>
    </w:p>
  </w:footnote>
  <w:footnote w:id="8">
    <w:p w14:paraId="17294218" w14:textId="412C3970" w:rsidR="00787014" w:rsidRPr="00787014" w:rsidRDefault="00787014">
      <w:pPr>
        <w:pStyle w:val="FootnoteText"/>
        <w:rPr>
          <w:lang w:val="en-US"/>
        </w:rPr>
      </w:pPr>
      <w:r>
        <w:rPr>
          <w:rStyle w:val="FootnoteReference"/>
        </w:rPr>
        <w:footnoteRef/>
      </w:r>
      <w:r w:rsidRPr="00787014">
        <w:rPr>
          <w:lang w:val="en-US"/>
        </w:rPr>
        <w:t xml:space="preserve"> For the details see document 2019</w:t>
      </w:r>
      <w:r>
        <w:rPr>
          <w:lang w:val="en-US"/>
        </w:rPr>
        <w:t>-01-D-57-en-3.</w:t>
      </w:r>
    </w:p>
  </w:footnote>
  <w:footnote w:id="9">
    <w:p w14:paraId="6193267D" w14:textId="0B884E71" w:rsidR="00787014" w:rsidRDefault="00787014">
      <w:pPr>
        <w:pStyle w:val="FootnoteText"/>
      </w:pPr>
      <w:r>
        <w:rPr>
          <w:rStyle w:val="FootnoteReference"/>
        </w:rPr>
        <w:footnoteRef/>
      </w:r>
      <w:r>
        <w:t xml:space="preserve"> 2019-09-D-4-en-4.</w:t>
      </w:r>
    </w:p>
  </w:footnote>
  <w:footnote w:id="10">
    <w:p w14:paraId="79DDA59F" w14:textId="1D0BE2E2" w:rsidR="00814837" w:rsidRPr="00814837" w:rsidRDefault="00814837">
      <w:pPr>
        <w:pStyle w:val="FootnoteText"/>
        <w:rPr>
          <w:lang w:val="en-US"/>
        </w:rPr>
      </w:pPr>
      <w:r>
        <w:rPr>
          <w:rStyle w:val="FootnoteReference"/>
        </w:rPr>
        <w:footnoteRef/>
      </w:r>
      <w:r w:rsidRPr="00814837">
        <w:rPr>
          <w:lang w:val="en-US"/>
        </w:rPr>
        <w:t xml:space="preserve"> For the details see document 2019-</w:t>
      </w:r>
      <w:r>
        <w:rPr>
          <w:lang w:val="en-US"/>
        </w:rPr>
        <w:t>09-D-5-en-4.</w:t>
      </w:r>
    </w:p>
  </w:footnote>
  <w:footnote w:id="11">
    <w:p w14:paraId="164B3B43" w14:textId="0CBEDE6A" w:rsidR="00D336D6" w:rsidRDefault="00D336D6">
      <w:pPr>
        <w:pStyle w:val="FootnoteText"/>
      </w:pPr>
      <w:r>
        <w:rPr>
          <w:rStyle w:val="FootnoteReference"/>
        </w:rPr>
        <w:footnoteRef/>
      </w:r>
      <w:r>
        <w:t xml:space="preserve"> 2019-12-LD-16.</w:t>
      </w:r>
    </w:p>
  </w:footnote>
  <w:footnote w:id="12">
    <w:p w14:paraId="56617F67" w14:textId="578A78A8" w:rsidR="00D336D6" w:rsidRPr="00D336D6" w:rsidRDefault="00D336D6">
      <w:pPr>
        <w:pStyle w:val="FootnoteText"/>
        <w:rPr>
          <w:lang w:val="en-US"/>
        </w:rPr>
      </w:pPr>
      <w:r>
        <w:rPr>
          <w:rStyle w:val="FootnoteReference"/>
        </w:rPr>
        <w:footnoteRef/>
      </w:r>
      <w:r w:rsidRPr="00D336D6">
        <w:rPr>
          <w:lang w:val="en-US"/>
        </w:rPr>
        <w:t xml:space="preserve"> The initial dead line was 29 </w:t>
      </w:r>
      <w:r>
        <w:rPr>
          <w:lang w:val="en-US"/>
        </w:rPr>
        <w:t>February 2020.</w:t>
      </w:r>
    </w:p>
  </w:footnote>
  <w:footnote w:id="13">
    <w:p w14:paraId="2CB5324C" w14:textId="390EDA2E" w:rsidR="004C07F1" w:rsidRPr="004C07F1" w:rsidRDefault="004C07F1">
      <w:pPr>
        <w:pStyle w:val="FootnoteText"/>
        <w:rPr>
          <w:lang w:val="en-US"/>
        </w:rPr>
      </w:pPr>
      <w:r>
        <w:rPr>
          <w:rStyle w:val="FootnoteReference"/>
        </w:rPr>
        <w:footnoteRef/>
      </w:r>
      <w:r w:rsidRPr="004C07F1">
        <w:rPr>
          <w:lang w:val="en-US"/>
        </w:rPr>
        <w:t xml:space="preserve"> For the details see document 201</w:t>
      </w:r>
      <w:r>
        <w:rPr>
          <w:lang w:val="en-US"/>
        </w:rPr>
        <w:t>9-02-D-30-en-3.</w:t>
      </w:r>
    </w:p>
  </w:footnote>
  <w:footnote w:id="14">
    <w:p w14:paraId="236BB3D6" w14:textId="4C264955" w:rsidR="004C07F1" w:rsidRPr="004C07F1" w:rsidRDefault="004C07F1">
      <w:pPr>
        <w:pStyle w:val="FootnoteText"/>
        <w:rPr>
          <w:lang w:val="en-US"/>
        </w:rPr>
      </w:pPr>
      <w:r>
        <w:rPr>
          <w:rStyle w:val="FootnoteReference"/>
        </w:rPr>
        <w:footnoteRef/>
      </w:r>
      <w:r w:rsidRPr="004C07F1">
        <w:rPr>
          <w:lang w:val="en-US"/>
        </w:rPr>
        <w:t xml:space="preserve"> For the details see document 2019-02-</w:t>
      </w:r>
      <w:r>
        <w:rPr>
          <w:lang w:val="en-US"/>
        </w:rPr>
        <w:t>D-31-en-3.</w:t>
      </w:r>
    </w:p>
  </w:footnote>
  <w:footnote w:id="15">
    <w:p w14:paraId="0F7A44D7" w14:textId="021C07FD" w:rsidR="0038167A" w:rsidRDefault="0038167A">
      <w:pPr>
        <w:pStyle w:val="FootnoteText"/>
      </w:pPr>
      <w:r>
        <w:rPr>
          <w:rStyle w:val="FootnoteReference"/>
        </w:rPr>
        <w:footnoteRef/>
      </w:r>
      <w:r>
        <w:t xml:space="preserve"> </w:t>
      </w:r>
      <w:r w:rsidR="004C07F1">
        <w:t>2019-04-D-12-en-3.</w:t>
      </w:r>
    </w:p>
  </w:footnote>
  <w:footnote w:id="16">
    <w:p w14:paraId="75768BDF" w14:textId="3F7F9BFB" w:rsidR="004C07F1" w:rsidRDefault="004C07F1">
      <w:pPr>
        <w:pStyle w:val="FootnoteText"/>
      </w:pPr>
      <w:r>
        <w:rPr>
          <w:rStyle w:val="FootnoteReference"/>
        </w:rPr>
        <w:footnoteRef/>
      </w:r>
      <w:r>
        <w:t xml:space="preserve"> MEMO 2019-06-M-2-en.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2D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decimal"/>
      <w:lvlText w:val="%1."/>
      <w:lvlJc w:val="left"/>
      <w:pPr>
        <w:tabs>
          <w:tab w:val="num" w:pos="480"/>
        </w:tabs>
      </w:pPr>
      <w:rPr>
        <w:rFonts w:cs="Times New Roman"/>
      </w:rPr>
    </w:lvl>
    <w:lvl w:ilvl="1">
      <w:start w:val="1"/>
      <w:numFmt w:val="decimal"/>
      <w:lvlText w:val="%1.%2."/>
      <w:lvlJc w:val="left"/>
      <w:pPr>
        <w:tabs>
          <w:tab w:val="num" w:pos="1200"/>
        </w:tabs>
      </w:pPr>
      <w:rPr>
        <w:rFonts w:cs="Times New Roman"/>
      </w:rPr>
    </w:lvl>
    <w:lvl w:ilvl="2">
      <w:start w:val="1"/>
      <w:numFmt w:val="decimal"/>
      <w:lvlText w:val="%1.%2.%3."/>
      <w:lvlJc w:val="left"/>
      <w:pPr>
        <w:tabs>
          <w:tab w:val="num" w:pos="1920"/>
        </w:tabs>
      </w:pPr>
      <w:rPr>
        <w:rFonts w:cs="Times New Roman"/>
      </w:rPr>
    </w:lvl>
    <w:lvl w:ilvl="3">
      <w:start w:val="1"/>
      <w:numFmt w:val="decimal"/>
      <w:lvlText w:val="%1.%2.%3.%4."/>
      <w:lvlJc w:val="left"/>
      <w:pPr>
        <w:tabs>
          <w:tab w:val="num" w:pos="1920"/>
        </w:tabs>
      </w:pPr>
      <w:rPr>
        <w:rFonts w:cs="Times New Roman"/>
      </w:rPr>
    </w:lvl>
    <w:lvl w:ilvl="4">
      <w:start w:val="1"/>
      <w:numFmt w:val="decimal"/>
      <w:lvlText w:val="%1.%2.%3.%4.%5."/>
      <w:lvlJc w:val="left"/>
      <w:pPr>
        <w:tabs>
          <w:tab w:val="num" w:pos="1922"/>
        </w:tabs>
      </w:pPr>
      <w:rPr>
        <w:rFonts w:cs="Times New Roman"/>
      </w:rPr>
    </w:lvl>
    <w:lvl w:ilvl="5">
      <w:start w:val="1"/>
      <w:numFmt w:val="decimal"/>
      <w:lvlText w:val="%1.%2.%3.%4.%5.%6."/>
      <w:lvlJc w:val="left"/>
      <w:pPr>
        <w:tabs>
          <w:tab w:val="num" w:pos="1922"/>
        </w:tabs>
      </w:pPr>
      <w:rPr>
        <w:rFonts w:cs="Times New Roman"/>
      </w:rPr>
    </w:lvl>
    <w:lvl w:ilvl="6">
      <w:start w:val="1"/>
      <w:numFmt w:val="decimal"/>
      <w:lvlText w:val="%1.%2.%3.%4.%5.%6.%7."/>
      <w:lvlJc w:val="left"/>
      <w:pPr>
        <w:tabs>
          <w:tab w:val="num" w:pos="1922"/>
        </w:tabs>
      </w:pPr>
      <w:rPr>
        <w:rFonts w:cs="Times New Roman"/>
      </w:rPr>
    </w:lvl>
    <w:lvl w:ilvl="7">
      <w:start w:val="1"/>
      <w:numFmt w:val="decimal"/>
      <w:lvlText w:val="%1.%2.%3.%4.%5.%6.%7.%8."/>
      <w:lvlJc w:val="left"/>
      <w:pPr>
        <w:tabs>
          <w:tab w:val="num" w:pos="1922"/>
        </w:tabs>
      </w:pPr>
      <w:rPr>
        <w:rFonts w:cs="Times New Roman"/>
      </w:rPr>
    </w:lvl>
    <w:lvl w:ilvl="8">
      <w:start w:val="1"/>
      <w:numFmt w:val="decimal"/>
      <w:lvlText w:val="%1.%2.%3.%4.%5.%6.%7.%8.%9."/>
      <w:lvlJc w:val="left"/>
      <w:pPr>
        <w:tabs>
          <w:tab w:val="num" w:pos="1922"/>
        </w:tabs>
      </w:pPr>
      <w:rPr>
        <w:rFonts w:cs="Times New Roman"/>
      </w:rPr>
    </w:lvl>
  </w:abstractNum>
  <w:abstractNum w:abstractNumId="2" w15:restartNumberingAfterBreak="0">
    <w:nsid w:val="10AF4164"/>
    <w:multiLevelType w:val="hybridMultilevel"/>
    <w:tmpl w:val="A04E370E"/>
    <w:lvl w:ilvl="0" w:tplc="9A5E794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2FE5"/>
    <w:multiLevelType w:val="hybridMultilevel"/>
    <w:tmpl w:val="C24C69DA"/>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74C6D"/>
    <w:multiLevelType w:val="hybridMultilevel"/>
    <w:tmpl w:val="6032EE90"/>
    <w:lvl w:ilvl="0" w:tplc="264C8FF4">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A28FD"/>
    <w:multiLevelType w:val="hybridMultilevel"/>
    <w:tmpl w:val="81168C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E3113"/>
    <w:multiLevelType w:val="hybridMultilevel"/>
    <w:tmpl w:val="40AA0BC0"/>
    <w:lvl w:ilvl="0" w:tplc="64A689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E90E8E"/>
    <w:multiLevelType w:val="hybridMultilevel"/>
    <w:tmpl w:val="258E3E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5238BA"/>
    <w:multiLevelType w:val="hybridMultilevel"/>
    <w:tmpl w:val="8DFA2354"/>
    <w:lvl w:ilvl="0" w:tplc="A706013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241D"/>
    <w:multiLevelType w:val="hybridMultilevel"/>
    <w:tmpl w:val="34B427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CC4D8E"/>
    <w:multiLevelType w:val="hybridMultilevel"/>
    <w:tmpl w:val="00983522"/>
    <w:lvl w:ilvl="0" w:tplc="0556239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5656C"/>
    <w:multiLevelType w:val="hybridMultilevel"/>
    <w:tmpl w:val="25EAD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26377"/>
    <w:multiLevelType w:val="hybridMultilevel"/>
    <w:tmpl w:val="052E0C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CE04FC"/>
    <w:multiLevelType w:val="hybridMultilevel"/>
    <w:tmpl w:val="CA862EE8"/>
    <w:lvl w:ilvl="0" w:tplc="8D5A1A5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E92B26"/>
    <w:multiLevelType w:val="hybridMultilevel"/>
    <w:tmpl w:val="99D2758E"/>
    <w:lvl w:ilvl="0" w:tplc="C564397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787D7C"/>
    <w:multiLevelType w:val="hybridMultilevel"/>
    <w:tmpl w:val="E6CA7A88"/>
    <w:lvl w:ilvl="0" w:tplc="DBF83F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606F7"/>
    <w:multiLevelType w:val="hybridMultilevel"/>
    <w:tmpl w:val="DAE8A7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01700"/>
    <w:multiLevelType w:val="hybridMultilevel"/>
    <w:tmpl w:val="70480D2E"/>
    <w:lvl w:ilvl="0" w:tplc="0409000B">
      <w:start w:val="1"/>
      <w:numFmt w:val="bullet"/>
      <w:lvlText w:val=""/>
      <w:lvlJc w:val="left"/>
      <w:pPr>
        <w:ind w:left="360" w:hanging="360"/>
      </w:pPr>
      <w:rPr>
        <w:rFonts w:ascii="Wingdings" w:hAnsi="Wingdings" w:hint="default"/>
      </w:rPr>
    </w:lvl>
    <w:lvl w:ilvl="1" w:tplc="06569322">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3B3D8F"/>
    <w:multiLevelType w:val="hybridMultilevel"/>
    <w:tmpl w:val="A560E1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2A1309"/>
    <w:multiLevelType w:val="hybridMultilevel"/>
    <w:tmpl w:val="F16ECF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73D3B"/>
    <w:multiLevelType w:val="hybridMultilevel"/>
    <w:tmpl w:val="55586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687E52"/>
    <w:multiLevelType w:val="hybridMultilevel"/>
    <w:tmpl w:val="A7F84950"/>
    <w:lvl w:ilvl="0" w:tplc="024423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250D9"/>
    <w:multiLevelType w:val="hybridMultilevel"/>
    <w:tmpl w:val="D3E6DA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DE7F27"/>
    <w:multiLevelType w:val="hybridMultilevel"/>
    <w:tmpl w:val="29A861A0"/>
    <w:lvl w:ilvl="0" w:tplc="BE043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332DD8"/>
    <w:multiLevelType w:val="hybridMultilevel"/>
    <w:tmpl w:val="97A4F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830F6"/>
    <w:multiLevelType w:val="hybridMultilevel"/>
    <w:tmpl w:val="1396B5CC"/>
    <w:lvl w:ilvl="0" w:tplc="CAA83A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34E6D"/>
    <w:multiLevelType w:val="hybridMultilevel"/>
    <w:tmpl w:val="EAC2A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317654"/>
    <w:multiLevelType w:val="hybridMultilevel"/>
    <w:tmpl w:val="2E446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C81DE4"/>
    <w:multiLevelType w:val="hybridMultilevel"/>
    <w:tmpl w:val="EA2C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A24A05"/>
    <w:multiLevelType w:val="hybridMultilevel"/>
    <w:tmpl w:val="D84ECB16"/>
    <w:lvl w:ilvl="0" w:tplc="0EAEA0F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94BEB"/>
    <w:multiLevelType w:val="hybridMultilevel"/>
    <w:tmpl w:val="24F8A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991F36"/>
    <w:multiLevelType w:val="hybridMultilevel"/>
    <w:tmpl w:val="9C84E2DC"/>
    <w:lvl w:ilvl="0" w:tplc="C824B7B0">
      <w:start w:val="1"/>
      <w:numFmt w:val="lowerLetter"/>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D070B1"/>
    <w:multiLevelType w:val="hybridMultilevel"/>
    <w:tmpl w:val="E70691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C0431C"/>
    <w:multiLevelType w:val="hybridMultilevel"/>
    <w:tmpl w:val="D8247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237C20"/>
    <w:multiLevelType w:val="hybridMultilevel"/>
    <w:tmpl w:val="6FB4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CA3B57"/>
    <w:multiLevelType w:val="hybridMultilevel"/>
    <w:tmpl w:val="0C46571C"/>
    <w:lvl w:ilvl="0" w:tplc="0EB6BABC">
      <w:start w:val="2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04F27"/>
    <w:multiLevelType w:val="hybridMultilevel"/>
    <w:tmpl w:val="A0EAACB8"/>
    <w:lvl w:ilvl="0" w:tplc="957E91C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157BF9"/>
    <w:multiLevelType w:val="hybridMultilevel"/>
    <w:tmpl w:val="85B022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846CA7"/>
    <w:multiLevelType w:val="hybridMultilevel"/>
    <w:tmpl w:val="446084D0"/>
    <w:lvl w:ilvl="0" w:tplc="8E7493C6">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B85761"/>
    <w:multiLevelType w:val="hybridMultilevel"/>
    <w:tmpl w:val="234A1C38"/>
    <w:lvl w:ilvl="0" w:tplc="AD0E8D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D1233D1"/>
    <w:multiLevelType w:val="hybridMultilevel"/>
    <w:tmpl w:val="0BF874BA"/>
    <w:lvl w:ilvl="0" w:tplc="BA106AE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A7105C"/>
    <w:multiLevelType w:val="hybridMultilevel"/>
    <w:tmpl w:val="CCBA793C"/>
    <w:lvl w:ilvl="0" w:tplc="080C0017">
      <w:start w:val="1"/>
      <w:numFmt w:val="lowerLetter"/>
      <w:lvlText w:val="%1)"/>
      <w:lvlJc w:val="left"/>
      <w:pPr>
        <w:tabs>
          <w:tab w:val="num" w:pos="360"/>
        </w:tabs>
        <w:ind w:left="360" w:hanging="360"/>
      </w:pPr>
    </w:lvl>
    <w:lvl w:ilvl="1" w:tplc="080C0019" w:tentative="1">
      <w:start w:val="1"/>
      <w:numFmt w:val="lowerLetter"/>
      <w:lvlText w:val="%2."/>
      <w:lvlJc w:val="left"/>
      <w:pPr>
        <w:tabs>
          <w:tab w:val="num" w:pos="1080"/>
        </w:tabs>
        <w:ind w:left="1080" w:hanging="360"/>
      </w:pPr>
    </w:lvl>
    <w:lvl w:ilvl="2" w:tplc="080C001B" w:tentative="1">
      <w:start w:val="1"/>
      <w:numFmt w:val="lowerRoman"/>
      <w:lvlText w:val="%3."/>
      <w:lvlJc w:val="right"/>
      <w:pPr>
        <w:tabs>
          <w:tab w:val="num" w:pos="1800"/>
        </w:tabs>
        <w:ind w:left="1800" w:hanging="180"/>
      </w:pPr>
    </w:lvl>
    <w:lvl w:ilvl="3" w:tplc="080C000F" w:tentative="1">
      <w:start w:val="1"/>
      <w:numFmt w:val="decimal"/>
      <w:lvlText w:val="%4."/>
      <w:lvlJc w:val="left"/>
      <w:pPr>
        <w:tabs>
          <w:tab w:val="num" w:pos="2520"/>
        </w:tabs>
        <w:ind w:left="2520" w:hanging="360"/>
      </w:pPr>
    </w:lvl>
    <w:lvl w:ilvl="4" w:tplc="080C0019" w:tentative="1">
      <w:start w:val="1"/>
      <w:numFmt w:val="lowerLetter"/>
      <w:lvlText w:val="%5."/>
      <w:lvlJc w:val="left"/>
      <w:pPr>
        <w:tabs>
          <w:tab w:val="num" w:pos="3240"/>
        </w:tabs>
        <w:ind w:left="3240" w:hanging="360"/>
      </w:pPr>
    </w:lvl>
    <w:lvl w:ilvl="5" w:tplc="080C001B" w:tentative="1">
      <w:start w:val="1"/>
      <w:numFmt w:val="lowerRoman"/>
      <w:lvlText w:val="%6."/>
      <w:lvlJc w:val="right"/>
      <w:pPr>
        <w:tabs>
          <w:tab w:val="num" w:pos="3960"/>
        </w:tabs>
        <w:ind w:left="3960" w:hanging="180"/>
      </w:pPr>
    </w:lvl>
    <w:lvl w:ilvl="6" w:tplc="080C000F" w:tentative="1">
      <w:start w:val="1"/>
      <w:numFmt w:val="decimal"/>
      <w:lvlText w:val="%7."/>
      <w:lvlJc w:val="left"/>
      <w:pPr>
        <w:tabs>
          <w:tab w:val="num" w:pos="4680"/>
        </w:tabs>
        <w:ind w:left="4680" w:hanging="360"/>
      </w:pPr>
    </w:lvl>
    <w:lvl w:ilvl="7" w:tplc="080C0019" w:tentative="1">
      <w:start w:val="1"/>
      <w:numFmt w:val="lowerLetter"/>
      <w:lvlText w:val="%8."/>
      <w:lvlJc w:val="left"/>
      <w:pPr>
        <w:tabs>
          <w:tab w:val="num" w:pos="5400"/>
        </w:tabs>
        <w:ind w:left="5400" w:hanging="360"/>
      </w:pPr>
    </w:lvl>
    <w:lvl w:ilvl="8" w:tplc="080C001B" w:tentative="1">
      <w:start w:val="1"/>
      <w:numFmt w:val="lowerRoman"/>
      <w:lvlText w:val="%9."/>
      <w:lvlJc w:val="right"/>
      <w:pPr>
        <w:tabs>
          <w:tab w:val="num" w:pos="6120"/>
        </w:tabs>
        <w:ind w:left="6120" w:hanging="180"/>
      </w:pPr>
    </w:lvl>
  </w:abstractNum>
  <w:abstractNum w:abstractNumId="42" w15:restartNumberingAfterBreak="0">
    <w:nsid w:val="688F08C6"/>
    <w:multiLevelType w:val="hybridMultilevel"/>
    <w:tmpl w:val="81B45346"/>
    <w:lvl w:ilvl="0" w:tplc="D9DC8F6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A1E78"/>
    <w:multiLevelType w:val="hybridMultilevel"/>
    <w:tmpl w:val="7632C2B2"/>
    <w:lvl w:ilvl="0" w:tplc="FD4E66A8">
      <w:start w:val="1"/>
      <w:numFmt w:val="decimal"/>
      <w:lvlText w:val="%1."/>
      <w:lvlJc w:val="left"/>
      <w:pPr>
        <w:ind w:left="360" w:hanging="360"/>
      </w:pPr>
    </w:lvl>
    <w:lvl w:ilvl="1" w:tplc="9B92C6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99719F"/>
    <w:multiLevelType w:val="hybridMultilevel"/>
    <w:tmpl w:val="590205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C66991"/>
    <w:multiLevelType w:val="hybridMultilevel"/>
    <w:tmpl w:val="4ED6DBAE"/>
    <w:lvl w:ilvl="0" w:tplc="304C5E8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4F0565"/>
    <w:multiLevelType w:val="hybridMultilevel"/>
    <w:tmpl w:val="3506A710"/>
    <w:lvl w:ilvl="0" w:tplc="163EA3C8">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91CDF"/>
    <w:multiLevelType w:val="hybridMultilevel"/>
    <w:tmpl w:val="8B522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AC7F19"/>
    <w:multiLevelType w:val="hybridMultilevel"/>
    <w:tmpl w:val="CD90C8BE"/>
    <w:lvl w:ilvl="0" w:tplc="247E5324">
      <w:start w:val="1"/>
      <w:numFmt w:val="decimal"/>
      <w:lvlText w:val="%1."/>
      <w:lvlJc w:val="left"/>
      <w:pPr>
        <w:ind w:left="360" w:hanging="360"/>
      </w:pPr>
      <w:rPr>
        <w:rFonts w:hint="default"/>
      </w:rPr>
    </w:lvl>
    <w:lvl w:ilvl="1" w:tplc="A1F254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23571"/>
    <w:multiLevelType w:val="hybridMultilevel"/>
    <w:tmpl w:val="FA9CC35E"/>
    <w:lvl w:ilvl="0" w:tplc="9306D16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9E4BB8"/>
    <w:multiLevelType w:val="hybridMultilevel"/>
    <w:tmpl w:val="39329F22"/>
    <w:lvl w:ilvl="0" w:tplc="CDA4B3A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30B50"/>
    <w:multiLevelType w:val="hybridMultilevel"/>
    <w:tmpl w:val="5706D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FF1EE5"/>
    <w:multiLevelType w:val="hybridMultilevel"/>
    <w:tmpl w:val="EB047A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E1A71EE"/>
    <w:multiLevelType w:val="hybridMultilevel"/>
    <w:tmpl w:val="17822B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6"/>
  </w:num>
  <w:num w:numId="3">
    <w:abstractNumId w:val="53"/>
  </w:num>
  <w:num w:numId="4">
    <w:abstractNumId w:val="44"/>
  </w:num>
  <w:num w:numId="5">
    <w:abstractNumId w:val="13"/>
  </w:num>
  <w:num w:numId="6">
    <w:abstractNumId w:val="5"/>
  </w:num>
  <w:num w:numId="7">
    <w:abstractNumId w:val="26"/>
  </w:num>
  <w:num w:numId="8">
    <w:abstractNumId w:val="20"/>
  </w:num>
  <w:num w:numId="9">
    <w:abstractNumId w:val="6"/>
  </w:num>
  <w:num w:numId="10">
    <w:abstractNumId w:val="30"/>
  </w:num>
  <w:num w:numId="11">
    <w:abstractNumId w:val="12"/>
  </w:num>
  <w:num w:numId="12">
    <w:abstractNumId w:val="48"/>
  </w:num>
  <w:num w:numId="13">
    <w:abstractNumId w:val="2"/>
  </w:num>
  <w:num w:numId="14">
    <w:abstractNumId w:val="25"/>
  </w:num>
  <w:num w:numId="15">
    <w:abstractNumId w:val="21"/>
  </w:num>
  <w:num w:numId="16">
    <w:abstractNumId w:val="10"/>
  </w:num>
  <w:num w:numId="17">
    <w:abstractNumId w:val="42"/>
  </w:num>
  <w:num w:numId="18">
    <w:abstractNumId w:val="38"/>
  </w:num>
  <w:num w:numId="19">
    <w:abstractNumId w:val="46"/>
  </w:num>
  <w:num w:numId="20">
    <w:abstractNumId w:val="29"/>
  </w:num>
  <w:num w:numId="21">
    <w:abstractNumId w:val="45"/>
  </w:num>
  <w:num w:numId="22">
    <w:abstractNumId w:val="35"/>
  </w:num>
  <w:num w:numId="23">
    <w:abstractNumId w:val="19"/>
  </w:num>
  <w:num w:numId="24">
    <w:abstractNumId w:val="14"/>
  </w:num>
  <w:num w:numId="25">
    <w:abstractNumId w:val="22"/>
  </w:num>
  <w:num w:numId="26">
    <w:abstractNumId w:val="15"/>
  </w:num>
  <w:num w:numId="27">
    <w:abstractNumId w:val="18"/>
  </w:num>
  <w:num w:numId="28">
    <w:abstractNumId w:val="51"/>
  </w:num>
  <w:num w:numId="29">
    <w:abstractNumId w:val="28"/>
  </w:num>
  <w:num w:numId="30">
    <w:abstractNumId w:val="4"/>
  </w:num>
  <w:num w:numId="31">
    <w:abstractNumId w:val="17"/>
  </w:num>
  <w:num w:numId="32">
    <w:abstractNumId w:val="39"/>
  </w:num>
  <w:num w:numId="33">
    <w:abstractNumId w:val="31"/>
  </w:num>
  <w:num w:numId="34">
    <w:abstractNumId w:val="43"/>
  </w:num>
  <w:num w:numId="35">
    <w:abstractNumId w:val="8"/>
  </w:num>
  <w:num w:numId="36">
    <w:abstractNumId w:val="32"/>
  </w:num>
  <w:num w:numId="37">
    <w:abstractNumId w:val="11"/>
  </w:num>
  <w:num w:numId="38">
    <w:abstractNumId w:val="23"/>
  </w:num>
  <w:num w:numId="39">
    <w:abstractNumId w:val="49"/>
  </w:num>
  <w:num w:numId="40">
    <w:abstractNumId w:val="52"/>
  </w:num>
  <w:num w:numId="41">
    <w:abstractNumId w:val="3"/>
  </w:num>
  <w:num w:numId="42">
    <w:abstractNumId w:val="41"/>
  </w:num>
  <w:num w:numId="43">
    <w:abstractNumId w:val="24"/>
  </w:num>
  <w:num w:numId="44">
    <w:abstractNumId w:val="50"/>
  </w:num>
  <w:num w:numId="45">
    <w:abstractNumId w:val="40"/>
  </w:num>
  <w:num w:numId="46">
    <w:abstractNumId w:val="34"/>
  </w:num>
  <w:num w:numId="47">
    <w:abstractNumId w:val="33"/>
  </w:num>
  <w:num w:numId="48">
    <w:abstractNumId w:val="37"/>
  </w:num>
  <w:num w:numId="49">
    <w:abstractNumId w:val="9"/>
  </w:num>
  <w:num w:numId="50">
    <w:abstractNumId w:val="7"/>
  </w:num>
  <w:num w:numId="51">
    <w:abstractNumId w:val="47"/>
  </w:num>
  <w:num w:numId="52">
    <w:abstractNumId w:val="36"/>
  </w:num>
  <w:num w:numId="5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78"/>
    <w:rsid w:val="0001357A"/>
    <w:rsid w:val="000140AF"/>
    <w:rsid w:val="000234B1"/>
    <w:rsid w:val="00025007"/>
    <w:rsid w:val="00030180"/>
    <w:rsid w:val="00030F4B"/>
    <w:rsid w:val="00033A6F"/>
    <w:rsid w:val="00033FCD"/>
    <w:rsid w:val="000364DA"/>
    <w:rsid w:val="000403EC"/>
    <w:rsid w:val="00042202"/>
    <w:rsid w:val="0004386E"/>
    <w:rsid w:val="00046566"/>
    <w:rsid w:val="00050DF7"/>
    <w:rsid w:val="00051BF8"/>
    <w:rsid w:val="000528E7"/>
    <w:rsid w:val="0005570A"/>
    <w:rsid w:val="00055781"/>
    <w:rsid w:val="0005609B"/>
    <w:rsid w:val="000602B1"/>
    <w:rsid w:val="00062B95"/>
    <w:rsid w:val="00062DA2"/>
    <w:rsid w:val="000631C5"/>
    <w:rsid w:val="000635A2"/>
    <w:rsid w:val="000636E5"/>
    <w:rsid w:val="0006688E"/>
    <w:rsid w:val="00066DAA"/>
    <w:rsid w:val="0007092C"/>
    <w:rsid w:val="00070E7E"/>
    <w:rsid w:val="00072912"/>
    <w:rsid w:val="00076DCC"/>
    <w:rsid w:val="00080153"/>
    <w:rsid w:val="0008229D"/>
    <w:rsid w:val="00083E9D"/>
    <w:rsid w:val="0008473A"/>
    <w:rsid w:val="000853EC"/>
    <w:rsid w:val="00085B71"/>
    <w:rsid w:val="00086302"/>
    <w:rsid w:val="000879BB"/>
    <w:rsid w:val="000912B3"/>
    <w:rsid w:val="000941DF"/>
    <w:rsid w:val="000959E2"/>
    <w:rsid w:val="000A17B2"/>
    <w:rsid w:val="000A1979"/>
    <w:rsid w:val="000A2070"/>
    <w:rsid w:val="000A3B1B"/>
    <w:rsid w:val="000B5EF2"/>
    <w:rsid w:val="000C5316"/>
    <w:rsid w:val="000C6466"/>
    <w:rsid w:val="000C736C"/>
    <w:rsid w:val="000D16D6"/>
    <w:rsid w:val="000D1F30"/>
    <w:rsid w:val="000D42CB"/>
    <w:rsid w:val="000D5069"/>
    <w:rsid w:val="000D5985"/>
    <w:rsid w:val="000D798E"/>
    <w:rsid w:val="000E4A6C"/>
    <w:rsid w:val="000E777D"/>
    <w:rsid w:val="000F16E9"/>
    <w:rsid w:val="000F2F97"/>
    <w:rsid w:val="000F3193"/>
    <w:rsid w:val="000F483B"/>
    <w:rsid w:val="000F61CD"/>
    <w:rsid w:val="00102B14"/>
    <w:rsid w:val="00104F0C"/>
    <w:rsid w:val="00106CF4"/>
    <w:rsid w:val="00107DEC"/>
    <w:rsid w:val="0011531A"/>
    <w:rsid w:val="001218E6"/>
    <w:rsid w:val="00121DB9"/>
    <w:rsid w:val="00122E21"/>
    <w:rsid w:val="00124EFF"/>
    <w:rsid w:val="001250CB"/>
    <w:rsid w:val="00125D61"/>
    <w:rsid w:val="00133CB5"/>
    <w:rsid w:val="00141DB9"/>
    <w:rsid w:val="0014351D"/>
    <w:rsid w:val="00145E05"/>
    <w:rsid w:val="001473BC"/>
    <w:rsid w:val="0015153B"/>
    <w:rsid w:val="00151860"/>
    <w:rsid w:val="00151E0A"/>
    <w:rsid w:val="00153423"/>
    <w:rsid w:val="0015406F"/>
    <w:rsid w:val="00156B29"/>
    <w:rsid w:val="00160819"/>
    <w:rsid w:val="00160E45"/>
    <w:rsid w:val="00162201"/>
    <w:rsid w:val="001714EC"/>
    <w:rsid w:val="00175775"/>
    <w:rsid w:val="00175F53"/>
    <w:rsid w:val="00176820"/>
    <w:rsid w:val="00177FEF"/>
    <w:rsid w:val="00183271"/>
    <w:rsid w:val="00187616"/>
    <w:rsid w:val="0019041D"/>
    <w:rsid w:val="0019278D"/>
    <w:rsid w:val="00192805"/>
    <w:rsid w:val="0019283A"/>
    <w:rsid w:val="00192AC6"/>
    <w:rsid w:val="00195704"/>
    <w:rsid w:val="00195E5C"/>
    <w:rsid w:val="00197CA7"/>
    <w:rsid w:val="001A05E1"/>
    <w:rsid w:val="001A09B9"/>
    <w:rsid w:val="001A0F44"/>
    <w:rsid w:val="001A1F1F"/>
    <w:rsid w:val="001A2F09"/>
    <w:rsid w:val="001A4780"/>
    <w:rsid w:val="001A5D0E"/>
    <w:rsid w:val="001A706B"/>
    <w:rsid w:val="001B0907"/>
    <w:rsid w:val="001B1872"/>
    <w:rsid w:val="001B1FE9"/>
    <w:rsid w:val="001B254C"/>
    <w:rsid w:val="001B5541"/>
    <w:rsid w:val="001B585F"/>
    <w:rsid w:val="001B607F"/>
    <w:rsid w:val="001B730D"/>
    <w:rsid w:val="001C0C58"/>
    <w:rsid w:val="001C14C3"/>
    <w:rsid w:val="001C2F90"/>
    <w:rsid w:val="001C312E"/>
    <w:rsid w:val="001C6E14"/>
    <w:rsid w:val="001C718D"/>
    <w:rsid w:val="001D4AEB"/>
    <w:rsid w:val="001D6F46"/>
    <w:rsid w:val="001E14D0"/>
    <w:rsid w:val="001E21F3"/>
    <w:rsid w:val="001E245C"/>
    <w:rsid w:val="001E3C3D"/>
    <w:rsid w:val="001E639F"/>
    <w:rsid w:val="001E6654"/>
    <w:rsid w:val="001F1C3C"/>
    <w:rsid w:val="001F5D24"/>
    <w:rsid w:val="002004B4"/>
    <w:rsid w:val="002034D9"/>
    <w:rsid w:val="00205645"/>
    <w:rsid w:val="00207A8C"/>
    <w:rsid w:val="00211428"/>
    <w:rsid w:val="0021288B"/>
    <w:rsid w:val="002154ED"/>
    <w:rsid w:val="00215A25"/>
    <w:rsid w:val="00217181"/>
    <w:rsid w:val="002205F8"/>
    <w:rsid w:val="00221F83"/>
    <w:rsid w:val="00222965"/>
    <w:rsid w:val="0022561D"/>
    <w:rsid w:val="0022743C"/>
    <w:rsid w:val="002278BB"/>
    <w:rsid w:val="002338BE"/>
    <w:rsid w:val="00235BE4"/>
    <w:rsid w:val="00236331"/>
    <w:rsid w:val="002432E4"/>
    <w:rsid w:val="00245018"/>
    <w:rsid w:val="0024590E"/>
    <w:rsid w:val="00245C4C"/>
    <w:rsid w:val="00250785"/>
    <w:rsid w:val="00253ACD"/>
    <w:rsid w:val="00254AE0"/>
    <w:rsid w:val="0025573C"/>
    <w:rsid w:val="00257DAE"/>
    <w:rsid w:val="002627A9"/>
    <w:rsid w:val="00263B16"/>
    <w:rsid w:val="00264012"/>
    <w:rsid w:val="002663C0"/>
    <w:rsid w:val="00270F29"/>
    <w:rsid w:val="00272C01"/>
    <w:rsid w:val="0027333B"/>
    <w:rsid w:val="002733B2"/>
    <w:rsid w:val="00275B44"/>
    <w:rsid w:val="00275F05"/>
    <w:rsid w:val="00275F5D"/>
    <w:rsid w:val="0027617A"/>
    <w:rsid w:val="002766B1"/>
    <w:rsid w:val="00277107"/>
    <w:rsid w:val="00281590"/>
    <w:rsid w:val="002822F6"/>
    <w:rsid w:val="00284137"/>
    <w:rsid w:val="00286A66"/>
    <w:rsid w:val="002872DE"/>
    <w:rsid w:val="0029105C"/>
    <w:rsid w:val="002910C2"/>
    <w:rsid w:val="002914DD"/>
    <w:rsid w:val="002915A8"/>
    <w:rsid w:val="00293079"/>
    <w:rsid w:val="00295B1C"/>
    <w:rsid w:val="00295DA7"/>
    <w:rsid w:val="00296492"/>
    <w:rsid w:val="00297C6F"/>
    <w:rsid w:val="002A451F"/>
    <w:rsid w:val="002A469E"/>
    <w:rsid w:val="002A726C"/>
    <w:rsid w:val="002B1ABB"/>
    <w:rsid w:val="002B422A"/>
    <w:rsid w:val="002B7807"/>
    <w:rsid w:val="002C2C14"/>
    <w:rsid w:val="002C3BFF"/>
    <w:rsid w:val="002C5422"/>
    <w:rsid w:val="002D3B15"/>
    <w:rsid w:val="002D5AAC"/>
    <w:rsid w:val="002D73D4"/>
    <w:rsid w:val="002E246E"/>
    <w:rsid w:val="002E2B3C"/>
    <w:rsid w:val="002E3CC1"/>
    <w:rsid w:val="002E3CD6"/>
    <w:rsid w:val="002F0FA6"/>
    <w:rsid w:val="002F290C"/>
    <w:rsid w:val="002F3755"/>
    <w:rsid w:val="002F4C43"/>
    <w:rsid w:val="002F6163"/>
    <w:rsid w:val="00300F48"/>
    <w:rsid w:val="00301084"/>
    <w:rsid w:val="003039F6"/>
    <w:rsid w:val="00303CFF"/>
    <w:rsid w:val="00311D31"/>
    <w:rsid w:val="00313950"/>
    <w:rsid w:val="00313D3C"/>
    <w:rsid w:val="00315AB0"/>
    <w:rsid w:val="00316A0E"/>
    <w:rsid w:val="00316AB4"/>
    <w:rsid w:val="003170E0"/>
    <w:rsid w:val="00320826"/>
    <w:rsid w:val="00326CE3"/>
    <w:rsid w:val="00327318"/>
    <w:rsid w:val="00331C9F"/>
    <w:rsid w:val="003321EB"/>
    <w:rsid w:val="003330EE"/>
    <w:rsid w:val="00333A9E"/>
    <w:rsid w:val="00334C92"/>
    <w:rsid w:val="0033516D"/>
    <w:rsid w:val="00335915"/>
    <w:rsid w:val="003430C3"/>
    <w:rsid w:val="00344330"/>
    <w:rsid w:val="003444D0"/>
    <w:rsid w:val="003471EE"/>
    <w:rsid w:val="00351F34"/>
    <w:rsid w:val="003523FD"/>
    <w:rsid w:val="00354630"/>
    <w:rsid w:val="003566B1"/>
    <w:rsid w:val="00356A01"/>
    <w:rsid w:val="00362A04"/>
    <w:rsid w:val="00362A53"/>
    <w:rsid w:val="00362D00"/>
    <w:rsid w:val="0036340E"/>
    <w:rsid w:val="00363C24"/>
    <w:rsid w:val="00364E31"/>
    <w:rsid w:val="003707ED"/>
    <w:rsid w:val="00370C88"/>
    <w:rsid w:val="0037271B"/>
    <w:rsid w:val="003769B1"/>
    <w:rsid w:val="00377021"/>
    <w:rsid w:val="0038167A"/>
    <w:rsid w:val="00382C20"/>
    <w:rsid w:val="00387900"/>
    <w:rsid w:val="00387ABC"/>
    <w:rsid w:val="00390DD5"/>
    <w:rsid w:val="0039101D"/>
    <w:rsid w:val="00392272"/>
    <w:rsid w:val="00396903"/>
    <w:rsid w:val="00396ABA"/>
    <w:rsid w:val="003A170B"/>
    <w:rsid w:val="003A2893"/>
    <w:rsid w:val="003A2E37"/>
    <w:rsid w:val="003B098D"/>
    <w:rsid w:val="003B1ED4"/>
    <w:rsid w:val="003B3B19"/>
    <w:rsid w:val="003B54A7"/>
    <w:rsid w:val="003B7797"/>
    <w:rsid w:val="003B77B8"/>
    <w:rsid w:val="003C3EC3"/>
    <w:rsid w:val="003C533F"/>
    <w:rsid w:val="003C7BA4"/>
    <w:rsid w:val="003C7CD7"/>
    <w:rsid w:val="003D08CB"/>
    <w:rsid w:val="003D0C51"/>
    <w:rsid w:val="003D185E"/>
    <w:rsid w:val="003D428B"/>
    <w:rsid w:val="003D611A"/>
    <w:rsid w:val="003D64A5"/>
    <w:rsid w:val="003E6D86"/>
    <w:rsid w:val="003E78D4"/>
    <w:rsid w:val="003E7DBE"/>
    <w:rsid w:val="003E7EAE"/>
    <w:rsid w:val="003F1018"/>
    <w:rsid w:val="003F51EB"/>
    <w:rsid w:val="003F64D8"/>
    <w:rsid w:val="003F6EA9"/>
    <w:rsid w:val="00401F3B"/>
    <w:rsid w:val="00404311"/>
    <w:rsid w:val="0040441F"/>
    <w:rsid w:val="0040490C"/>
    <w:rsid w:val="004058BC"/>
    <w:rsid w:val="00412025"/>
    <w:rsid w:val="00412B8D"/>
    <w:rsid w:val="00414FFB"/>
    <w:rsid w:val="00415CA7"/>
    <w:rsid w:val="00416F23"/>
    <w:rsid w:val="0042103B"/>
    <w:rsid w:val="00422C3E"/>
    <w:rsid w:val="00424227"/>
    <w:rsid w:val="00425FE6"/>
    <w:rsid w:val="00427ED7"/>
    <w:rsid w:val="00431F97"/>
    <w:rsid w:val="004337C4"/>
    <w:rsid w:val="0043513B"/>
    <w:rsid w:val="004364A3"/>
    <w:rsid w:val="00437D2A"/>
    <w:rsid w:val="00441E66"/>
    <w:rsid w:val="00443486"/>
    <w:rsid w:val="004463A7"/>
    <w:rsid w:val="004552AF"/>
    <w:rsid w:val="00457524"/>
    <w:rsid w:val="00464A5F"/>
    <w:rsid w:val="00464A82"/>
    <w:rsid w:val="0046542B"/>
    <w:rsid w:val="00465542"/>
    <w:rsid w:val="00465CA3"/>
    <w:rsid w:val="00471587"/>
    <w:rsid w:val="0047324F"/>
    <w:rsid w:val="00473466"/>
    <w:rsid w:val="0047678B"/>
    <w:rsid w:val="00481433"/>
    <w:rsid w:val="004903DC"/>
    <w:rsid w:val="004905C1"/>
    <w:rsid w:val="00495A33"/>
    <w:rsid w:val="004A071F"/>
    <w:rsid w:val="004A0C60"/>
    <w:rsid w:val="004A1042"/>
    <w:rsid w:val="004A47F2"/>
    <w:rsid w:val="004A757A"/>
    <w:rsid w:val="004B0514"/>
    <w:rsid w:val="004B5989"/>
    <w:rsid w:val="004B6868"/>
    <w:rsid w:val="004C07F1"/>
    <w:rsid w:val="004C16AD"/>
    <w:rsid w:val="004C1D2A"/>
    <w:rsid w:val="004C5686"/>
    <w:rsid w:val="004C6867"/>
    <w:rsid w:val="004D0F99"/>
    <w:rsid w:val="004D24FB"/>
    <w:rsid w:val="004D300B"/>
    <w:rsid w:val="004D3449"/>
    <w:rsid w:val="004D3479"/>
    <w:rsid w:val="004D4767"/>
    <w:rsid w:val="004E2B28"/>
    <w:rsid w:val="004E30BE"/>
    <w:rsid w:val="004E3D95"/>
    <w:rsid w:val="004E6AA9"/>
    <w:rsid w:val="004F3EFE"/>
    <w:rsid w:val="005014EE"/>
    <w:rsid w:val="00501AB8"/>
    <w:rsid w:val="00502E3E"/>
    <w:rsid w:val="00503946"/>
    <w:rsid w:val="0050404A"/>
    <w:rsid w:val="00505459"/>
    <w:rsid w:val="00507A4E"/>
    <w:rsid w:val="00510E64"/>
    <w:rsid w:val="0051142B"/>
    <w:rsid w:val="00512D97"/>
    <w:rsid w:val="00515E3A"/>
    <w:rsid w:val="00516702"/>
    <w:rsid w:val="00517262"/>
    <w:rsid w:val="00527166"/>
    <w:rsid w:val="00533F05"/>
    <w:rsid w:val="005424F7"/>
    <w:rsid w:val="0054288B"/>
    <w:rsid w:val="00542AAD"/>
    <w:rsid w:val="00545D32"/>
    <w:rsid w:val="005479F1"/>
    <w:rsid w:val="00550939"/>
    <w:rsid w:val="00550E61"/>
    <w:rsid w:val="005518F5"/>
    <w:rsid w:val="005531B7"/>
    <w:rsid w:val="00556DCC"/>
    <w:rsid w:val="00565789"/>
    <w:rsid w:val="005659E9"/>
    <w:rsid w:val="00565B8B"/>
    <w:rsid w:val="00565BA1"/>
    <w:rsid w:val="00565BE5"/>
    <w:rsid w:val="0057151C"/>
    <w:rsid w:val="00573AB9"/>
    <w:rsid w:val="00573E3D"/>
    <w:rsid w:val="005744D1"/>
    <w:rsid w:val="0057487C"/>
    <w:rsid w:val="005748B9"/>
    <w:rsid w:val="005753EE"/>
    <w:rsid w:val="00575DBB"/>
    <w:rsid w:val="00577DF7"/>
    <w:rsid w:val="00581FA7"/>
    <w:rsid w:val="00582155"/>
    <w:rsid w:val="005849AA"/>
    <w:rsid w:val="00587966"/>
    <w:rsid w:val="00596666"/>
    <w:rsid w:val="005A0490"/>
    <w:rsid w:val="005A0C00"/>
    <w:rsid w:val="005A1885"/>
    <w:rsid w:val="005A2603"/>
    <w:rsid w:val="005A3C64"/>
    <w:rsid w:val="005A6A37"/>
    <w:rsid w:val="005A6C84"/>
    <w:rsid w:val="005B28B6"/>
    <w:rsid w:val="005B3BA5"/>
    <w:rsid w:val="005B5706"/>
    <w:rsid w:val="005B67D3"/>
    <w:rsid w:val="005C03A9"/>
    <w:rsid w:val="005C3A07"/>
    <w:rsid w:val="005D3580"/>
    <w:rsid w:val="005D582C"/>
    <w:rsid w:val="005D5847"/>
    <w:rsid w:val="005D66B5"/>
    <w:rsid w:val="005E0119"/>
    <w:rsid w:val="005F02D8"/>
    <w:rsid w:val="005F07E7"/>
    <w:rsid w:val="005F7C1E"/>
    <w:rsid w:val="006017BB"/>
    <w:rsid w:val="006023AC"/>
    <w:rsid w:val="00602F4C"/>
    <w:rsid w:val="00604AC4"/>
    <w:rsid w:val="00611D53"/>
    <w:rsid w:val="00615044"/>
    <w:rsid w:val="006160B6"/>
    <w:rsid w:val="0061781C"/>
    <w:rsid w:val="006239AC"/>
    <w:rsid w:val="00623EE6"/>
    <w:rsid w:val="006240C7"/>
    <w:rsid w:val="00625578"/>
    <w:rsid w:val="00626286"/>
    <w:rsid w:val="006277DC"/>
    <w:rsid w:val="006307C4"/>
    <w:rsid w:val="006310D2"/>
    <w:rsid w:val="00631600"/>
    <w:rsid w:val="0063249A"/>
    <w:rsid w:val="0064287B"/>
    <w:rsid w:val="0064379A"/>
    <w:rsid w:val="00645693"/>
    <w:rsid w:val="00647D7B"/>
    <w:rsid w:val="0065070E"/>
    <w:rsid w:val="00652F00"/>
    <w:rsid w:val="00653244"/>
    <w:rsid w:val="006532DF"/>
    <w:rsid w:val="00657243"/>
    <w:rsid w:val="0066051C"/>
    <w:rsid w:val="00662EF9"/>
    <w:rsid w:val="006653E0"/>
    <w:rsid w:val="00672E04"/>
    <w:rsid w:val="00673758"/>
    <w:rsid w:val="006741B1"/>
    <w:rsid w:val="00682CF2"/>
    <w:rsid w:val="00683DB6"/>
    <w:rsid w:val="006861F6"/>
    <w:rsid w:val="0069091C"/>
    <w:rsid w:val="00692EA3"/>
    <w:rsid w:val="006957D0"/>
    <w:rsid w:val="00695886"/>
    <w:rsid w:val="00695C13"/>
    <w:rsid w:val="00696A71"/>
    <w:rsid w:val="006A0293"/>
    <w:rsid w:val="006A0FAD"/>
    <w:rsid w:val="006A1846"/>
    <w:rsid w:val="006B0758"/>
    <w:rsid w:val="006B7AD7"/>
    <w:rsid w:val="006C4E13"/>
    <w:rsid w:val="006C571E"/>
    <w:rsid w:val="006C6198"/>
    <w:rsid w:val="006D1443"/>
    <w:rsid w:val="006D3FAB"/>
    <w:rsid w:val="006D78BE"/>
    <w:rsid w:val="006E1856"/>
    <w:rsid w:val="006E2609"/>
    <w:rsid w:val="006E4F95"/>
    <w:rsid w:val="006E6A74"/>
    <w:rsid w:val="006E79BC"/>
    <w:rsid w:val="006F2730"/>
    <w:rsid w:val="006F296C"/>
    <w:rsid w:val="006F4043"/>
    <w:rsid w:val="006F53DE"/>
    <w:rsid w:val="006F5BB3"/>
    <w:rsid w:val="006F6F24"/>
    <w:rsid w:val="006F7C43"/>
    <w:rsid w:val="00700648"/>
    <w:rsid w:val="00705686"/>
    <w:rsid w:val="00705FAA"/>
    <w:rsid w:val="007119E0"/>
    <w:rsid w:val="007138F1"/>
    <w:rsid w:val="007237B1"/>
    <w:rsid w:val="00724691"/>
    <w:rsid w:val="0072741F"/>
    <w:rsid w:val="007303BC"/>
    <w:rsid w:val="00731333"/>
    <w:rsid w:val="00731AFE"/>
    <w:rsid w:val="00735221"/>
    <w:rsid w:val="00735CAA"/>
    <w:rsid w:val="007371BA"/>
    <w:rsid w:val="00740A29"/>
    <w:rsid w:val="00740A60"/>
    <w:rsid w:val="00741CE9"/>
    <w:rsid w:val="00742A25"/>
    <w:rsid w:val="00745780"/>
    <w:rsid w:val="007463E6"/>
    <w:rsid w:val="00752295"/>
    <w:rsid w:val="0075684F"/>
    <w:rsid w:val="007622F4"/>
    <w:rsid w:val="007637AD"/>
    <w:rsid w:val="00767923"/>
    <w:rsid w:val="0077316A"/>
    <w:rsid w:val="007769A4"/>
    <w:rsid w:val="00780FE6"/>
    <w:rsid w:val="0078137E"/>
    <w:rsid w:val="00783CE4"/>
    <w:rsid w:val="00784666"/>
    <w:rsid w:val="00786AC9"/>
    <w:rsid w:val="00787014"/>
    <w:rsid w:val="00791F50"/>
    <w:rsid w:val="007934EA"/>
    <w:rsid w:val="0079415B"/>
    <w:rsid w:val="00794D19"/>
    <w:rsid w:val="00796BCA"/>
    <w:rsid w:val="007A173A"/>
    <w:rsid w:val="007A1FC0"/>
    <w:rsid w:val="007A60D2"/>
    <w:rsid w:val="007B18ED"/>
    <w:rsid w:val="007B214B"/>
    <w:rsid w:val="007B215B"/>
    <w:rsid w:val="007B2A67"/>
    <w:rsid w:val="007B3466"/>
    <w:rsid w:val="007B363F"/>
    <w:rsid w:val="007B475C"/>
    <w:rsid w:val="007B47C6"/>
    <w:rsid w:val="007B58BB"/>
    <w:rsid w:val="007B5C80"/>
    <w:rsid w:val="007B79D6"/>
    <w:rsid w:val="007C3615"/>
    <w:rsid w:val="007C7D83"/>
    <w:rsid w:val="007D095B"/>
    <w:rsid w:val="007D2E06"/>
    <w:rsid w:val="007D4B41"/>
    <w:rsid w:val="007D5F88"/>
    <w:rsid w:val="007D68FB"/>
    <w:rsid w:val="007D718A"/>
    <w:rsid w:val="007D7215"/>
    <w:rsid w:val="007D783D"/>
    <w:rsid w:val="007E0B48"/>
    <w:rsid w:val="007E496F"/>
    <w:rsid w:val="007E4D9C"/>
    <w:rsid w:val="007E66A5"/>
    <w:rsid w:val="007E6A63"/>
    <w:rsid w:val="007E724D"/>
    <w:rsid w:val="007E7288"/>
    <w:rsid w:val="007F1F6C"/>
    <w:rsid w:val="007F425D"/>
    <w:rsid w:val="00802896"/>
    <w:rsid w:val="00803DA8"/>
    <w:rsid w:val="00806CAE"/>
    <w:rsid w:val="00806E58"/>
    <w:rsid w:val="0081272C"/>
    <w:rsid w:val="00814837"/>
    <w:rsid w:val="008205A0"/>
    <w:rsid w:val="00821764"/>
    <w:rsid w:val="00821B54"/>
    <w:rsid w:val="008255BA"/>
    <w:rsid w:val="00826ADA"/>
    <w:rsid w:val="0083207A"/>
    <w:rsid w:val="0083352A"/>
    <w:rsid w:val="00835BE7"/>
    <w:rsid w:val="00837312"/>
    <w:rsid w:val="00837A11"/>
    <w:rsid w:val="00842182"/>
    <w:rsid w:val="008426EA"/>
    <w:rsid w:val="00846AFF"/>
    <w:rsid w:val="00847303"/>
    <w:rsid w:val="008478C2"/>
    <w:rsid w:val="00851DF8"/>
    <w:rsid w:val="00852542"/>
    <w:rsid w:val="008534AC"/>
    <w:rsid w:val="008545D0"/>
    <w:rsid w:val="008557E9"/>
    <w:rsid w:val="00865ABE"/>
    <w:rsid w:val="00867A61"/>
    <w:rsid w:val="0087609D"/>
    <w:rsid w:val="00883101"/>
    <w:rsid w:val="008853E6"/>
    <w:rsid w:val="00886CF9"/>
    <w:rsid w:val="00887306"/>
    <w:rsid w:val="00890561"/>
    <w:rsid w:val="0089065C"/>
    <w:rsid w:val="00891095"/>
    <w:rsid w:val="008917EA"/>
    <w:rsid w:val="00896757"/>
    <w:rsid w:val="008973E1"/>
    <w:rsid w:val="00897E6E"/>
    <w:rsid w:val="008A12D3"/>
    <w:rsid w:val="008A5C30"/>
    <w:rsid w:val="008A7645"/>
    <w:rsid w:val="008A7AD9"/>
    <w:rsid w:val="008B0623"/>
    <w:rsid w:val="008B1F51"/>
    <w:rsid w:val="008B319D"/>
    <w:rsid w:val="008B35EA"/>
    <w:rsid w:val="008B420F"/>
    <w:rsid w:val="008B5C91"/>
    <w:rsid w:val="008C1016"/>
    <w:rsid w:val="008C18AD"/>
    <w:rsid w:val="008C2A5C"/>
    <w:rsid w:val="008C2C3E"/>
    <w:rsid w:val="008C4CC2"/>
    <w:rsid w:val="008C5519"/>
    <w:rsid w:val="008C6610"/>
    <w:rsid w:val="008D166C"/>
    <w:rsid w:val="008D46E9"/>
    <w:rsid w:val="008D4EEA"/>
    <w:rsid w:val="008D5F42"/>
    <w:rsid w:val="008D726C"/>
    <w:rsid w:val="008E04CD"/>
    <w:rsid w:val="008E15ED"/>
    <w:rsid w:val="008E73E2"/>
    <w:rsid w:val="008E7A7B"/>
    <w:rsid w:val="008F2812"/>
    <w:rsid w:val="008F34CE"/>
    <w:rsid w:val="00900486"/>
    <w:rsid w:val="00900D8F"/>
    <w:rsid w:val="00903094"/>
    <w:rsid w:val="00906EE4"/>
    <w:rsid w:val="00911D0C"/>
    <w:rsid w:val="00913F93"/>
    <w:rsid w:val="0091574F"/>
    <w:rsid w:val="00915A04"/>
    <w:rsid w:val="00915D27"/>
    <w:rsid w:val="0091662B"/>
    <w:rsid w:val="00920B60"/>
    <w:rsid w:val="00924BE3"/>
    <w:rsid w:val="00926C1B"/>
    <w:rsid w:val="009279E6"/>
    <w:rsid w:val="009312E6"/>
    <w:rsid w:val="009328BC"/>
    <w:rsid w:val="009335DD"/>
    <w:rsid w:val="0094237A"/>
    <w:rsid w:val="00942C9B"/>
    <w:rsid w:val="00943F85"/>
    <w:rsid w:val="00944F9E"/>
    <w:rsid w:val="0094677D"/>
    <w:rsid w:val="009469B6"/>
    <w:rsid w:val="00952F7B"/>
    <w:rsid w:val="0095645F"/>
    <w:rsid w:val="00957227"/>
    <w:rsid w:val="009574B3"/>
    <w:rsid w:val="00964409"/>
    <w:rsid w:val="009651A8"/>
    <w:rsid w:val="0096580C"/>
    <w:rsid w:val="00965DFD"/>
    <w:rsid w:val="0096665E"/>
    <w:rsid w:val="009674F1"/>
    <w:rsid w:val="00970D48"/>
    <w:rsid w:val="00973E89"/>
    <w:rsid w:val="00974A4C"/>
    <w:rsid w:val="00975BC7"/>
    <w:rsid w:val="009768B3"/>
    <w:rsid w:val="0098000D"/>
    <w:rsid w:val="0099293B"/>
    <w:rsid w:val="009A01D7"/>
    <w:rsid w:val="009A3BF6"/>
    <w:rsid w:val="009A69CE"/>
    <w:rsid w:val="009B262F"/>
    <w:rsid w:val="009B3332"/>
    <w:rsid w:val="009B36E8"/>
    <w:rsid w:val="009C15ED"/>
    <w:rsid w:val="009C20C2"/>
    <w:rsid w:val="009C231D"/>
    <w:rsid w:val="009D0287"/>
    <w:rsid w:val="009D2E39"/>
    <w:rsid w:val="009D4249"/>
    <w:rsid w:val="009D7692"/>
    <w:rsid w:val="009E13A1"/>
    <w:rsid w:val="009E1E89"/>
    <w:rsid w:val="009E6765"/>
    <w:rsid w:val="009E6D3E"/>
    <w:rsid w:val="009E7C4E"/>
    <w:rsid w:val="009F1755"/>
    <w:rsid w:val="009F4837"/>
    <w:rsid w:val="009F5464"/>
    <w:rsid w:val="009F61CC"/>
    <w:rsid w:val="009F7637"/>
    <w:rsid w:val="00A03A69"/>
    <w:rsid w:val="00A0460B"/>
    <w:rsid w:val="00A06089"/>
    <w:rsid w:val="00A072FB"/>
    <w:rsid w:val="00A1429D"/>
    <w:rsid w:val="00A1505C"/>
    <w:rsid w:val="00A16971"/>
    <w:rsid w:val="00A17788"/>
    <w:rsid w:val="00A22A97"/>
    <w:rsid w:val="00A24C6B"/>
    <w:rsid w:val="00A24DB8"/>
    <w:rsid w:val="00A25933"/>
    <w:rsid w:val="00A27A79"/>
    <w:rsid w:val="00A30CB6"/>
    <w:rsid w:val="00A37207"/>
    <w:rsid w:val="00A446FA"/>
    <w:rsid w:val="00A44AA2"/>
    <w:rsid w:val="00A46BE6"/>
    <w:rsid w:val="00A47DBC"/>
    <w:rsid w:val="00A50719"/>
    <w:rsid w:val="00A50854"/>
    <w:rsid w:val="00A50E74"/>
    <w:rsid w:val="00A51BC6"/>
    <w:rsid w:val="00A526EF"/>
    <w:rsid w:val="00A550E8"/>
    <w:rsid w:val="00A563C0"/>
    <w:rsid w:val="00A563CC"/>
    <w:rsid w:val="00A61AA1"/>
    <w:rsid w:val="00A64A39"/>
    <w:rsid w:val="00A65AAD"/>
    <w:rsid w:val="00A66DF1"/>
    <w:rsid w:val="00A71F06"/>
    <w:rsid w:val="00A72D8D"/>
    <w:rsid w:val="00A7464E"/>
    <w:rsid w:val="00A74713"/>
    <w:rsid w:val="00A752B9"/>
    <w:rsid w:val="00A75608"/>
    <w:rsid w:val="00A756D9"/>
    <w:rsid w:val="00A8168B"/>
    <w:rsid w:val="00A817B3"/>
    <w:rsid w:val="00A820F4"/>
    <w:rsid w:val="00A82C09"/>
    <w:rsid w:val="00A83D76"/>
    <w:rsid w:val="00A91F01"/>
    <w:rsid w:val="00A964CC"/>
    <w:rsid w:val="00A96AE6"/>
    <w:rsid w:val="00A975AE"/>
    <w:rsid w:val="00AA2525"/>
    <w:rsid w:val="00AA5C69"/>
    <w:rsid w:val="00AA6CC5"/>
    <w:rsid w:val="00AB0A49"/>
    <w:rsid w:val="00AB0F9C"/>
    <w:rsid w:val="00AB4BF2"/>
    <w:rsid w:val="00AB6752"/>
    <w:rsid w:val="00AB6DCC"/>
    <w:rsid w:val="00AB779C"/>
    <w:rsid w:val="00AC12A3"/>
    <w:rsid w:val="00AC23D0"/>
    <w:rsid w:val="00AC3061"/>
    <w:rsid w:val="00AC50A2"/>
    <w:rsid w:val="00AD3858"/>
    <w:rsid w:val="00AD491E"/>
    <w:rsid w:val="00AD51D5"/>
    <w:rsid w:val="00AE1545"/>
    <w:rsid w:val="00AE246E"/>
    <w:rsid w:val="00AE2B07"/>
    <w:rsid w:val="00AE49B7"/>
    <w:rsid w:val="00AE5AE2"/>
    <w:rsid w:val="00AE7918"/>
    <w:rsid w:val="00AF1B98"/>
    <w:rsid w:val="00AF2B63"/>
    <w:rsid w:val="00AF354A"/>
    <w:rsid w:val="00AF7D23"/>
    <w:rsid w:val="00AF7FE7"/>
    <w:rsid w:val="00B0580C"/>
    <w:rsid w:val="00B06C7D"/>
    <w:rsid w:val="00B074AA"/>
    <w:rsid w:val="00B101E3"/>
    <w:rsid w:val="00B14CB7"/>
    <w:rsid w:val="00B17E30"/>
    <w:rsid w:val="00B21B49"/>
    <w:rsid w:val="00B260FC"/>
    <w:rsid w:val="00B26809"/>
    <w:rsid w:val="00B2717A"/>
    <w:rsid w:val="00B2789C"/>
    <w:rsid w:val="00B41D37"/>
    <w:rsid w:val="00B44403"/>
    <w:rsid w:val="00B47567"/>
    <w:rsid w:val="00B50D12"/>
    <w:rsid w:val="00B556A4"/>
    <w:rsid w:val="00B56EB9"/>
    <w:rsid w:val="00B602F5"/>
    <w:rsid w:val="00B60D01"/>
    <w:rsid w:val="00B62B5B"/>
    <w:rsid w:val="00B630B7"/>
    <w:rsid w:val="00B6477F"/>
    <w:rsid w:val="00B65ED1"/>
    <w:rsid w:val="00B747C7"/>
    <w:rsid w:val="00B74F25"/>
    <w:rsid w:val="00B766A1"/>
    <w:rsid w:val="00B768E9"/>
    <w:rsid w:val="00B77E0E"/>
    <w:rsid w:val="00B850E7"/>
    <w:rsid w:val="00B86066"/>
    <w:rsid w:val="00B864C1"/>
    <w:rsid w:val="00B868DE"/>
    <w:rsid w:val="00B923A8"/>
    <w:rsid w:val="00B954F3"/>
    <w:rsid w:val="00B96BF0"/>
    <w:rsid w:val="00BA1565"/>
    <w:rsid w:val="00BA2CD7"/>
    <w:rsid w:val="00BB6E73"/>
    <w:rsid w:val="00BB7E33"/>
    <w:rsid w:val="00BB7E90"/>
    <w:rsid w:val="00BC0237"/>
    <w:rsid w:val="00BC294F"/>
    <w:rsid w:val="00BC2B30"/>
    <w:rsid w:val="00BC3B01"/>
    <w:rsid w:val="00BC6276"/>
    <w:rsid w:val="00BC6C4C"/>
    <w:rsid w:val="00BD1E66"/>
    <w:rsid w:val="00BD223A"/>
    <w:rsid w:val="00BD3FC5"/>
    <w:rsid w:val="00BD4339"/>
    <w:rsid w:val="00BD7E7A"/>
    <w:rsid w:val="00BE155B"/>
    <w:rsid w:val="00BE3F68"/>
    <w:rsid w:val="00BE4841"/>
    <w:rsid w:val="00BE6968"/>
    <w:rsid w:val="00BE7787"/>
    <w:rsid w:val="00BE7AE5"/>
    <w:rsid w:val="00BF6105"/>
    <w:rsid w:val="00C05781"/>
    <w:rsid w:val="00C05AD6"/>
    <w:rsid w:val="00C126B4"/>
    <w:rsid w:val="00C14F2F"/>
    <w:rsid w:val="00C150E7"/>
    <w:rsid w:val="00C165F9"/>
    <w:rsid w:val="00C16886"/>
    <w:rsid w:val="00C20890"/>
    <w:rsid w:val="00C24923"/>
    <w:rsid w:val="00C25ADA"/>
    <w:rsid w:val="00C25DD0"/>
    <w:rsid w:val="00C26412"/>
    <w:rsid w:val="00C31BBC"/>
    <w:rsid w:val="00C33368"/>
    <w:rsid w:val="00C35104"/>
    <w:rsid w:val="00C3548E"/>
    <w:rsid w:val="00C36054"/>
    <w:rsid w:val="00C362CA"/>
    <w:rsid w:val="00C45DAB"/>
    <w:rsid w:val="00C467A9"/>
    <w:rsid w:val="00C47989"/>
    <w:rsid w:val="00C47FD8"/>
    <w:rsid w:val="00C50232"/>
    <w:rsid w:val="00C51F77"/>
    <w:rsid w:val="00C5356A"/>
    <w:rsid w:val="00C57377"/>
    <w:rsid w:val="00C61061"/>
    <w:rsid w:val="00C61392"/>
    <w:rsid w:val="00C65276"/>
    <w:rsid w:val="00C70446"/>
    <w:rsid w:val="00C71492"/>
    <w:rsid w:val="00C73A08"/>
    <w:rsid w:val="00C75067"/>
    <w:rsid w:val="00C7645B"/>
    <w:rsid w:val="00C810C6"/>
    <w:rsid w:val="00C811A4"/>
    <w:rsid w:val="00C83C63"/>
    <w:rsid w:val="00C84266"/>
    <w:rsid w:val="00C851CB"/>
    <w:rsid w:val="00C85332"/>
    <w:rsid w:val="00C85EB0"/>
    <w:rsid w:val="00C86E59"/>
    <w:rsid w:val="00C90C08"/>
    <w:rsid w:val="00C9287E"/>
    <w:rsid w:val="00C93563"/>
    <w:rsid w:val="00C9603E"/>
    <w:rsid w:val="00CA0F0B"/>
    <w:rsid w:val="00CA1102"/>
    <w:rsid w:val="00CA1D5C"/>
    <w:rsid w:val="00CA4A7F"/>
    <w:rsid w:val="00CB31C7"/>
    <w:rsid w:val="00CB5BE1"/>
    <w:rsid w:val="00CC3CC2"/>
    <w:rsid w:val="00CC494E"/>
    <w:rsid w:val="00CC5723"/>
    <w:rsid w:val="00CC5985"/>
    <w:rsid w:val="00CD000D"/>
    <w:rsid w:val="00CD0361"/>
    <w:rsid w:val="00CD1263"/>
    <w:rsid w:val="00CD1B47"/>
    <w:rsid w:val="00CD1ED3"/>
    <w:rsid w:val="00CD2B7B"/>
    <w:rsid w:val="00CD480A"/>
    <w:rsid w:val="00CD7A28"/>
    <w:rsid w:val="00CE45F2"/>
    <w:rsid w:val="00CE699C"/>
    <w:rsid w:val="00CE713A"/>
    <w:rsid w:val="00CF0891"/>
    <w:rsid w:val="00CF3C04"/>
    <w:rsid w:val="00CF452E"/>
    <w:rsid w:val="00CF51DB"/>
    <w:rsid w:val="00CF641C"/>
    <w:rsid w:val="00D020D1"/>
    <w:rsid w:val="00D06A1D"/>
    <w:rsid w:val="00D06DA8"/>
    <w:rsid w:val="00D11156"/>
    <w:rsid w:val="00D12FB6"/>
    <w:rsid w:val="00D12FD4"/>
    <w:rsid w:val="00D13EF7"/>
    <w:rsid w:val="00D14053"/>
    <w:rsid w:val="00D169C2"/>
    <w:rsid w:val="00D17313"/>
    <w:rsid w:val="00D22559"/>
    <w:rsid w:val="00D22EC9"/>
    <w:rsid w:val="00D2432D"/>
    <w:rsid w:val="00D26538"/>
    <w:rsid w:val="00D2668E"/>
    <w:rsid w:val="00D30ED3"/>
    <w:rsid w:val="00D319FE"/>
    <w:rsid w:val="00D336D6"/>
    <w:rsid w:val="00D33778"/>
    <w:rsid w:val="00D35FD8"/>
    <w:rsid w:val="00D3722C"/>
    <w:rsid w:val="00D42941"/>
    <w:rsid w:val="00D44429"/>
    <w:rsid w:val="00D44ABC"/>
    <w:rsid w:val="00D45486"/>
    <w:rsid w:val="00D467B3"/>
    <w:rsid w:val="00D46F64"/>
    <w:rsid w:val="00D47F80"/>
    <w:rsid w:val="00D53323"/>
    <w:rsid w:val="00D554B2"/>
    <w:rsid w:val="00D56D29"/>
    <w:rsid w:val="00D5725D"/>
    <w:rsid w:val="00D600D0"/>
    <w:rsid w:val="00D60C75"/>
    <w:rsid w:val="00D631F6"/>
    <w:rsid w:val="00D676AB"/>
    <w:rsid w:val="00D7252E"/>
    <w:rsid w:val="00D80575"/>
    <w:rsid w:val="00D8281B"/>
    <w:rsid w:val="00D82E02"/>
    <w:rsid w:val="00D85149"/>
    <w:rsid w:val="00D85F45"/>
    <w:rsid w:val="00D86E54"/>
    <w:rsid w:val="00D8724F"/>
    <w:rsid w:val="00D87F9D"/>
    <w:rsid w:val="00D9460F"/>
    <w:rsid w:val="00D96A99"/>
    <w:rsid w:val="00D96B1B"/>
    <w:rsid w:val="00DA0A8E"/>
    <w:rsid w:val="00DA0A90"/>
    <w:rsid w:val="00DA6132"/>
    <w:rsid w:val="00DA7A62"/>
    <w:rsid w:val="00DB29F4"/>
    <w:rsid w:val="00DB2BA9"/>
    <w:rsid w:val="00DB30AF"/>
    <w:rsid w:val="00DB3C4F"/>
    <w:rsid w:val="00DB4F30"/>
    <w:rsid w:val="00DC0123"/>
    <w:rsid w:val="00DC18B9"/>
    <w:rsid w:val="00DC422A"/>
    <w:rsid w:val="00DC4B37"/>
    <w:rsid w:val="00DC5186"/>
    <w:rsid w:val="00DC6580"/>
    <w:rsid w:val="00DC6642"/>
    <w:rsid w:val="00DC69AF"/>
    <w:rsid w:val="00DC7D0E"/>
    <w:rsid w:val="00DD25DC"/>
    <w:rsid w:val="00DD3387"/>
    <w:rsid w:val="00DD3E11"/>
    <w:rsid w:val="00DD5268"/>
    <w:rsid w:val="00DD6243"/>
    <w:rsid w:val="00DE0EF5"/>
    <w:rsid w:val="00DF025E"/>
    <w:rsid w:val="00DF2EA4"/>
    <w:rsid w:val="00DF58D1"/>
    <w:rsid w:val="00E0180B"/>
    <w:rsid w:val="00E10A8B"/>
    <w:rsid w:val="00E1275F"/>
    <w:rsid w:val="00E13831"/>
    <w:rsid w:val="00E13D61"/>
    <w:rsid w:val="00E14B45"/>
    <w:rsid w:val="00E167E1"/>
    <w:rsid w:val="00E20FC0"/>
    <w:rsid w:val="00E235FB"/>
    <w:rsid w:val="00E2463F"/>
    <w:rsid w:val="00E252B0"/>
    <w:rsid w:val="00E2562A"/>
    <w:rsid w:val="00E27413"/>
    <w:rsid w:val="00E27B6E"/>
    <w:rsid w:val="00E3075B"/>
    <w:rsid w:val="00E328C8"/>
    <w:rsid w:val="00E333A0"/>
    <w:rsid w:val="00E3349C"/>
    <w:rsid w:val="00E33F58"/>
    <w:rsid w:val="00E42A25"/>
    <w:rsid w:val="00E47274"/>
    <w:rsid w:val="00E50678"/>
    <w:rsid w:val="00E51E1F"/>
    <w:rsid w:val="00E538EF"/>
    <w:rsid w:val="00E56055"/>
    <w:rsid w:val="00E5644D"/>
    <w:rsid w:val="00E604CA"/>
    <w:rsid w:val="00E62070"/>
    <w:rsid w:val="00E659D5"/>
    <w:rsid w:val="00E7541B"/>
    <w:rsid w:val="00E82255"/>
    <w:rsid w:val="00E83349"/>
    <w:rsid w:val="00E83A53"/>
    <w:rsid w:val="00E956AB"/>
    <w:rsid w:val="00E968E6"/>
    <w:rsid w:val="00EA165D"/>
    <w:rsid w:val="00EA4C08"/>
    <w:rsid w:val="00EA4EE7"/>
    <w:rsid w:val="00EA5A99"/>
    <w:rsid w:val="00EB0232"/>
    <w:rsid w:val="00EB06BC"/>
    <w:rsid w:val="00EB412B"/>
    <w:rsid w:val="00EB77DE"/>
    <w:rsid w:val="00EC0692"/>
    <w:rsid w:val="00EC395E"/>
    <w:rsid w:val="00EC7463"/>
    <w:rsid w:val="00EC7893"/>
    <w:rsid w:val="00ED1E07"/>
    <w:rsid w:val="00ED4AA9"/>
    <w:rsid w:val="00ED5A6D"/>
    <w:rsid w:val="00ED5CFE"/>
    <w:rsid w:val="00ED64F2"/>
    <w:rsid w:val="00EE162C"/>
    <w:rsid w:val="00EE4619"/>
    <w:rsid w:val="00EE51B3"/>
    <w:rsid w:val="00EE74CB"/>
    <w:rsid w:val="00EF1F37"/>
    <w:rsid w:val="00EF4895"/>
    <w:rsid w:val="00EF67CD"/>
    <w:rsid w:val="00F00329"/>
    <w:rsid w:val="00F00922"/>
    <w:rsid w:val="00F06248"/>
    <w:rsid w:val="00F06605"/>
    <w:rsid w:val="00F1046B"/>
    <w:rsid w:val="00F16207"/>
    <w:rsid w:val="00F20CDB"/>
    <w:rsid w:val="00F21B19"/>
    <w:rsid w:val="00F21B90"/>
    <w:rsid w:val="00F2455D"/>
    <w:rsid w:val="00F26852"/>
    <w:rsid w:val="00F26A6D"/>
    <w:rsid w:val="00F26AE3"/>
    <w:rsid w:val="00F26C5E"/>
    <w:rsid w:val="00F327C5"/>
    <w:rsid w:val="00F361C7"/>
    <w:rsid w:val="00F4068D"/>
    <w:rsid w:val="00F420D3"/>
    <w:rsid w:val="00F43CA3"/>
    <w:rsid w:val="00F44EE2"/>
    <w:rsid w:val="00F44F78"/>
    <w:rsid w:val="00F4654E"/>
    <w:rsid w:val="00F47E35"/>
    <w:rsid w:val="00F47E73"/>
    <w:rsid w:val="00F5734D"/>
    <w:rsid w:val="00F57C3F"/>
    <w:rsid w:val="00F636BD"/>
    <w:rsid w:val="00F65D3E"/>
    <w:rsid w:val="00F6787D"/>
    <w:rsid w:val="00F67C88"/>
    <w:rsid w:val="00F7059D"/>
    <w:rsid w:val="00F72248"/>
    <w:rsid w:val="00F77234"/>
    <w:rsid w:val="00F7739B"/>
    <w:rsid w:val="00F7772C"/>
    <w:rsid w:val="00F8034A"/>
    <w:rsid w:val="00F831D4"/>
    <w:rsid w:val="00F83689"/>
    <w:rsid w:val="00F838FD"/>
    <w:rsid w:val="00F84260"/>
    <w:rsid w:val="00F90DB6"/>
    <w:rsid w:val="00F924DC"/>
    <w:rsid w:val="00F92D0D"/>
    <w:rsid w:val="00F977C7"/>
    <w:rsid w:val="00FA04FB"/>
    <w:rsid w:val="00FA14E6"/>
    <w:rsid w:val="00FA2840"/>
    <w:rsid w:val="00FA3B77"/>
    <w:rsid w:val="00FA5C31"/>
    <w:rsid w:val="00FB103B"/>
    <w:rsid w:val="00FB1303"/>
    <w:rsid w:val="00FB3D24"/>
    <w:rsid w:val="00FB4E71"/>
    <w:rsid w:val="00FB5ACE"/>
    <w:rsid w:val="00FB61A0"/>
    <w:rsid w:val="00FB6BBC"/>
    <w:rsid w:val="00FB758E"/>
    <w:rsid w:val="00FB77B9"/>
    <w:rsid w:val="00FC2280"/>
    <w:rsid w:val="00FC23C7"/>
    <w:rsid w:val="00FC2FD7"/>
    <w:rsid w:val="00FC50B6"/>
    <w:rsid w:val="00FC6A1C"/>
    <w:rsid w:val="00FC7A26"/>
    <w:rsid w:val="00FC7DE4"/>
    <w:rsid w:val="00FD2C2A"/>
    <w:rsid w:val="00FD3357"/>
    <w:rsid w:val="00FD4A0A"/>
    <w:rsid w:val="00FD6B63"/>
    <w:rsid w:val="00FD7B5F"/>
    <w:rsid w:val="00FE11C0"/>
    <w:rsid w:val="00FE5F57"/>
    <w:rsid w:val="00FE5F87"/>
    <w:rsid w:val="00FE759F"/>
    <w:rsid w:val="00FF08F5"/>
    <w:rsid w:val="00FF1A8B"/>
    <w:rsid w:val="00FF2EAB"/>
    <w:rsid w:val="00FF3E71"/>
    <w:rsid w:val="00F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2E30E5"/>
  <w15:chartTrackingRefBased/>
  <w15:docId w15:val="{95E904E4-ACDD-41A4-8889-B8FB5B2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 w:eastAsia="Times New Roman" w:hAnsi="TimesNew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A2"/>
    <w:pPr>
      <w:overflowPunct w:val="0"/>
      <w:autoSpaceDE w:val="0"/>
      <w:autoSpaceDN w:val="0"/>
      <w:adjustRightInd w:val="0"/>
      <w:textAlignment w:val="baseline"/>
    </w:pPr>
    <w:rPr>
      <w:noProof/>
      <w:lang w:val="fr-BE" w:eastAsia="fr-BE"/>
    </w:rPr>
  </w:style>
  <w:style w:type="paragraph" w:styleId="Heading1">
    <w:name w:val="heading 1"/>
    <w:next w:val="Normal"/>
    <w:link w:val="Heading1Char"/>
    <w:uiPriority w:val="99"/>
    <w:qFormat/>
    <w:pPr>
      <w:overflowPunct w:val="0"/>
      <w:autoSpaceDE w:val="0"/>
      <w:autoSpaceDN w:val="0"/>
      <w:adjustRightInd w:val="0"/>
      <w:textAlignment w:val="baseline"/>
      <w:outlineLvl w:val="0"/>
    </w:pPr>
    <w:rPr>
      <w:noProof/>
      <w:lang w:val="fr-BE" w:eastAsia="fr-BE"/>
    </w:rPr>
  </w:style>
  <w:style w:type="paragraph" w:styleId="Heading2">
    <w:name w:val="heading 2"/>
    <w:next w:val="Normal"/>
    <w:qFormat/>
    <w:pPr>
      <w:overflowPunct w:val="0"/>
      <w:autoSpaceDE w:val="0"/>
      <w:autoSpaceDN w:val="0"/>
      <w:adjustRightInd w:val="0"/>
      <w:textAlignment w:val="baseline"/>
      <w:outlineLvl w:val="1"/>
    </w:pPr>
    <w:rPr>
      <w:noProof/>
      <w:lang w:val="fr-BE" w:eastAsia="fr-BE"/>
    </w:rPr>
  </w:style>
  <w:style w:type="paragraph" w:styleId="Heading3">
    <w:name w:val="heading 3"/>
    <w:next w:val="Normal"/>
    <w:qFormat/>
    <w:pPr>
      <w:overflowPunct w:val="0"/>
      <w:autoSpaceDE w:val="0"/>
      <w:autoSpaceDN w:val="0"/>
      <w:adjustRightInd w:val="0"/>
      <w:textAlignment w:val="baseline"/>
      <w:outlineLvl w:val="2"/>
    </w:pPr>
    <w:rPr>
      <w:noProof/>
      <w:lang w:val="fr-BE" w:eastAsia="fr-BE"/>
    </w:rPr>
  </w:style>
  <w:style w:type="paragraph" w:styleId="Heading4">
    <w:name w:val="heading 4"/>
    <w:next w:val="Normal"/>
    <w:qFormat/>
    <w:pPr>
      <w:overflowPunct w:val="0"/>
      <w:autoSpaceDE w:val="0"/>
      <w:autoSpaceDN w:val="0"/>
      <w:adjustRightInd w:val="0"/>
      <w:textAlignment w:val="baseline"/>
      <w:outlineLvl w:val="3"/>
    </w:pPr>
    <w:rPr>
      <w:noProof/>
      <w:lang w:val="fr-BE" w:eastAsia="fr-BE"/>
    </w:rPr>
  </w:style>
  <w:style w:type="paragraph" w:styleId="Heading5">
    <w:name w:val="heading 5"/>
    <w:next w:val="Normal"/>
    <w:qFormat/>
    <w:pPr>
      <w:overflowPunct w:val="0"/>
      <w:autoSpaceDE w:val="0"/>
      <w:autoSpaceDN w:val="0"/>
      <w:adjustRightInd w:val="0"/>
      <w:textAlignment w:val="baseline"/>
      <w:outlineLvl w:val="4"/>
    </w:pPr>
    <w:rPr>
      <w:noProof/>
      <w:lang w:val="fr-BE" w:eastAsia="fr-BE"/>
    </w:rPr>
  </w:style>
  <w:style w:type="paragraph" w:styleId="Heading6">
    <w:name w:val="heading 6"/>
    <w:next w:val="Normal"/>
    <w:qFormat/>
    <w:pPr>
      <w:overflowPunct w:val="0"/>
      <w:autoSpaceDE w:val="0"/>
      <w:autoSpaceDN w:val="0"/>
      <w:adjustRightInd w:val="0"/>
      <w:textAlignment w:val="baseline"/>
      <w:outlineLvl w:val="5"/>
    </w:pPr>
    <w:rPr>
      <w:noProof/>
      <w:lang w:val="fr-BE" w:eastAsia="fr-BE"/>
    </w:rPr>
  </w:style>
  <w:style w:type="paragraph" w:styleId="Heading7">
    <w:name w:val="heading 7"/>
    <w:next w:val="Normal"/>
    <w:qFormat/>
    <w:pPr>
      <w:overflowPunct w:val="0"/>
      <w:autoSpaceDE w:val="0"/>
      <w:autoSpaceDN w:val="0"/>
      <w:adjustRightInd w:val="0"/>
      <w:textAlignment w:val="baseline"/>
      <w:outlineLvl w:val="6"/>
    </w:pPr>
    <w:rPr>
      <w:noProof/>
      <w:lang w:val="fr-BE" w:eastAsia="fr-BE"/>
    </w:rPr>
  </w:style>
  <w:style w:type="paragraph" w:styleId="Heading8">
    <w:name w:val="heading 8"/>
    <w:next w:val="Normal"/>
    <w:qFormat/>
    <w:pPr>
      <w:overflowPunct w:val="0"/>
      <w:autoSpaceDE w:val="0"/>
      <w:autoSpaceDN w:val="0"/>
      <w:adjustRightInd w:val="0"/>
      <w:textAlignment w:val="baseline"/>
      <w:outlineLvl w:val="7"/>
    </w:pPr>
    <w:rPr>
      <w:noProof/>
      <w:lang w:val="fr-BE" w:eastAsia="fr-BE"/>
    </w:rPr>
  </w:style>
  <w:style w:type="paragraph" w:styleId="Heading9">
    <w:name w:val="heading 9"/>
    <w:next w:val="Normal"/>
    <w:qFormat/>
    <w:pPr>
      <w:overflowPunct w:val="0"/>
      <w:autoSpaceDE w:val="0"/>
      <w:autoSpaceDN w:val="0"/>
      <w:adjustRightInd w:val="0"/>
      <w:textAlignment w:val="baseline"/>
      <w:outlineLvl w:val="8"/>
    </w:pPr>
    <w:rPr>
      <w:noProo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paragraph" w:customStyle="1" w:styleId="Adresse">
    <w:name w:val="Adresse"/>
    <w:basedOn w:val="Normal"/>
    <w:rPr>
      <w:color w:val="000000"/>
      <w:sz w:val="24"/>
    </w:rPr>
  </w:style>
  <w:style w:type="paragraph" w:customStyle="1" w:styleId="Body">
    <w:name w:val="Body"/>
    <w:basedOn w:val="Normal"/>
    <w:uiPriority w:val="99"/>
    <w:pPr>
      <w:tabs>
        <w:tab w:val="left" w:pos="720"/>
        <w:tab w:val="left" w:pos="2520"/>
        <w:tab w:val="left" w:pos="7920"/>
        <w:tab w:val="decimal" w:pos="9892"/>
      </w:tabs>
      <w:jc w:val="both"/>
    </w:pPr>
    <w:rPr>
      <w:color w:val="000000"/>
      <w:sz w:val="24"/>
    </w:rPr>
  </w:style>
  <w:style w:type="paragraph" w:customStyle="1" w:styleId="Body-tab-1">
    <w:name w:val="Body-tab-1"/>
    <w:basedOn w:val="Normal"/>
    <w:pPr>
      <w:tabs>
        <w:tab w:val="left" w:pos="720"/>
      </w:tabs>
      <w:ind w:left="720" w:hanging="720"/>
      <w:jc w:val="both"/>
    </w:pPr>
    <w:rPr>
      <w:color w:val="000000"/>
      <w:sz w:val="24"/>
    </w:rPr>
  </w:style>
  <w:style w:type="paragraph" w:customStyle="1" w:styleId="Body-tab-2">
    <w:name w:val="Body-tab-2"/>
    <w:basedOn w:val="Normal"/>
    <w:pPr>
      <w:tabs>
        <w:tab w:val="left" w:pos="720"/>
        <w:tab w:val="left" w:pos="1080"/>
        <w:tab w:val="left" w:pos="5040"/>
      </w:tabs>
      <w:ind w:left="1080" w:hanging="1080"/>
      <w:jc w:val="both"/>
    </w:pPr>
    <w:rPr>
      <w:color w:val="000000"/>
      <w:sz w:val="24"/>
    </w:rPr>
  </w:style>
  <w:style w:type="paragraph" w:customStyle="1" w:styleId="Body-tab-3">
    <w:name w:val="Body-tab-3"/>
    <w:basedOn w:val="Normal"/>
    <w:pPr>
      <w:tabs>
        <w:tab w:val="left" w:pos="720"/>
        <w:tab w:val="left" w:pos="1080"/>
        <w:tab w:val="left" w:pos="1440"/>
        <w:tab w:val="left" w:pos="5040"/>
      </w:tabs>
      <w:ind w:left="1440" w:hanging="1440"/>
      <w:jc w:val="both"/>
    </w:pPr>
    <w:rPr>
      <w:color w:val="000000"/>
      <w:sz w:val="24"/>
    </w:rPr>
  </w:style>
  <w:style w:type="paragraph" w:customStyle="1" w:styleId="Body-table">
    <w:name w:val="Body-table"/>
    <w:basedOn w:val="Normal"/>
    <w:pPr>
      <w:tabs>
        <w:tab w:val="left" w:pos="2520"/>
        <w:tab w:val="decimal" w:pos="8640"/>
        <w:tab w:val="decimal" w:pos="9892"/>
      </w:tabs>
      <w:jc w:val="both"/>
    </w:pPr>
    <w:rPr>
      <w:color w:val="000000"/>
      <w:sz w:val="24"/>
    </w:rPr>
  </w:style>
  <w:style w:type="paragraph" w:customStyle="1" w:styleId="Body-table-1">
    <w:name w:val="Body-table-1"/>
    <w:basedOn w:val="Normal"/>
    <w:pPr>
      <w:tabs>
        <w:tab w:val="left" w:pos="720"/>
        <w:tab w:val="left" w:pos="2520"/>
        <w:tab w:val="decimal" w:pos="8640"/>
        <w:tab w:val="decimal" w:pos="9892"/>
      </w:tabs>
      <w:jc w:val="both"/>
    </w:pPr>
    <w:rPr>
      <w:color w:val="000000"/>
      <w:sz w:val="24"/>
    </w:rPr>
  </w:style>
  <w:style w:type="paragraph" w:customStyle="1" w:styleId="CARRES">
    <w:name w:val="CARRES"/>
    <w:basedOn w:val="Normal"/>
    <w:pPr>
      <w:tabs>
        <w:tab w:val="left" w:pos="2433"/>
      </w:tabs>
      <w:spacing w:before="300" w:after="100"/>
      <w:ind w:left="2433" w:hanging="461"/>
    </w:pPr>
    <w:rPr>
      <w:color w:val="000000"/>
      <w:sz w:val="24"/>
    </w:rPr>
  </w:style>
  <w:style w:type="paragraph" w:customStyle="1" w:styleId="CARRESsuite">
    <w:name w:val="CARRES_suite"/>
    <w:basedOn w:val="Normal"/>
    <w:pPr>
      <w:tabs>
        <w:tab w:val="left" w:pos="2433"/>
      </w:tabs>
      <w:spacing w:before="160" w:after="100"/>
      <w:ind w:left="2433"/>
    </w:pPr>
    <w:rPr>
      <w:color w:val="000000"/>
      <w:sz w:val="24"/>
    </w:rPr>
  </w:style>
  <w:style w:type="paragraph" w:customStyle="1" w:styleId="CellBody">
    <w:name w:val="CellBody"/>
    <w:basedOn w:val="Normal"/>
    <w:pPr>
      <w:jc w:val="center"/>
    </w:pPr>
    <w:rPr>
      <w:color w:val="000000"/>
      <w:sz w:val="24"/>
    </w:rPr>
  </w:style>
  <w:style w:type="paragraph" w:customStyle="1" w:styleId="CellHeading">
    <w:name w:val="CellHeading"/>
    <w:basedOn w:val="Normal"/>
    <w:uiPriority w:val="99"/>
    <w:pPr>
      <w:jc w:val="center"/>
    </w:pPr>
    <w:rPr>
      <w:color w:val="000000"/>
      <w:sz w:val="24"/>
    </w:rPr>
  </w:style>
  <w:style w:type="paragraph" w:customStyle="1" w:styleId="CelluleDroite">
    <w:name w:val="Cellule Droite"/>
    <w:basedOn w:val="Normal"/>
    <w:pPr>
      <w:jc w:val="right"/>
    </w:pPr>
    <w:rPr>
      <w:color w:val="000000"/>
      <w:sz w:val="24"/>
    </w:rPr>
  </w:style>
  <w:style w:type="paragraph" w:customStyle="1" w:styleId="CelluleGauche">
    <w:name w:val="Cellule Gauche"/>
    <w:basedOn w:val="Normal"/>
    <w:rPr>
      <w:color w:val="000000"/>
      <w:sz w:val="24"/>
    </w:rPr>
  </w:style>
  <w:style w:type="paragraph" w:customStyle="1" w:styleId="CelluleIntitul">
    <w:name w:val="Cellule Intitulé"/>
    <w:basedOn w:val="Normal"/>
    <w:pPr>
      <w:jc w:val="center"/>
    </w:pPr>
    <w:rPr>
      <w:b/>
      <w:color w:val="000000"/>
      <w:sz w:val="24"/>
    </w:rPr>
  </w:style>
  <w:style w:type="paragraph" w:customStyle="1" w:styleId="CelluleIntitulGauche">
    <w:name w:val="Cellule Intitulé Gauche"/>
    <w:basedOn w:val="Normal"/>
    <w:rPr>
      <w:i/>
      <w:color w:val="000000"/>
      <w:sz w:val="24"/>
    </w:rPr>
  </w:style>
  <w:style w:type="paragraph" w:customStyle="1" w:styleId="CelluleTotal">
    <w:name w:val="Cellule Total"/>
    <w:basedOn w:val="Normal"/>
    <w:pPr>
      <w:ind w:right="273"/>
      <w:jc w:val="right"/>
    </w:pPr>
    <w:rPr>
      <w:b/>
      <w:color w:val="000000"/>
      <w:sz w:val="24"/>
    </w:rPr>
  </w:style>
  <w:style w:type="paragraph" w:customStyle="1" w:styleId="CelluleCourant">
    <w:name w:val="CelluleCourant"/>
    <w:basedOn w:val="Normal"/>
    <w:rPr>
      <w:color w:val="000000"/>
      <w:sz w:val="24"/>
    </w:rPr>
  </w:style>
  <w:style w:type="paragraph" w:customStyle="1" w:styleId="Citation">
    <w:name w:val="Citation"/>
    <w:basedOn w:val="Normal"/>
    <w:qFormat/>
    <w:pPr>
      <w:spacing w:before="200" w:after="160"/>
      <w:ind w:left="2260" w:right="273"/>
      <w:jc w:val="both"/>
    </w:pPr>
    <w:rPr>
      <w:i/>
      <w:color w:val="000000"/>
      <w:sz w:val="22"/>
    </w:rPr>
  </w:style>
  <w:style w:type="paragraph" w:customStyle="1" w:styleId="CourantDeb">
    <w:name w:val="CourantDeb"/>
    <w:basedOn w:val="Normal"/>
    <w:pPr>
      <w:spacing w:before="280" w:after="120"/>
      <w:ind w:left="1972"/>
      <w:jc w:val="both"/>
    </w:pPr>
    <w:rPr>
      <w:color w:val="000000"/>
      <w:sz w:val="24"/>
    </w:rPr>
  </w:style>
  <w:style w:type="paragraph" w:customStyle="1" w:styleId="CourantFin">
    <w:name w:val="CourantFin"/>
    <w:basedOn w:val="Normal"/>
    <w:pPr>
      <w:spacing w:before="120" w:after="280"/>
      <w:ind w:left="1972"/>
      <w:jc w:val="both"/>
    </w:pPr>
    <w:rPr>
      <w:color w:val="000000"/>
      <w:sz w:val="24"/>
    </w:rPr>
  </w:style>
  <w:style w:type="paragraph" w:customStyle="1" w:styleId="CourantSoul">
    <w:name w:val="CourantSoul"/>
    <w:basedOn w:val="Normal"/>
    <w:pPr>
      <w:spacing w:before="280" w:after="240"/>
      <w:ind w:left="1972"/>
      <w:jc w:val="both"/>
    </w:pPr>
    <w:rPr>
      <w:color w:val="000000"/>
      <w:sz w:val="24"/>
      <w:u w:val="single"/>
    </w:rPr>
  </w:style>
  <w:style w:type="paragraph" w:customStyle="1" w:styleId="CourantStd">
    <w:name w:val="CourantStd"/>
    <w:basedOn w:val="Normal"/>
    <w:pPr>
      <w:spacing w:before="120" w:after="120"/>
      <w:ind w:left="1972"/>
      <w:jc w:val="both"/>
    </w:pPr>
    <w:rPr>
      <w:color w:val="000000"/>
      <w:sz w:val="24"/>
    </w:rPr>
  </w:style>
  <w:style w:type="paragraph" w:customStyle="1" w:styleId="Equation">
    <w:name w:val="Equation"/>
    <w:basedOn w:val="Normal"/>
    <w:pPr>
      <w:spacing w:before="240" w:after="140"/>
      <w:ind w:left="1972"/>
      <w:jc w:val="center"/>
    </w:pPr>
    <w:rPr>
      <w:color w:val="000000"/>
      <w:sz w:val="24"/>
    </w:rPr>
  </w:style>
  <w:style w:type="paragraph" w:customStyle="1" w:styleId="Extrait">
    <w:name w:val="Extrait"/>
    <w:basedOn w:val="Normal"/>
    <w:pPr>
      <w:spacing w:before="180"/>
      <w:ind w:left="2260" w:right="273"/>
    </w:pPr>
    <w:rPr>
      <w:i/>
      <w:color w:val="000000"/>
      <w:sz w:val="22"/>
    </w:rPr>
  </w:style>
  <w:style w:type="paragraph" w:customStyle="1" w:styleId="Figure">
    <w:name w:val="Figure"/>
    <w:basedOn w:val="Normal"/>
    <w:pPr>
      <w:tabs>
        <w:tab w:val="left" w:pos="1972"/>
      </w:tabs>
      <w:spacing w:before="320" w:after="240"/>
      <w:ind w:left="1972" w:hanging="1972"/>
    </w:pPr>
    <w:rPr>
      <w:color w:val="000000"/>
      <w:sz w:val="24"/>
    </w:rPr>
  </w:style>
  <w:style w:type="paragraph" w:customStyle="1" w:styleId="FINTEXTE">
    <w:name w:val="FIN_TEXTE"/>
    <w:basedOn w:val="Normal"/>
    <w:pPr>
      <w:spacing w:before="400" w:after="400"/>
      <w:jc w:val="center"/>
    </w:pPr>
    <w:rPr>
      <w:color w:val="000000"/>
      <w:sz w:val="28"/>
    </w:rPr>
  </w:style>
  <w:style w:type="paragraph" w:customStyle="1" w:styleId="Footnote">
    <w:name w:val="Footnote"/>
    <w:basedOn w:val="Normal"/>
    <w:pPr>
      <w:ind w:left="360" w:right="360"/>
    </w:pPr>
    <w:rPr>
      <w:color w:val="000000"/>
    </w:rPr>
  </w:style>
  <w:style w:type="paragraph" w:styleId="Header">
    <w:name w:val="header"/>
    <w:basedOn w:val="Normal"/>
    <w:link w:val="HeaderChar"/>
    <w:uiPriority w:val="99"/>
    <w:pPr>
      <w:tabs>
        <w:tab w:val="right" w:pos="9360"/>
      </w:tabs>
      <w:jc w:val="both"/>
    </w:pPr>
    <w:rPr>
      <w:b/>
      <w:color w:val="000000"/>
      <w:sz w:val="48"/>
      <w:u w:val="single"/>
    </w:rPr>
  </w:style>
  <w:style w:type="paragraph" w:customStyle="1" w:styleId="Heading">
    <w:name w:val="Heading"/>
    <w:basedOn w:val="Normal"/>
    <w:pPr>
      <w:keepNext/>
      <w:spacing w:before="280" w:after="100"/>
    </w:pPr>
    <w:rPr>
      <w:b/>
      <w:color w:val="000000"/>
      <w:sz w:val="28"/>
    </w:rPr>
  </w:style>
  <w:style w:type="paragraph" w:customStyle="1" w:styleId="IntitulIntertitre">
    <w:name w:val="IntituléIntertitre"/>
    <w:basedOn w:val="Normal"/>
    <w:pPr>
      <w:keepNext/>
      <w:spacing w:before="280" w:after="160"/>
      <w:ind w:left="1972"/>
    </w:pPr>
    <w:rPr>
      <w:b/>
      <w:color w:val="000000"/>
      <w:sz w:val="24"/>
    </w:rPr>
  </w:style>
  <w:style w:type="paragraph" w:customStyle="1" w:styleId="Invisible">
    <w:name w:val="Invisible"/>
    <w:basedOn w:val="Normal"/>
    <w:rPr>
      <w:color w:val="000000"/>
      <w:sz w:val="24"/>
    </w:rPr>
  </w:style>
  <w:style w:type="paragraph" w:customStyle="1" w:styleId="liste1">
    <w:name w:val="liste1"/>
    <w:basedOn w:val="Normal"/>
    <w:pPr>
      <w:tabs>
        <w:tab w:val="left" w:pos="1440"/>
      </w:tabs>
    </w:pPr>
    <w:rPr>
      <w:color w:val="000000"/>
      <w:sz w:val="24"/>
    </w:rPr>
  </w:style>
  <w:style w:type="paragraph" w:customStyle="1" w:styleId="ListePuces">
    <w:name w:val="ListeàPuces"/>
    <w:basedOn w:val="Normal"/>
    <w:pPr>
      <w:tabs>
        <w:tab w:val="left" w:pos="2145"/>
      </w:tabs>
      <w:spacing w:before="120"/>
      <w:ind w:left="2145" w:hanging="173"/>
      <w:jc w:val="both"/>
    </w:pPr>
    <w:rPr>
      <w:color w:val="000000"/>
      <w:sz w:val="24"/>
    </w:rPr>
  </w:style>
  <w:style w:type="paragraph" w:customStyle="1" w:styleId="ListePucesSuite">
    <w:name w:val="ListeàPucesSuite"/>
    <w:basedOn w:val="Normal"/>
    <w:pPr>
      <w:ind w:left="2145"/>
      <w:jc w:val="both"/>
    </w:pPr>
    <w:rPr>
      <w:color w:val="000000"/>
      <w:sz w:val="24"/>
    </w:rPr>
  </w:style>
  <w:style w:type="paragraph" w:customStyle="1" w:styleId="NotePage">
    <w:name w:val="Note_Page"/>
    <w:basedOn w:val="Normal"/>
    <w:pPr>
      <w:tabs>
        <w:tab w:val="left" w:pos="2260"/>
      </w:tabs>
      <w:spacing w:before="80" w:line="260" w:lineRule="atLeast"/>
      <w:ind w:left="2260" w:hanging="288"/>
    </w:pPr>
    <w:rPr>
      <w:i/>
      <w:color w:val="000000"/>
    </w:rPr>
  </w:style>
  <w:style w:type="paragraph" w:customStyle="1" w:styleId="NoteTableau">
    <w:name w:val="Note_Tableau"/>
    <w:basedOn w:val="Normal"/>
    <w:pPr>
      <w:tabs>
        <w:tab w:val="left" w:pos="504"/>
        <w:tab w:val="left" w:pos="504"/>
      </w:tabs>
      <w:spacing w:before="80" w:line="260" w:lineRule="atLeast"/>
      <w:ind w:left="504" w:right="331" w:hanging="231"/>
    </w:pPr>
    <w:rPr>
      <w:color w:val="000000"/>
      <w:sz w:val="18"/>
    </w:rPr>
  </w:style>
  <w:style w:type="paragraph" w:customStyle="1" w:styleId="Numrot1">
    <w:name w:val="Numéroté  1."/>
    <w:basedOn w:val="Normal"/>
    <w:pPr>
      <w:keepNext/>
      <w:tabs>
        <w:tab w:val="left" w:pos="2376"/>
      </w:tabs>
      <w:spacing w:before="120"/>
      <w:ind w:left="2376" w:hanging="404"/>
      <w:jc w:val="both"/>
    </w:pPr>
    <w:rPr>
      <w:color w:val="000000"/>
      <w:sz w:val="24"/>
    </w:rPr>
  </w:style>
  <w:style w:type="paragraph" w:customStyle="1" w:styleId="Numrota">
    <w:name w:val="Numéroté  a)"/>
    <w:basedOn w:val="Normal"/>
    <w:pPr>
      <w:keepNext/>
      <w:tabs>
        <w:tab w:val="left" w:pos="2376"/>
      </w:tabs>
      <w:spacing w:before="120"/>
      <w:ind w:left="2376" w:hanging="404"/>
      <w:jc w:val="both"/>
    </w:pPr>
    <w:rPr>
      <w:color w:val="000000"/>
      <w:sz w:val="24"/>
    </w:rPr>
  </w:style>
  <w:style w:type="paragraph" w:customStyle="1" w:styleId="NumrotIV">
    <w:name w:val="Numéroté  IV."/>
    <w:basedOn w:val="Normal"/>
    <w:pPr>
      <w:keepNext/>
      <w:tabs>
        <w:tab w:val="left" w:pos="2376"/>
      </w:tabs>
      <w:spacing w:before="120"/>
      <w:ind w:left="2376" w:hanging="404"/>
      <w:jc w:val="both"/>
    </w:pPr>
    <w:rPr>
      <w:color w:val="000000"/>
      <w:sz w:val="24"/>
    </w:rPr>
  </w:style>
  <w:style w:type="paragraph" w:customStyle="1" w:styleId="Numrotiv0">
    <w:name w:val="Numéroté  iv."/>
    <w:basedOn w:val="Normal"/>
    <w:pPr>
      <w:keepNext/>
      <w:tabs>
        <w:tab w:val="left" w:pos="2376"/>
      </w:tabs>
      <w:spacing w:before="120"/>
      <w:ind w:left="2376" w:hanging="404"/>
      <w:jc w:val="both"/>
    </w:pPr>
    <w:rPr>
      <w:color w:val="000000"/>
      <w:sz w:val="24"/>
    </w:rPr>
  </w:style>
  <w:style w:type="paragraph" w:customStyle="1" w:styleId="Numrot11">
    <w:name w:val="Numéroté1  1."/>
    <w:basedOn w:val="Normal"/>
    <w:pPr>
      <w:keepNext/>
      <w:tabs>
        <w:tab w:val="left" w:pos="2376"/>
      </w:tabs>
      <w:spacing w:before="120"/>
      <w:ind w:left="2376" w:hanging="404"/>
      <w:jc w:val="both"/>
    </w:pPr>
    <w:rPr>
      <w:color w:val="000000"/>
      <w:sz w:val="24"/>
    </w:rPr>
  </w:style>
  <w:style w:type="paragraph" w:customStyle="1" w:styleId="Numrot1a">
    <w:name w:val="Numéroté1  a)"/>
    <w:basedOn w:val="Normal"/>
    <w:pPr>
      <w:keepNext/>
      <w:tabs>
        <w:tab w:val="left" w:pos="2376"/>
      </w:tabs>
      <w:spacing w:before="120"/>
      <w:ind w:left="2376" w:hanging="404"/>
      <w:jc w:val="both"/>
    </w:pPr>
    <w:rPr>
      <w:color w:val="000000"/>
      <w:sz w:val="24"/>
    </w:rPr>
  </w:style>
  <w:style w:type="paragraph" w:customStyle="1" w:styleId="Numrot1IV">
    <w:name w:val="Numéroté1  IV."/>
    <w:basedOn w:val="Normal"/>
    <w:pPr>
      <w:keepNext/>
      <w:tabs>
        <w:tab w:val="left" w:pos="2376"/>
      </w:tabs>
      <w:spacing w:before="120"/>
      <w:ind w:left="2376" w:hanging="404"/>
      <w:jc w:val="both"/>
    </w:pPr>
    <w:rPr>
      <w:color w:val="000000"/>
      <w:sz w:val="24"/>
    </w:rPr>
  </w:style>
  <w:style w:type="paragraph" w:customStyle="1" w:styleId="Numrot1iv0">
    <w:name w:val="Numéroté1  iv."/>
    <w:basedOn w:val="Normal"/>
    <w:pPr>
      <w:keepNext/>
      <w:tabs>
        <w:tab w:val="left" w:pos="2376"/>
      </w:tabs>
      <w:spacing w:before="120"/>
      <w:ind w:left="2376" w:hanging="404"/>
      <w:jc w:val="both"/>
    </w:pPr>
    <w:rPr>
      <w:color w:val="000000"/>
      <w:sz w:val="24"/>
    </w:rPr>
  </w:style>
  <w:style w:type="paragraph" w:customStyle="1" w:styleId="NumrotSuite">
    <w:name w:val="NumérotéSuite"/>
    <w:basedOn w:val="Normal"/>
    <w:pPr>
      <w:spacing w:before="120"/>
      <w:ind w:left="2376"/>
      <w:jc w:val="both"/>
    </w:pPr>
    <w:rPr>
      <w:color w:val="000000"/>
      <w:sz w:val="24"/>
    </w:rPr>
  </w:style>
  <w:style w:type="paragraph" w:customStyle="1" w:styleId="parag">
    <w:name w:val="parag"/>
    <w:basedOn w:val="Normal"/>
    <w:rPr>
      <w:color w:val="000000"/>
      <w:sz w:val="28"/>
      <w:u w:val="single"/>
    </w:rPr>
  </w:style>
  <w:style w:type="paragraph" w:customStyle="1" w:styleId="rsum">
    <w:name w:val="résumé"/>
    <w:basedOn w:val="Normal"/>
    <w:pPr>
      <w:keepNext/>
      <w:spacing w:before="580" w:after="200" w:line="300" w:lineRule="atLeast"/>
      <w:ind w:left="1972" w:right="1180"/>
    </w:pPr>
    <w:rPr>
      <w:b/>
      <w:color w:val="000000"/>
      <w:sz w:val="30"/>
    </w:rPr>
  </w:style>
  <w:style w:type="paragraph" w:customStyle="1" w:styleId="ss-Title">
    <w:name w:val="ss-Title"/>
    <w:basedOn w:val="Normal"/>
    <w:pPr>
      <w:keepNext/>
      <w:spacing w:after="240"/>
      <w:jc w:val="center"/>
    </w:pPr>
    <w:rPr>
      <w:b/>
      <w:color w:val="000000"/>
      <w:sz w:val="28"/>
      <w:u w:val="single"/>
    </w:rPr>
  </w:style>
  <w:style w:type="paragraph" w:customStyle="1" w:styleId="subsub-title">
    <w:name w:val="sub_sub-title"/>
    <w:basedOn w:val="Normal"/>
    <w:pPr>
      <w:tabs>
        <w:tab w:val="left" w:pos="2520"/>
      </w:tabs>
      <w:ind w:left="360"/>
    </w:pPr>
    <w:rPr>
      <w:color w:val="000000"/>
      <w:sz w:val="24"/>
    </w:rPr>
  </w:style>
  <w:style w:type="paragraph" w:customStyle="1" w:styleId="subtitle">
    <w:name w:val="sub_title"/>
    <w:basedOn w:val="Normal"/>
    <w:pPr>
      <w:tabs>
        <w:tab w:val="left" w:pos="2520"/>
      </w:tabs>
      <w:ind w:left="2520" w:hanging="2520"/>
    </w:pPr>
    <w:rPr>
      <w:b/>
      <w:color w:val="000000"/>
      <w:sz w:val="24"/>
      <w:u w:val="single"/>
    </w:rPr>
  </w:style>
  <w:style w:type="paragraph" w:customStyle="1" w:styleId="TableFootnote">
    <w:name w:val="TableFootnote"/>
    <w:basedOn w:val="Normal"/>
    <w:pPr>
      <w:ind w:left="360" w:right="360"/>
    </w:pPr>
    <w:rPr>
      <w:color w:val="000000"/>
    </w:rPr>
  </w:style>
  <w:style w:type="paragraph" w:customStyle="1" w:styleId="TableTitle">
    <w:name w:val="TableTitle"/>
    <w:basedOn w:val="Normal"/>
    <w:pPr>
      <w:jc w:val="center"/>
    </w:pPr>
    <w:rPr>
      <w:b/>
      <w:color w:val="000000"/>
      <w:sz w:val="24"/>
    </w:rPr>
  </w:style>
  <w:style w:type="paragraph" w:styleId="Title">
    <w:name w:val="Title"/>
    <w:basedOn w:val="Normal"/>
    <w:link w:val="TitleChar"/>
    <w:uiPriority w:val="99"/>
    <w:qFormat/>
    <w:pPr>
      <w:keepNext/>
      <w:spacing w:after="240"/>
      <w:jc w:val="center"/>
    </w:pPr>
    <w:rPr>
      <w:b/>
      <w:color w:val="000000"/>
      <w:sz w:val="36"/>
      <w:u w:val="single"/>
    </w:rPr>
  </w:style>
  <w:style w:type="paragraph" w:customStyle="1" w:styleId="TITRE">
    <w:name w:val="TITRE"/>
    <w:basedOn w:val="Normal"/>
    <w:pPr>
      <w:tabs>
        <w:tab w:val="left" w:pos="2520"/>
      </w:tabs>
      <w:ind w:left="2520" w:hanging="2520"/>
    </w:pPr>
    <w:rPr>
      <w:rFonts w:ascii="Arial" w:hAnsi="Arial"/>
      <w:b/>
      <w:color w:val="000000"/>
      <w:sz w:val="24"/>
      <w:u w:val="single"/>
    </w:rPr>
  </w:style>
  <w:style w:type="paragraph" w:customStyle="1" w:styleId="Titre-niv1">
    <w:name w:val="Titre-niv1"/>
    <w:basedOn w:val="Normal"/>
    <w:pPr>
      <w:keepNext/>
      <w:tabs>
        <w:tab w:val="right" w:pos="1699"/>
        <w:tab w:val="left" w:pos="1972"/>
      </w:tabs>
      <w:spacing w:before="580" w:after="200"/>
      <w:ind w:left="1972" w:hanging="1972"/>
    </w:pPr>
    <w:rPr>
      <w:b/>
      <w:color w:val="000000"/>
      <w:sz w:val="30"/>
    </w:rPr>
  </w:style>
  <w:style w:type="paragraph" w:customStyle="1" w:styleId="Titre-niv1TDM">
    <w:name w:val="Titre-niv1TDM"/>
    <w:basedOn w:val="Normal"/>
    <w:pPr>
      <w:tabs>
        <w:tab w:val="left" w:pos="1108"/>
        <w:tab w:val="left" w:leader="hyphen" w:pos="9043"/>
      </w:tabs>
      <w:spacing w:before="240" w:after="240"/>
      <w:ind w:left="1123" w:hanging="562"/>
    </w:pPr>
    <w:rPr>
      <w:b/>
      <w:color w:val="000000"/>
      <w:sz w:val="28"/>
    </w:rPr>
  </w:style>
  <w:style w:type="paragraph" w:customStyle="1" w:styleId="Titre-niv2">
    <w:name w:val="Titre-niv2"/>
    <w:basedOn w:val="Normal"/>
    <w:pPr>
      <w:keepNext/>
      <w:tabs>
        <w:tab w:val="right" w:pos="1699"/>
        <w:tab w:val="left" w:pos="1972"/>
      </w:tabs>
      <w:spacing w:before="240" w:after="100"/>
      <w:ind w:left="1972" w:hanging="1972"/>
      <w:jc w:val="both"/>
    </w:pPr>
    <w:rPr>
      <w:color w:val="000000"/>
      <w:sz w:val="24"/>
    </w:rPr>
  </w:style>
  <w:style w:type="paragraph" w:customStyle="1" w:styleId="Titre-niv2TDM">
    <w:name w:val="Titre-niv2TDM"/>
    <w:basedOn w:val="Normal"/>
    <w:pPr>
      <w:tabs>
        <w:tab w:val="right" w:pos="849"/>
        <w:tab w:val="left" w:pos="1123"/>
        <w:tab w:val="right" w:leader="dot" w:pos="9043"/>
      </w:tabs>
      <w:spacing w:before="80" w:after="120"/>
      <w:ind w:left="1123" w:hanging="562"/>
    </w:pPr>
    <w:rPr>
      <w:b/>
      <w:color w:val="000000"/>
      <w:sz w:val="26"/>
    </w:rPr>
  </w:style>
  <w:style w:type="paragraph" w:customStyle="1" w:styleId="Titre-niv3">
    <w:name w:val="Titre-niv3"/>
    <w:basedOn w:val="Normal"/>
    <w:pPr>
      <w:keepNext/>
      <w:tabs>
        <w:tab w:val="right" w:pos="1699"/>
        <w:tab w:val="left" w:pos="1972"/>
      </w:tabs>
      <w:spacing w:before="360" w:after="120"/>
      <w:ind w:left="1972" w:hanging="1972"/>
    </w:pPr>
    <w:rPr>
      <w:color w:val="000000"/>
      <w:sz w:val="24"/>
      <w:u w:val="single"/>
    </w:rPr>
  </w:style>
  <w:style w:type="paragraph" w:customStyle="1" w:styleId="Titre-niv3TDM">
    <w:name w:val="Titre-niv3TDM"/>
    <w:basedOn w:val="Normal"/>
    <w:pPr>
      <w:tabs>
        <w:tab w:val="right" w:pos="1238"/>
        <w:tab w:val="left" w:pos="1411"/>
        <w:tab w:val="right" w:pos="9000"/>
      </w:tabs>
      <w:spacing w:before="60" w:after="60"/>
      <w:ind w:left="1411" w:hanging="1411"/>
    </w:pPr>
    <w:rPr>
      <w:color w:val="000000"/>
      <w:sz w:val="24"/>
    </w:rPr>
  </w:style>
  <w:style w:type="paragraph" w:customStyle="1" w:styleId="Titre-niv4">
    <w:name w:val="Titre-niv4"/>
    <w:basedOn w:val="Normal"/>
    <w:pPr>
      <w:keepNext/>
      <w:tabs>
        <w:tab w:val="right" w:pos="1699"/>
        <w:tab w:val="left" w:pos="1972"/>
      </w:tabs>
      <w:spacing w:before="320"/>
      <w:ind w:left="1972" w:hanging="1972"/>
    </w:pPr>
    <w:rPr>
      <w:i/>
      <w:color w:val="000000"/>
      <w:sz w:val="24"/>
    </w:rPr>
  </w:style>
  <w:style w:type="paragraph" w:customStyle="1" w:styleId="Titre-niv4TDM">
    <w:name w:val="Titre-niv4TDM"/>
    <w:basedOn w:val="Normal"/>
    <w:pPr>
      <w:tabs>
        <w:tab w:val="right" w:pos="1529"/>
        <w:tab w:val="left" w:pos="1699"/>
        <w:tab w:val="right" w:pos="9000"/>
      </w:tabs>
      <w:ind w:left="1699" w:hanging="1699"/>
    </w:pPr>
    <w:rPr>
      <w:color w:val="000000"/>
      <w:sz w:val="24"/>
    </w:rPr>
  </w:style>
  <w:style w:type="paragraph" w:customStyle="1" w:styleId="TitreComit">
    <w:name w:val="TitreComité"/>
    <w:basedOn w:val="Normal"/>
    <w:pPr>
      <w:spacing w:before="240" w:line="340" w:lineRule="atLeast"/>
      <w:ind w:right="1699"/>
    </w:pPr>
    <w:rPr>
      <w:b/>
      <w:color w:val="000000"/>
      <w:sz w:val="30"/>
    </w:rPr>
  </w:style>
  <w:style w:type="paragraph" w:customStyle="1" w:styleId="TitreLieu">
    <w:name w:val="TitreLieu"/>
    <w:basedOn w:val="Normal"/>
    <w:pPr>
      <w:spacing w:before="820" w:after="120" w:line="320" w:lineRule="atLeast"/>
      <w:ind w:right="1123"/>
    </w:pPr>
    <w:rPr>
      <w:color w:val="000000"/>
      <w:sz w:val="24"/>
    </w:rPr>
  </w:style>
  <w:style w:type="paragraph" w:customStyle="1" w:styleId="TitreObjet">
    <w:name w:val="TitreObjet"/>
    <w:basedOn w:val="Normal"/>
    <w:pPr>
      <w:spacing w:line="360" w:lineRule="atLeast"/>
      <w:ind w:right="2822"/>
    </w:pPr>
    <w:rPr>
      <w:color w:val="000000"/>
      <w:sz w:val="48"/>
    </w:rPr>
  </w:style>
  <w:style w:type="paragraph" w:customStyle="1" w:styleId="TitreTableau">
    <w:name w:val="TitreTableau"/>
    <w:basedOn w:val="Normal"/>
    <w:pPr>
      <w:tabs>
        <w:tab w:val="left" w:pos="1972"/>
      </w:tabs>
      <w:ind w:left="1972" w:hanging="1972"/>
    </w:pPr>
    <w:rPr>
      <w:color w:val="000000"/>
      <w:sz w:val="22"/>
    </w:rPr>
  </w:style>
  <w:style w:type="paragraph" w:customStyle="1" w:styleId="TRADEE-DEBUT">
    <w:name w:val="TRADEE-DEBUT"/>
    <w:basedOn w:val="Normal"/>
    <w:pPr>
      <w:spacing w:before="580" w:after="240"/>
      <w:ind w:left="1972"/>
      <w:jc w:val="both"/>
    </w:pPr>
    <w:rPr>
      <w:color w:val="FF0000"/>
      <w:sz w:val="48"/>
    </w:rPr>
  </w:style>
  <w:style w:type="paragraph" w:customStyle="1" w:styleId="TRADEE-FIN">
    <w:name w:val="TRADEE-FIN"/>
    <w:basedOn w:val="Normal"/>
    <w:pPr>
      <w:spacing w:before="580" w:after="240"/>
      <w:ind w:left="1972"/>
      <w:jc w:val="both"/>
    </w:pPr>
    <w:rPr>
      <w:color w:val="FF0000"/>
      <w:sz w:val="48"/>
    </w:rPr>
  </w:style>
  <w:style w:type="paragraph" w:customStyle="1" w:styleId="ZZ-titre">
    <w:name w:val="ZZ-titre"/>
    <w:basedOn w:val="Normal"/>
    <w:pPr>
      <w:jc w:val="center"/>
    </w:pPr>
    <w:rPr>
      <w:b/>
      <w:color w:val="000000"/>
      <w:sz w:val="18"/>
    </w:rPr>
  </w:style>
  <w:style w:type="paragraph" w:customStyle="1" w:styleId="ZZ-Titre1">
    <w:name w:val="ZZ-Titre1"/>
    <w:basedOn w:val="Normal"/>
    <w:pPr>
      <w:tabs>
        <w:tab w:val="center" w:pos="4752"/>
      </w:tabs>
      <w:jc w:val="both"/>
    </w:pPr>
    <w:rPr>
      <w:b/>
      <w:color w:val="000000"/>
      <w:sz w:val="18"/>
    </w:rPr>
  </w:style>
  <w:style w:type="paragraph" w:customStyle="1" w:styleId="ZZ-titre2">
    <w:name w:val="ZZ-titre2"/>
    <w:basedOn w:val="Normal"/>
    <w:pPr>
      <w:ind w:left="1972"/>
    </w:pPr>
    <w:rPr>
      <w:b/>
      <w:color w:val="000000"/>
      <w:sz w:val="18"/>
    </w:rPr>
  </w:style>
  <w:style w:type="paragraph" w:customStyle="1" w:styleId="zzPremierEn-tte">
    <w:name w:val="zzPremierEn-tête"/>
    <w:basedOn w:val="Normal"/>
    <w:rPr>
      <w:rFonts w:ascii="Arial" w:hAnsi="Arial"/>
      <w:b/>
      <w:color w:val="000000"/>
      <w:sz w:val="18"/>
    </w:rPr>
  </w:style>
  <w:style w:type="character" w:styleId="Emphasis">
    <w:name w:val="Emphasis"/>
    <w:qFormat/>
    <w:rPr>
      <w:i/>
    </w:rPr>
  </w:style>
  <w:style w:type="character" w:customStyle="1" w:styleId="EquationVariables">
    <w:name w:val="EquationVariables"/>
    <w:rPr>
      <w:i/>
    </w:r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uiPriority w:val="99"/>
    <w:semiHidden/>
    <w:rPr>
      <w:vertAlign w:val="superscript"/>
    </w:rPr>
  </w:style>
  <w:style w:type="paragraph" w:customStyle="1" w:styleId="References">
    <w:name w:val="References"/>
    <w:basedOn w:val="Normal"/>
    <w:uiPriority w:val="99"/>
    <w:pPr>
      <w:overflowPunct/>
      <w:autoSpaceDE/>
      <w:autoSpaceDN/>
      <w:adjustRightInd/>
      <w:spacing w:before="120"/>
      <w:jc w:val="both"/>
      <w:textAlignment w:val="auto"/>
    </w:pPr>
    <w:rPr>
      <w:rFonts w:ascii="Arial" w:hAnsi="Arial" w:cs="Arial"/>
      <w:b/>
      <w:bCs/>
      <w:noProof w:val="0"/>
      <w:sz w:val="22"/>
      <w:szCs w:val="22"/>
      <w:lang w:val="fr-FR"/>
    </w:rPr>
  </w:style>
  <w:style w:type="paragraph" w:customStyle="1" w:styleId="DocumentTitle">
    <w:name w:val="Document Title"/>
    <w:basedOn w:val="Normal"/>
    <w:uiPriority w:val="99"/>
    <w:pPr>
      <w:pBdr>
        <w:bottom w:val="single" w:sz="4" w:space="1" w:color="auto"/>
      </w:pBdr>
      <w:overflowPunct/>
      <w:autoSpaceDE/>
      <w:autoSpaceDN/>
      <w:adjustRightInd/>
      <w:spacing w:before="2400" w:after="120"/>
      <w:textAlignment w:val="auto"/>
      <w:outlineLvl w:val="0"/>
    </w:pPr>
    <w:rPr>
      <w:rFonts w:ascii="Arial" w:eastAsia="Times" w:hAnsi="Arial" w:cs="Arial"/>
      <w:b/>
      <w:bCs/>
      <w:noProof w:val="0"/>
      <w:kern w:val="28"/>
      <w:sz w:val="32"/>
      <w:szCs w:val="32"/>
      <w:lang w:val="fr-FR"/>
    </w:rPr>
  </w:style>
  <w:style w:type="paragraph" w:customStyle="1" w:styleId="SubTitle1">
    <w:name w:val="SubTitle1"/>
    <w:basedOn w:val="Normal"/>
    <w:uiPriority w:val="99"/>
    <w:pPr>
      <w:overflowPunct/>
      <w:autoSpaceDE/>
      <w:autoSpaceDN/>
      <w:adjustRightInd/>
      <w:spacing w:after="720"/>
      <w:jc w:val="both"/>
      <w:textAlignment w:val="auto"/>
    </w:pPr>
    <w:rPr>
      <w:rFonts w:ascii="Arial" w:eastAsia="Times" w:hAnsi="Arial" w:cs="Arial"/>
      <w:b/>
      <w:bCs/>
      <w:noProof w:val="0"/>
      <w:sz w:val="22"/>
      <w:szCs w:val="22"/>
      <w:lang w:val="fr-FR"/>
    </w:rPr>
  </w:style>
  <w:style w:type="paragraph" w:customStyle="1" w:styleId="SubTitle2">
    <w:name w:val="SubTitle2"/>
    <w:basedOn w:val="Normal"/>
    <w:next w:val="SubTitle1"/>
    <w:uiPriority w:val="99"/>
    <w:pPr>
      <w:pBdr>
        <w:bottom w:val="single" w:sz="4" w:space="1" w:color="auto"/>
      </w:pBdr>
      <w:overflowPunct/>
      <w:autoSpaceDE/>
      <w:autoSpaceDN/>
      <w:adjustRightInd/>
      <w:spacing w:before="120" w:after="1000"/>
      <w:jc w:val="both"/>
      <w:textAlignment w:val="auto"/>
    </w:pPr>
    <w:rPr>
      <w:rFonts w:ascii="Arial" w:eastAsia="Times" w:hAnsi="Arial" w:cs="Arial"/>
      <w:noProof w:val="0"/>
      <w:sz w:val="22"/>
      <w:szCs w:val="22"/>
      <w:lang w:val="fr-FR"/>
    </w:rPr>
  </w:style>
  <w:style w:type="paragraph" w:customStyle="1" w:styleId="ZCom">
    <w:name w:val="Z_Com"/>
    <w:basedOn w:val="Normal"/>
    <w:next w:val="Normal"/>
    <w:uiPriority w:val="99"/>
    <w:pPr>
      <w:widowControl w:val="0"/>
      <w:overflowPunct/>
      <w:autoSpaceDE/>
      <w:autoSpaceDN/>
      <w:adjustRightInd/>
      <w:ind w:right="85"/>
      <w:jc w:val="both"/>
      <w:textAlignment w:val="auto"/>
    </w:pPr>
    <w:rPr>
      <w:rFonts w:ascii="Arial" w:hAnsi="Arial" w:cs="Arial"/>
      <w:noProof w:val="0"/>
      <w:snapToGrid w:val="0"/>
      <w:sz w:val="24"/>
      <w:szCs w:val="24"/>
      <w:lang w:val="fr-FR" w:eastAsia="en-US"/>
    </w:rPr>
  </w:style>
  <w:style w:type="paragraph" w:customStyle="1" w:styleId="ZDGName">
    <w:name w:val="Z_DGName"/>
    <w:basedOn w:val="Normal"/>
    <w:uiPriority w:val="99"/>
    <w:pPr>
      <w:widowControl w:val="0"/>
      <w:overflowPunct/>
      <w:autoSpaceDE/>
      <w:autoSpaceDN/>
      <w:adjustRightInd/>
      <w:ind w:right="85"/>
      <w:jc w:val="both"/>
      <w:textAlignment w:val="auto"/>
    </w:pPr>
    <w:rPr>
      <w:rFonts w:ascii="Arial" w:hAnsi="Arial" w:cs="Arial"/>
      <w:noProof w:val="0"/>
      <w:snapToGrid w:val="0"/>
      <w:sz w:val="16"/>
      <w:szCs w:val="16"/>
      <w:lang w:val="fr-FR" w:eastAsia="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3">
    <w:name w:val="Body Text 3"/>
    <w:basedOn w:val="Normal"/>
    <w:pPr>
      <w:overflowPunct/>
      <w:autoSpaceDE/>
      <w:autoSpaceDN/>
      <w:adjustRightInd/>
      <w:spacing w:before="120" w:after="120"/>
      <w:jc w:val="both"/>
      <w:textAlignment w:val="auto"/>
    </w:pPr>
    <w:rPr>
      <w:rFonts w:ascii="Arial" w:hAnsi="Arial"/>
      <w:noProof w:val="0"/>
      <w:sz w:val="16"/>
      <w:lang w:val="de-DE" w:eastAsia="fr-FR"/>
    </w:rPr>
  </w:style>
  <w:style w:type="paragraph" w:styleId="BodyText">
    <w:name w:val="Body Text"/>
    <w:basedOn w:val="Normal"/>
    <w:pPr>
      <w:spacing w:after="120"/>
    </w:pPr>
  </w:style>
  <w:style w:type="paragraph" w:styleId="BodyTextFirstIndent">
    <w:name w:val="Body Text First Indent"/>
    <w:basedOn w:val="BodyText"/>
    <w:pPr>
      <w:overflowPunct/>
      <w:autoSpaceDE/>
      <w:autoSpaceDN/>
      <w:adjustRightInd/>
      <w:spacing w:before="120"/>
      <w:ind w:firstLine="210"/>
      <w:jc w:val="both"/>
      <w:textAlignment w:val="auto"/>
    </w:pPr>
    <w:rPr>
      <w:rFonts w:ascii="Arial" w:hAnsi="Arial"/>
      <w:noProof w:val="0"/>
      <w:sz w:val="22"/>
      <w:lang w:val="de-DE" w:eastAsia="fr-FR"/>
    </w:rPr>
  </w:style>
  <w:style w:type="paragraph" w:styleId="DocumentMap">
    <w:name w:val="Document Map"/>
    <w:basedOn w:val="Normal"/>
    <w:semiHidden/>
    <w:pPr>
      <w:shd w:val="clear" w:color="auto" w:fill="000080"/>
    </w:pPr>
    <w:rPr>
      <w:rFonts w:ascii="Tahoma" w:hAnsi="Tahoma" w:cs="Tahoma"/>
    </w:rPr>
  </w:style>
  <w:style w:type="paragraph" w:customStyle="1" w:styleId="CourantAprsTitre">
    <w:name w:val="CourantAprèsTitre"/>
    <w:basedOn w:val="Normal"/>
    <w:pPr>
      <w:widowControl w:val="0"/>
      <w:tabs>
        <w:tab w:val="left" w:pos="1305"/>
      </w:tabs>
      <w:overflowPunct/>
      <w:adjustRightInd/>
      <w:ind w:left="1305"/>
      <w:jc w:val="both"/>
      <w:textAlignment w:val="auto"/>
    </w:pPr>
    <w:rPr>
      <w:rFonts w:ascii="Times New Roman" w:hAnsi="Times New Roman"/>
      <w:noProof w:val="0"/>
      <w:sz w:val="24"/>
      <w:szCs w:val="24"/>
      <w:lang w:val="fr-FR" w:eastAsia="en-GB"/>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overflowPunct/>
      <w:autoSpaceDE/>
      <w:autoSpaceDN/>
      <w:adjustRightInd/>
      <w:ind w:left="720" w:hanging="1440"/>
      <w:jc w:val="both"/>
      <w:textAlignment w:val="auto"/>
    </w:pPr>
    <w:rPr>
      <w:rFonts w:ascii="Times" w:hAnsi="Times"/>
      <w:noProof w:val="0"/>
      <w:snapToGrid w:val="0"/>
      <w:sz w:val="24"/>
      <w:lang w:val="en-US" w:eastAsia="en-US"/>
    </w:rPr>
  </w:style>
  <w:style w:type="paragraph" w:styleId="ListBullet">
    <w:name w:val="List Bullet"/>
    <w:basedOn w:val="Normal"/>
    <w:rsid w:val="00A526EF"/>
    <w:pPr>
      <w:numPr>
        <w:numId w:val="1"/>
      </w:numPr>
      <w:overflowPunct/>
      <w:autoSpaceDE/>
      <w:autoSpaceDN/>
      <w:adjustRightInd/>
      <w:spacing w:before="120" w:after="120"/>
      <w:ind w:left="357" w:hanging="357"/>
      <w:jc w:val="both"/>
      <w:textAlignment w:val="auto"/>
    </w:pPr>
    <w:rPr>
      <w:rFonts w:ascii="Arial" w:eastAsia="Times" w:hAnsi="Arial"/>
      <w:noProof w:val="0"/>
      <w:sz w:val="22"/>
      <w:lang w:val="fr-FR" w:eastAsia="en-US"/>
    </w:rPr>
  </w:style>
  <w:style w:type="paragraph" w:customStyle="1" w:styleId="body0">
    <w:name w:val="body"/>
    <w:basedOn w:val="Normal"/>
    <w:rsid w:val="00DD25DC"/>
    <w:pPr>
      <w:adjustRightInd/>
      <w:jc w:val="both"/>
      <w:textAlignment w:val="auto"/>
    </w:pPr>
    <w:rPr>
      <w:noProof w:val="0"/>
      <w:color w:val="000000"/>
      <w:sz w:val="24"/>
      <w:szCs w:val="24"/>
      <w:lang w:val="fr-FR" w:eastAsia="fr-FR"/>
    </w:rPr>
  </w:style>
  <w:style w:type="paragraph" w:styleId="ListParagraph">
    <w:name w:val="List Paragraph"/>
    <w:basedOn w:val="Normal"/>
    <w:uiPriority w:val="34"/>
    <w:qFormat/>
    <w:rsid w:val="002A451F"/>
    <w:pPr>
      <w:ind w:left="720"/>
    </w:pPr>
  </w:style>
  <w:style w:type="paragraph" w:styleId="BalloonText">
    <w:name w:val="Balloon Text"/>
    <w:basedOn w:val="Normal"/>
    <w:link w:val="BalloonTextChar"/>
    <w:uiPriority w:val="99"/>
    <w:rsid w:val="000A1979"/>
    <w:rPr>
      <w:rFonts w:ascii="Tahoma" w:hAnsi="Tahoma" w:cs="Tahoma"/>
      <w:sz w:val="16"/>
      <w:szCs w:val="16"/>
    </w:rPr>
  </w:style>
  <w:style w:type="character" w:customStyle="1" w:styleId="BalloonTextChar">
    <w:name w:val="Balloon Text Char"/>
    <w:link w:val="BalloonText"/>
    <w:uiPriority w:val="99"/>
    <w:rsid w:val="000A1979"/>
    <w:rPr>
      <w:rFonts w:ascii="Tahoma" w:hAnsi="Tahoma" w:cs="Tahoma"/>
      <w:noProof/>
      <w:sz w:val="16"/>
      <w:szCs w:val="16"/>
      <w:lang w:val="fr-BE" w:eastAsia="fr-BE"/>
    </w:rPr>
  </w:style>
  <w:style w:type="numbering" w:customStyle="1" w:styleId="NoList1">
    <w:name w:val="No List1"/>
    <w:next w:val="NoList"/>
    <w:uiPriority w:val="99"/>
    <w:semiHidden/>
    <w:unhideWhenUsed/>
    <w:rsid w:val="001B1FE9"/>
  </w:style>
  <w:style w:type="character" w:customStyle="1" w:styleId="Heading1Char">
    <w:name w:val="Heading 1 Char"/>
    <w:link w:val="Heading1"/>
    <w:uiPriority w:val="99"/>
    <w:locked/>
    <w:rsid w:val="001B1FE9"/>
    <w:rPr>
      <w:noProof/>
      <w:lang w:val="fr-BE" w:eastAsia="fr-BE"/>
    </w:rPr>
  </w:style>
  <w:style w:type="character" w:customStyle="1" w:styleId="Heading1Char1">
    <w:name w:val="Heading 1 Char1"/>
    <w:uiPriority w:val="99"/>
    <w:locked/>
    <w:rsid w:val="001B1FE9"/>
    <w:rPr>
      <w:rFonts w:ascii="Arial" w:hAnsi="Arial" w:cs="Arial"/>
      <w:b/>
      <w:bCs/>
      <w:sz w:val="22"/>
      <w:szCs w:val="22"/>
      <w:lang w:val="fr-FR" w:eastAsia="ar-SA" w:bidi="ar-SA"/>
    </w:rPr>
  </w:style>
  <w:style w:type="character" w:customStyle="1" w:styleId="FooterChar">
    <w:name w:val="Footer Char"/>
    <w:link w:val="Footer"/>
    <w:uiPriority w:val="99"/>
    <w:locked/>
    <w:rsid w:val="001B1FE9"/>
    <w:rPr>
      <w:noProof/>
      <w:lang w:val="fr-BE" w:eastAsia="fr-BE"/>
    </w:rPr>
  </w:style>
  <w:style w:type="character" w:customStyle="1" w:styleId="TitleChar">
    <w:name w:val="Title Char"/>
    <w:link w:val="Title"/>
    <w:uiPriority w:val="99"/>
    <w:locked/>
    <w:rsid w:val="001B1FE9"/>
    <w:rPr>
      <w:b/>
      <w:noProof/>
      <w:color w:val="000000"/>
      <w:sz w:val="36"/>
      <w:u w:val="single"/>
      <w:lang w:val="fr-BE" w:eastAsia="fr-BE"/>
    </w:rPr>
  </w:style>
  <w:style w:type="paragraph" w:styleId="Subtitle0">
    <w:name w:val="Subtitle"/>
    <w:basedOn w:val="Normal"/>
    <w:link w:val="SubtitleChar1"/>
    <w:uiPriority w:val="99"/>
    <w:qFormat/>
    <w:rsid w:val="001B1FE9"/>
    <w:pPr>
      <w:suppressAutoHyphens/>
      <w:overflowPunct/>
      <w:autoSpaceDE/>
      <w:autoSpaceDN/>
      <w:adjustRightInd/>
      <w:spacing w:before="120" w:after="60"/>
      <w:jc w:val="center"/>
      <w:textAlignment w:val="auto"/>
      <w:outlineLvl w:val="1"/>
    </w:pPr>
    <w:rPr>
      <w:rFonts w:ascii="Arial" w:hAnsi="Arial" w:cs="Arial"/>
      <w:noProof w:val="0"/>
      <w:sz w:val="24"/>
      <w:szCs w:val="24"/>
      <w:lang w:val="fr-FR" w:eastAsia="ar-SA"/>
    </w:rPr>
  </w:style>
  <w:style w:type="character" w:customStyle="1" w:styleId="SubtitleChar">
    <w:name w:val="Subtitle Char"/>
    <w:uiPriority w:val="99"/>
    <w:rsid w:val="001B1FE9"/>
    <w:rPr>
      <w:rFonts w:ascii="Cambria" w:eastAsia="SimSun" w:hAnsi="Cambria" w:cs="Times New Roman"/>
      <w:noProof/>
      <w:sz w:val="24"/>
      <w:szCs w:val="24"/>
      <w:lang w:val="fr-BE" w:eastAsia="fr-BE"/>
    </w:rPr>
  </w:style>
  <w:style w:type="character" w:customStyle="1" w:styleId="SubtitleChar1">
    <w:name w:val="Subtitle Char1"/>
    <w:link w:val="Subtitle0"/>
    <w:uiPriority w:val="99"/>
    <w:locked/>
    <w:rsid w:val="001B1FE9"/>
    <w:rPr>
      <w:rFonts w:ascii="Arial" w:hAnsi="Arial" w:cs="Arial"/>
      <w:sz w:val="24"/>
      <w:szCs w:val="24"/>
      <w:lang w:val="fr-FR" w:eastAsia="ar-SA"/>
    </w:rPr>
  </w:style>
  <w:style w:type="character" w:customStyle="1" w:styleId="TitleChar1">
    <w:name w:val="Title Char1"/>
    <w:uiPriority w:val="99"/>
    <w:locked/>
    <w:rsid w:val="001B1FE9"/>
    <w:rPr>
      <w:rFonts w:ascii="Cambria" w:hAnsi="Cambria" w:cs="Cambria"/>
      <w:b/>
      <w:bCs/>
      <w:kern w:val="28"/>
      <w:sz w:val="32"/>
      <w:szCs w:val="32"/>
      <w:lang w:val="fr-FR" w:eastAsia="ar-SA" w:bidi="ar-SA"/>
    </w:rPr>
  </w:style>
  <w:style w:type="character" w:customStyle="1" w:styleId="HeaderChar">
    <w:name w:val="Header Char"/>
    <w:link w:val="Header"/>
    <w:uiPriority w:val="99"/>
    <w:locked/>
    <w:rsid w:val="001B1FE9"/>
    <w:rPr>
      <w:b/>
      <w:noProof/>
      <w:color w:val="000000"/>
      <w:sz w:val="48"/>
      <w:u w:val="single"/>
      <w:lang w:val="fr-BE" w:eastAsia="fr-BE"/>
    </w:rPr>
  </w:style>
  <w:style w:type="paragraph" w:customStyle="1" w:styleId="WW-Default">
    <w:name w:val="WW-Default"/>
    <w:uiPriority w:val="99"/>
    <w:rsid w:val="001B1FE9"/>
    <w:pPr>
      <w:suppressAutoHyphens/>
      <w:autoSpaceDE w:val="0"/>
    </w:pPr>
    <w:rPr>
      <w:rFonts w:ascii="Arial" w:hAnsi="Arial" w:cs="Arial"/>
      <w:color w:val="000000"/>
      <w:sz w:val="24"/>
      <w:szCs w:val="24"/>
      <w:lang w:val="fr-FR" w:eastAsia="ar-SA"/>
    </w:rPr>
  </w:style>
  <w:style w:type="character" w:customStyle="1" w:styleId="FootnoteTextChar">
    <w:name w:val="Footnote Text Char"/>
    <w:link w:val="FootnoteText"/>
    <w:uiPriority w:val="99"/>
    <w:semiHidden/>
    <w:locked/>
    <w:rsid w:val="001B1FE9"/>
    <w:rPr>
      <w:noProof/>
      <w:lang w:val="fr-BE" w:eastAsia="fr-BE"/>
    </w:rPr>
  </w:style>
  <w:style w:type="character" w:customStyle="1" w:styleId="FootnoteTextChar1">
    <w:name w:val="Footnote Text Char1"/>
    <w:uiPriority w:val="99"/>
    <w:semiHidden/>
    <w:locked/>
    <w:rsid w:val="001B1FE9"/>
    <w:rPr>
      <w:rFonts w:ascii="Arial" w:hAnsi="Arial" w:cs="Arial"/>
      <w:lang w:val="fr-FR" w:eastAsia="ar-SA" w:bidi="ar-SA"/>
    </w:rPr>
  </w:style>
  <w:style w:type="table" w:styleId="TableGrid">
    <w:name w:val="Table Grid"/>
    <w:basedOn w:val="TableNormal"/>
    <w:uiPriority w:val="99"/>
    <w:rsid w:val="001B1FE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uiPriority w:val="99"/>
    <w:rsid w:val="001B1FE9"/>
    <w:pPr>
      <w:overflowPunct/>
      <w:autoSpaceDE/>
      <w:autoSpaceDN/>
      <w:adjustRightInd/>
      <w:spacing w:before="120" w:after="120"/>
      <w:ind w:left="482"/>
      <w:jc w:val="both"/>
      <w:textAlignment w:val="auto"/>
    </w:pPr>
    <w:rPr>
      <w:rFonts w:ascii="Arial" w:hAnsi="Arial" w:cs="Arial"/>
      <w:noProof w:val="0"/>
      <w:sz w:val="22"/>
      <w:szCs w:val="22"/>
      <w:lang w:val="en-GB" w:eastAsia="fr-FR"/>
    </w:rPr>
  </w:style>
  <w:style w:type="table" w:styleId="TableProfessional">
    <w:name w:val="Table Professional"/>
    <w:basedOn w:val="TableNormal"/>
    <w:uiPriority w:val="99"/>
    <w:rsid w:val="001B1FE9"/>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character" w:customStyle="1" w:styleId="EmailStyle471">
    <w:name w:val="EmailStyle471"/>
    <w:uiPriority w:val="99"/>
    <w:semiHidden/>
    <w:rsid w:val="001B1FE9"/>
    <w:rPr>
      <w:rFonts w:ascii="Arial" w:hAnsi="Arial" w:cs="Arial"/>
      <w:color w:val="auto"/>
      <w:sz w:val="20"/>
      <w:szCs w:val="20"/>
    </w:rPr>
  </w:style>
  <w:style w:type="paragraph" w:customStyle="1" w:styleId="Default">
    <w:name w:val="Default"/>
    <w:rsid w:val="001B1FE9"/>
    <w:pPr>
      <w:autoSpaceDE w:val="0"/>
      <w:autoSpaceDN w:val="0"/>
      <w:adjustRightInd w:val="0"/>
    </w:pPr>
    <w:rPr>
      <w:rFonts w:ascii="Arial" w:hAnsi="Arial" w:cs="Arial"/>
      <w:color w:val="000000"/>
      <w:sz w:val="24"/>
      <w:szCs w:val="24"/>
      <w:lang w:val="en-GB" w:eastAsia="en-GB"/>
    </w:rPr>
  </w:style>
  <w:style w:type="table" w:styleId="TableGrid4">
    <w:name w:val="Table Grid 4"/>
    <w:basedOn w:val="TableNormal"/>
    <w:rsid w:val="001B1FE9"/>
    <w:pPr>
      <w:suppressAutoHyphens/>
      <w:spacing w:before="120" w:after="12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Style1">
    <w:name w:val="Table Style1"/>
    <w:basedOn w:val="TableNormal"/>
    <w:rsid w:val="001B1FE9"/>
    <w:rPr>
      <w:rFonts w:ascii="Times New Roman" w:hAnsi="Times New Roman"/>
    </w:rPr>
    <w:tblPr/>
  </w:style>
  <w:style w:type="paragraph" w:styleId="BodyTextIndent2">
    <w:name w:val="Body Text Indent 2"/>
    <w:basedOn w:val="Normal"/>
    <w:link w:val="BodyTextIndent2Char"/>
    <w:rsid w:val="00D96A99"/>
    <w:pPr>
      <w:spacing w:after="120" w:line="480" w:lineRule="auto"/>
      <w:ind w:left="360"/>
    </w:pPr>
  </w:style>
  <w:style w:type="character" w:customStyle="1" w:styleId="BodyTextIndent2Char">
    <w:name w:val="Body Text Indent 2 Char"/>
    <w:basedOn w:val="DefaultParagraphFont"/>
    <w:link w:val="BodyTextIndent2"/>
    <w:rsid w:val="00D96A99"/>
    <w:rPr>
      <w:noProof/>
      <w:lang w:val="fr-BE" w:eastAsia="fr-BE"/>
    </w:rPr>
  </w:style>
  <w:style w:type="character" w:styleId="CommentReference">
    <w:name w:val="annotation reference"/>
    <w:basedOn w:val="DefaultParagraphFont"/>
    <w:rsid w:val="00752295"/>
    <w:rPr>
      <w:sz w:val="16"/>
      <w:szCs w:val="16"/>
    </w:rPr>
  </w:style>
  <w:style w:type="paragraph" w:styleId="CommentText">
    <w:name w:val="annotation text"/>
    <w:basedOn w:val="Normal"/>
    <w:link w:val="CommentTextChar"/>
    <w:rsid w:val="00752295"/>
  </w:style>
  <w:style w:type="character" w:customStyle="1" w:styleId="CommentTextChar">
    <w:name w:val="Comment Text Char"/>
    <w:basedOn w:val="DefaultParagraphFont"/>
    <w:link w:val="CommentText"/>
    <w:rsid w:val="00752295"/>
    <w:rPr>
      <w:noProof/>
      <w:lang w:val="fr-BE" w:eastAsia="fr-BE"/>
    </w:rPr>
  </w:style>
  <w:style w:type="paragraph" w:styleId="CommentSubject">
    <w:name w:val="annotation subject"/>
    <w:basedOn w:val="CommentText"/>
    <w:next w:val="CommentText"/>
    <w:link w:val="CommentSubjectChar"/>
    <w:rsid w:val="00752295"/>
    <w:rPr>
      <w:b/>
      <w:bCs/>
    </w:rPr>
  </w:style>
  <w:style w:type="character" w:customStyle="1" w:styleId="CommentSubjectChar">
    <w:name w:val="Comment Subject Char"/>
    <w:basedOn w:val="CommentTextChar"/>
    <w:link w:val="CommentSubject"/>
    <w:rsid w:val="00752295"/>
    <w:rPr>
      <w:b/>
      <w:bCs/>
      <w:noProof/>
      <w:lang w:val="fr-BE" w:eastAsia="fr-BE"/>
    </w:rPr>
  </w:style>
  <w:style w:type="table" w:styleId="GridTable5Dark-Accent1">
    <w:name w:val="Grid Table 5 Dark Accent 1"/>
    <w:basedOn w:val="TableNormal"/>
    <w:uiPriority w:val="50"/>
    <w:rsid w:val="000C64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trong">
    <w:name w:val="Strong"/>
    <w:basedOn w:val="DefaultParagraphFont"/>
    <w:qFormat/>
    <w:rsid w:val="00BE7787"/>
    <w:rPr>
      <w:b/>
      <w:bCs/>
    </w:rPr>
  </w:style>
  <w:style w:type="table" w:customStyle="1" w:styleId="GridTable5Dark-Accent11">
    <w:name w:val="Grid Table 5 Dark - Accent 11"/>
    <w:basedOn w:val="TableNormal"/>
    <w:uiPriority w:val="50"/>
    <w:rsid w:val="00BE778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F83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5B8D29E81DB44A844152BC8D66C364" ma:contentTypeVersion="12" ma:contentTypeDescription="Create a new document." ma:contentTypeScope="" ma:versionID="ec1738bd26c20aa9151efe77696e1179">
  <xsd:schema xmlns:xsd="http://www.w3.org/2001/XMLSchema" xmlns:xs="http://www.w3.org/2001/XMLSchema" xmlns:p="http://schemas.microsoft.com/office/2006/metadata/properties" xmlns:ns1="http://schemas.microsoft.com/sharepoint/v3" xmlns:ns3="9aeefb17-a72b-4e1e-b2ff-5c799f52685d" targetNamespace="http://schemas.microsoft.com/office/2006/metadata/properties" ma:root="true" ma:fieldsID="5578ade2cb1d338f2baf23cd07290779" ns1:_="" ns3:_="">
    <xsd:import namespace="http://schemas.microsoft.com/sharepoint/v3"/>
    <xsd:import namespace="9aeefb17-a72b-4e1e-b2ff-5c799f52685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efb17-a72b-4e1e-b2ff-5c799f5268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2190-78B9-4BC6-9A60-50B54F3429F7}">
  <ds:schemaRefs>
    <ds:schemaRef ds:uri="http://purl.org/dc/dcmitype/"/>
    <ds:schemaRef ds:uri="http://schemas.microsoft.com/office/2006/documentManagement/types"/>
    <ds:schemaRef ds:uri="9aeefb17-a72b-4e1e-b2ff-5c799f52685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FA745BD-19F1-4EFF-9AE2-90567A67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efb17-a72b-4e1e-b2ff-5c799f526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72B49-B8B0-49D6-91C6-A8B4FC118B36}">
  <ds:schemaRefs>
    <ds:schemaRef ds:uri="http://schemas.microsoft.com/sharepoint/v3/contenttype/forms"/>
  </ds:schemaRefs>
</ds:datastoreItem>
</file>

<file path=customXml/itemProps4.xml><?xml version="1.0" encoding="utf-8"?>
<ds:datastoreItem xmlns:ds="http://schemas.openxmlformats.org/officeDocument/2006/customXml" ds:itemID="{3A92225A-B3BF-4B0D-8A93-5C3F9C21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7</Pages>
  <Words>1796</Words>
  <Characters>9415</Characters>
  <Application>Microsoft Office Word</Application>
  <DocSecurity>0</DocSecurity>
  <Lines>78</Lines>
  <Paragraphs>22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EUROPEAN SCHOOLS</vt:lpstr>
      <vt:lpstr>EUROPEAN SCHOOLS</vt:lpstr>
      <vt:lpstr>EUROPEAN SCHOOLS</vt:lpstr>
    </vt:vector>
  </TitlesOfParts>
  <Company>EE</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SCHOOLS</dc:title>
  <dc:subject/>
  <dc:creator>Macilwaine</dc:creator>
  <cp:keywords/>
  <cp:lastModifiedBy>BECKMANN Andreas (OSG)</cp:lastModifiedBy>
  <cp:revision>87</cp:revision>
  <cp:lastPrinted>2020-04-08T11:49:00Z</cp:lastPrinted>
  <dcterms:created xsi:type="dcterms:W3CDTF">2020-04-05T15:06:00Z</dcterms:created>
  <dcterms:modified xsi:type="dcterms:W3CDTF">2020-04-08T11:49:00Z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0x010100F75B8D29E81DB44A844152BC8D66C364</vt:lpwstr>
  </property>
</Properties>
</file>