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FC4523" w:rsidRPr="00C31CB3" w:rsidTr="00AE31CF">
        <w:trPr>
          <w:trHeight w:val="1440"/>
        </w:trPr>
        <w:tc>
          <w:tcPr>
            <w:tcW w:w="5103" w:type="dxa"/>
          </w:tcPr>
          <w:p w:rsidR="00FC4523" w:rsidRPr="002E0280" w:rsidRDefault="00FC4523" w:rsidP="00AE31CF">
            <w:pPr>
              <w:ind w:left="-142"/>
              <w:rPr>
                <w:lang w:val="en-GB"/>
              </w:rPr>
            </w:pPr>
            <w:r w:rsidRPr="002E0280">
              <w:rPr>
                <w:noProof/>
                <w:lang w:val="en-US" w:eastAsia="en-US"/>
              </w:rPr>
              <w:drawing>
                <wp:inline distT="0" distB="0" distL="0" distR="0" wp14:anchorId="2930A810" wp14:editId="4AAC2B07">
                  <wp:extent cx="2429524" cy="899160"/>
                  <wp:effectExtent l="0" t="0" r="8890" b="0"/>
                  <wp:docPr id="270611744" name="Picture 27061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29524" cy="899160"/>
                          </a:xfrm>
                          <a:prstGeom prst="rect">
                            <a:avLst/>
                          </a:prstGeom>
                        </pic:spPr>
                      </pic:pic>
                    </a:graphicData>
                  </a:graphic>
                </wp:inline>
              </w:drawing>
            </w:r>
          </w:p>
        </w:tc>
        <w:tc>
          <w:tcPr>
            <w:tcW w:w="4366" w:type="dxa"/>
          </w:tcPr>
          <w:p w:rsidR="00FC4523" w:rsidRPr="002E0280" w:rsidRDefault="00FC4523" w:rsidP="00AE31CF">
            <w:pPr>
              <w:pStyle w:val="ZDGName"/>
              <w:rPr>
                <w:lang w:val="en-GB"/>
              </w:rPr>
            </w:pPr>
          </w:p>
          <w:p w:rsidR="00FC4523" w:rsidRPr="002E0280" w:rsidRDefault="00FC4523" w:rsidP="00AE31CF">
            <w:pPr>
              <w:pStyle w:val="ZDGName"/>
              <w:rPr>
                <w:color w:val="233E90"/>
                <w:sz w:val="18"/>
                <w:szCs w:val="18"/>
                <w:lang w:val="en-GB"/>
              </w:rPr>
            </w:pPr>
            <w:r w:rsidRPr="002E0280">
              <w:rPr>
                <w:b/>
                <w:bCs/>
                <w:color w:val="233E91"/>
                <w:sz w:val="20"/>
                <w:lang w:val="en-GB"/>
              </w:rPr>
              <w:t>Schola Europaea</w:t>
            </w:r>
            <w:r w:rsidRPr="002E0280">
              <w:rPr>
                <w:b/>
                <w:bCs/>
                <w:color w:val="5B9BD5"/>
                <w:sz w:val="20"/>
                <w:lang w:val="en-GB"/>
              </w:rPr>
              <w:t xml:space="preserve"> </w:t>
            </w:r>
            <w:r w:rsidRPr="002E0280">
              <w:rPr>
                <w:color w:val="5B9BD5"/>
                <w:sz w:val="20"/>
                <w:lang w:val="en-GB"/>
              </w:rPr>
              <w:t>/ Office of the Secretary-General</w:t>
            </w:r>
          </w:p>
          <w:p w:rsidR="00FC4523" w:rsidRPr="002E0280" w:rsidRDefault="00FC4523" w:rsidP="00AE31CF">
            <w:pPr>
              <w:pStyle w:val="ZDGName"/>
              <w:rPr>
                <w:color w:val="233E90"/>
                <w:sz w:val="18"/>
                <w:szCs w:val="18"/>
                <w:lang w:val="en-GB"/>
              </w:rPr>
            </w:pPr>
          </w:p>
          <w:p w:rsidR="00FC4523" w:rsidRPr="002E0280" w:rsidRDefault="00FC4523" w:rsidP="00AE31CF">
            <w:pPr>
              <w:pStyle w:val="ZDGName"/>
              <w:rPr>
                <w:lang w:val="en-GB"/>
              </w:rPr>
            </w:pPr>
          </w:p>
          <w:p w:rsidR="00FC4523" w:rsidRPr="002E0280" w:rsidRDefault="00FC4523" w:rsidP="00AE31CF">
            <w:pPr>
              <w:pStyle w:val="ZDGName"/>
              <w:rPr>
                <w:lang w:val="en-GB"/>
              </w:rPr>
            </w:pPr>
          </w:p>
          <w:p w:rsidR="00FC4523" w:rsidRPr="002E0280" w:rsidRDefault="00FC4523" w:rsidP="00AE31CF">
            <w:pPr>
              <w:pStyle w:val="ZDGName"/>
              <w:rPr>
                <w:lang w:val="en-GB"/>
              </w:rPr>
            </w:pPr>
          </w:p>
          <w:p w:rsidR="00FC4523" w:rsidRPr="002E0280" w:rsidRDefault="00FC4523" w:rsidP="00AE31CF">
            <w:pPr>
              <w:pStyle w:val="ZDGName"/>
              <w:rPr>
                <w:b/>
                <w:sz w:val="20"/>
                <w:lang w:val="en-GB"/>
              </w:rPr>
            </w:pPr>
          </w:p>
          <w:p w:rsidR="00FC4523" w:rsidRPr="002E0280" w:rsidRDefault="00FC4523" w:rsidP="00AE31CF">
            <w:pPr>
              <w:pStyle w:val="ZDGName"/>
              <w:widowControl/>
              <w:rPr>
                <w:lang w:val="en-GB"/>
              </w:rPr>
            </w:pPr>
          </w:p>
        </w:tc>
      </w:tr>
    </w:tbl>
    <w:p w:rsidR="00147603" w:rsidRPr="002E0280" w:rsidRDefault="00C038A7" w:rsidP="00147603">
      <w:pPr>
        <w:pStyle w:val="References"/>
        <w:rPr>
          <w:lang w:val="en-GB"/>
        </w:rPr>
      </w:pPr>
      <w:r w:rsidRPr="002E0280">
        <w:rPr>
          <w:lang w:val="en-GB"/>
        </w:rPr>
        <w:t>Ref.</w:t>
      </w:r>
      <w:r w:rsidR="00147603" w:rsidRPr="002E0280">
        <w:rPr>
          <w:lang w:val="en-GB"/>
        </w:rPr>
        <w:t>:</w:t>
      </w:r>
      <w:r w:rsidR="009B73E0" w:rsidRPr="002E0280">
        <w:rPr>
          <w:lang w:val="en-GB"/>
        </w:rPr>
        <w:t xml:space="preserve"> </w:t>
      </w:r>
      <w:r w:rsidR="00C72B58" w:rsidRPr="002E0280">
        <w:rPr>
          <w:lang w:val="en-GB"/>
        </w:rPr>
        <w:t>2019-</w:t>
      </w:r>
      <w:r w:rsidR="00556984">
        <w:rPr>
          <w:lang w:val="en-GB"/>
        </w:rPr>
        <w:t>12-D-26</w:t>
      </w:r>
      <w:r w:rsidRPr="002E0280">
        <w:rPr>
          <w:lang w:val="en-GB"/>
        </w:rPr>
        <w:t>-en</w:t>
      </w:r>
      <w:r w:rsidR="00746B78" w:rsidRPr="002E0280">
        <w:rPr>
          <w:lang w:val="en-GB"/>
        </w:rPr>
        <w:t>-</w:t>
      </w:r>
      <w:r w:rsidR="00B5129D">
        <w:rPr>
          <w:lang w:val="en-GB"/>
        </w:rPr>
        <w:t>3</w:t>
      </w:r>
    </w:p>
    <w:p w:rsidR="002F6F42" w:rsidRPr="002E0280" w:rsidRDefault="003109BC" w:rsidP="002F6F42">
      <w:pPr>
        <w:pStyle w:val="References"/>
        <w:rPr>
          <w:lang w:val="en-GB"/>
        </w:rPr>
      </w:pPr>
      <w:r w:rsidRPr="002E0280">
        <w:rPr>
          <w:lang w:val="en-GB"/>
        </w:rPr>
        <w:t>Original</w:t>
      </w:r>
      <w:r w:rsidR="00593588" w:rsidRPr="002E0280">
        <w:rPr>
          <w:lang w:val="en-GB"/>
        </w:rPr>
        <w:t>: EN</w:t>
      </w:r>
    </w:p>
    <w:p w:rsidR="002F6F42" w:rsidRPr="002E0280" w:rsidRDefault="002F6F42" w:rsidP="00147603">
      <w:pPr>
        <w:pStyle w:val="References"/>
        <w:rPr>
          <w:lang w:val="en-GB"/>
        </w:rPr>
      </w:pPr>
    </w:p>
    <w:p w:rsidR="003F43D5" w:rsidRPr="002E0280" w:rsidRDefault="00556984" w:rsidP="003F43D5">
      <w:pPr>
        <w:pBdr>
          <w:bottom w:val="single" w:sz="4" w:space="1" w:color="auto"/>
        </w:pBdr>
        <w:spacing w:before="4320"/>
        <w:rPr>
          <w:rFonts w:cs="Arial"/>
          <w:b/>
          <w:sz w:val="36"/>
          <w:lang w:val="en-GB"/>
        </w:rPr>
      </w:pPr>
      <w:bookmarkStart w:id="0" w:name="_Toc504485879"/>
      <w:r>
        <w:rPr>
          <w:rFonts w:eastAsia="Times"/>
          <w:b/>
          <w:color w:val="003399"/>
          <w:kern w:val="28"/>
          <w:sz w:val="40"/>
          <w:szCs w:val="48"/>
          <w:lang w:val="en-GB"/>
        </w:rPr>
        <w:t>Sixth</w:t>
      </w:r>
      <w:r w:rsidR="003F43D5" w:rsidRPr="002E0280">
        <w:rPr>
          <w:rFonts w:eastAsia="Times"/>
          <w:b/>
          <w:color w:val="003399"/>
          <w:kern w:val="28"/>
          <w:sz w:val="40"/>
          <w:szCs w:val="48"/>
          <w:lang w:val="en-GB"/>
        </w:rPr>
        <w:t xml:space="preserve"> Report of the BREXIT Working Group </w:t>
      </w:r>
      <w:bookmarkEnd w:id="0"/>
    </w:p>
    <w:p w:rsidR="00AE31CF" w:rsidRPr="002E0280" w:rsidRDefault="00746B78" w:rsidP="003F43D5">
      <w:pPr>
        <w:spacing w:before="0" w:after="0"/>
        <w:rPr>
          <w:rFonts w:eastAsia="Times"/>
          <w:b/>
          <w:color w:val="3D98D1"/>
          <w:sz w:val="28"/>
          <w:szCs w:val="28"/>
          <w:lang w:val="en-GB"/>
        </w:rPr>
      </w:pPr>
      <w:r w:rsidRPr="002E0280">
        <w:rPr>
          <w:rFonts w:eastAsia="Times"/>
          <w:b/>
          <w:color w:val="3D98D1"/>
          <w:sz w:val="28"/>
          <w:szCs w:val="28"/>
          <w:lang w:val="en-GB"/>
        </w:rPr>
        <w:t>B</w:t>
      </w:r>
      <w:r w:rsidR="00B5129D">
        <w:rPr>
          <w:rFonts w:eastAsia="Times"/>
          <w:b/>
          <w:color w:val="3D98D1"/>
          <w:sz w:val="28"/>
          <w:szCs w:val="28"/>
          <w:lang w:val="en-GB"/>
        </w:rPr>
        <w:t>oard of Governors</w:t>
      </w:r>
    </w:p>
    <w:p w:rsidR="003F43D5" w:rsidRPr="002E0280" w:rsidRDefault="003F43D5" w:rsidP="003F43D5">
      <w:pPr>
        <w:spacing w:before="0" w:after="0"/>
        <w:rPr>
          <w:rFonts w:eastAsia="Times"/>
          <w:b/>
          <w:color w:val="3D98D1"/>
          <w:sz w:val="28"/>
          <w:szCs w:val="28"/>
          <w:lang w:val="en-GB"/>
        </w:rPr>
      </w:pPr>
    </w:p>
    <w:p w:rsidR="009F3CE1" w:rsidRDefault="009F3CE1" w:rsidP="003F43D5">
      <w:pPr>
        <w:spacing w:before="0" w:after="0"/>
        <w:rPr>
          <w:rFonts w:eastAsia="Times"/>
          <w:b/>
          <w:color w:val="3D98D1"/>
          <w:sz w:val="28"/>
          <w:szCs w:val="28"/>
          <w:lang w:val="en-GB"/>
        </w:rPr>
      </w:pPr>
    </w:p>
    <w:p w:rsidR="009F3CE1" w:rsidRDefault="009F3CE1" w:rsidP="003F43D5">
      <w:pPr>
        <w:spacing w:before="0" w:after="0"/>
        <w:rPr>
          <w:rFonts w:eastAsia="Times"/>
          <w:b/>
          <w:color w:val="3D98D1"/>
          <w:sz w:val="28"/>
          <w:szCs w:val="28"/>
          <w:lang w:val="en-GB"/>
        </w:rPr>
      </w:pPr>
    </w:p>
    <w:p w:rsidR="009F3CE1" w:rsidRDefault="009F3CE1" w:rsidP="003F43D5">
      <w:pPr>
        <w:spacing w:before="0" w:after="0"/>
        <w:rPr>
          <w:rFonts w:eastAsia="Times"/>
          <w:b/>
          <w:color w:val="3D98D1"/>
          <w:sz w:val="28"/>
          <w:szCs w:val="28"/>
          <w:lang w:val="en-GB"/>
        </w:rPr>
      </w:pPr>
    </w:p>
    <w:p w:rsidR="003F43D5" w:rsidRPr="002E0280" w:rsidRDefault="003F43D5" w:rsidP="003F43D5">
      <w:pPr>
        <w:spacing w:before="0" w:after="0"/>
        <w:rPr>
          <w:rFonts w:eastAsia="Times"/>
          <w:b/>
          <w:color w:val="3D98D1"/>
          <w:sz w:val="28"/>
          <w:szCs w:val="28"/>
          <w:lang w:val="en-GB"/>
        </w:rPr>
      </w:pPr>
      <w:r w:rsidRPr="002E0280">
        <w:rPr>
          <w:rFonts w:eastAsia="Times"/>
          <w:b/>
          <w:color w:val="3D98D1"/>
          <w:sz w:val="28"/>
          <w:szCs w:val="28"/>
          <w:lang w:val="en-GB"/>
        </w:rPr>
        <w:t xml:space="preserve">Meeting on </w:t>
      </w:r>
      <w:r w:rsidR="00855CC1">
        <w:rPr>
          <w:rFonts w:eastAsia="Times"/>
          <w:b/>
          <w:color w:val="3D98D1"/>
          <w:sz w:val="28"/>
          <w:szCs w:val="28"/>
          <w:lang w:val="en-GB"/>
        </w:rPr>
        <w:t>1</w:t>
      </w:r>
      <w:r w:rsidR="00B5129D">
        <w:rPr>
          <w:rFonts w:eastAsia="Times"/>
          <w:b/>
          <w:color w:val="3D98D1"/>
          <w:sz w:val="28"/>
          <w:szCs w:val="28"/>
          <w:lang w:val="en-GB"/>
        </w:rPr>
        <w:t>5</w:t>
      </w:r>
      <w:r w:rsidR="00855CC1">
        <w:rPr>
          <w:rFonts w:eastAsia="Times"/>
          <w:b/>
          <w:color w:val="3D98D1"/>
          <w:sz w:val="28"/>
          <w:szCs w:val="28"/>
          <w:lang w:val="en-GB"/>
        </w:rPr>
        <w:t xml:space="preserve"> – 1</w:t>
      </w:r>
      <w:r w:rsidR="00B5129D">
        <w:rPr>
          <w:rFonts w:eastAsia="Times"/>
          <w:b/>
          <w:color w:val="3D98D1"/>
          <w:sz w:val="28"/>
          <w:szCs w:val="28"/>
          <w:lang w:val="en-GB"/>
        </w:rPr>
        <w:t>7 April</w:t>
      </w:r>
      <w:r w:rsidR="00556984">
        <w:rPr>
          <w:rFonts w:eastAsia="Times"/>
          <w:b/>
          <w:color w:val="3D98D1"/>
          <w:sz w:val="28"/>
          <w:szCs w:val="28"/>
          <w:lang w:val="en-GB"/>
        </w:rPr>
        <w:t xml:space="preserve"> 2020 </w:t>
      </w:r>
    </w:p>
    <w:p w:rsidR="00147603" w:rsidRPr="002E0280" w:rsidRDefault="00147603" w:rsidP="00147603">
      <w:pPr>
        <w:rPr>
          <w:lang w:val="en-GB"/>
        </w:rPr>
      </w:pPr>
    </w:p>
    <w:p w:rsidR="00147603" w:rsidRPr="002E0280" w:rsidRDefault="00147603" w:rsidP="00147603">
      <w:pPr>
        <w:rPr>
          <w:lang w:val="en-GB"/>
        </w:rPr>
      </w:pPr>
    </w:p>
    <w:p w:rsidR="00147603" w:rsidRPr="002E0280" w:rsidRDefault="00147603" w:rsidP="00147603">
      <w:pPr>
        <w:rPr>
          <w:lang w:val="en-GB"/>
        </w:rPr>
      </w:pPr>
    </w:p>
    <w:p w:rsidR="00147603" w:rsidRPr="002E0280" w:rsidRDefault="00147603" w:rsidP="00147603">
      <w:pPr>
        <w:rPr>
          <w:lang w:val="en-GB"/>
        </w:rPr>
      </w:pPr>
    </w:p>
    <w:p w:rsidR="00147603" w:rsidRPr="002E0280" w:rsidRDefault="00147603" w:rsidP="00147603">
      <w:pPr>
        <w:rPr>
          <w:lang w:val="en-GB"/>
        </w:rPr>
      </w:pPr>
    </w:p>
    <w:p w:rsidR="00147603" w:rsidRPr="002E0280" w:rsidRDefault="00147603" w:rsidP="00147603">
      <w:pPr>
        <w:rPr>
          <w:rFonts w:cs="Arial"/>
          <w:lang w:val="en-GB"/>
        </w:rPr>
      </w:pPr>
    </w:p>
    <w:p w:rsidR="003F43D5" w:rsidRPr="002E0280" w:rsidRDefault="003F43D5">
      <w:pPr>
        <w:spacing w:before="0" w:after="0"/>
        <w:jc w:val="left"/>
        <w:rPr>
          <w:lang w:val="en-GB"/>
        </w:rPr>
      </w:pPr>
      <w:r w:rsidRPr="002E0280">
        <w:rPr>
          <w:lang w:val="en-GB"/>
        </w:rPr>
        <w:br w:type="page"/>
      </w:r>
    </w:p>
    <w:p w:rsidR="001A0D7D" w:rsidRPr="002E0280" w:rsidRDefault="001A0D7D" w:rsidP="00AD25E8">
      <w:pPr>
        <w:rPr>
          <w:rFonts w:cs="Arial"/>
          <w:color w:val="000000"/>
          <w:szCs w:val="22"/>
          <w:lang w:val="en-GB"/>
        </w:rPr>
      </w:pPr>
    </w:p>
    <w:p w:rsidR="00320EFE" w:rsidRPr="002E0280" w:rsidRDefault="00593588"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Background</w:t>
      </w:r>
    </w:p>
    <w:p w:rsidR="00320EFE" w:rsidRPr="002E0280" w:rsidRDefault="00320EFE" w:rsidP="00320EFE">
      <w:pPr>
        <w:tabs>
          <w:tab w:val="left" w:pos="360"/>
          <w:tab w:val="left" w:pos="1440"/>
          <w:tab w:val="left" w:pos="4320"/>
          <w:tab w:val="left" w:pos="6652"/>
          <w:tab w:val="left" w:pos="360"/>
          <w:tab w:val="left" w:pos="1440"/>
          <w:tab w:val="left" w:pos="360"/>
          <w:tab w:val="left" w:pos="1440"/>
          <w:tab w:val="left" w:pos="360"/>
          <w:tab w:val="left" w:pos="1440"/>
        </w:tabs>
        <w:ind w:left="180"/>
        <w:rPr>
          <w:rFonts w:cs="Arial"/>
          <w:b/>
          <w:color w:val="000000"/>
          <w:sz w:val="24"/>
          <w:szCs w:val="24"/>
          <w:lang w:val="en-GB"/>
        </w:rPr>
      </w:pPr>
    </w:p>
    <w:p w:rsidR="00556984" w:rsidRDefault="00556984" w:rsidP="003828C2">
      <w:pPr>
        <w:spacing w:before="60" w:after="60"/>
        <w:rPr>
          <w:rFonts w:eastAsia="Calibri" w:cs="Arial"/>
          <w:sz w:val="24"/>
          <w:szCs w:val="24"/>
          <w:lang w:val="en-GB" w:eastAsia="en-US"/>
        </w:rPr>
      </w:pPr>
      <w:r>
        <w:rPr>
          <w:rFonts w:eastAsia="Calibri" w:cs="Arial"/>
          <w:sz w:val="24"/>
          <w:szCs w:val="24"/>
          <w:lang w:val="en-GB" w:eastAsia="en-US"/>
        </w:rPr>
        <w:t>On 31 January 2020 the United Kingdom (UK) left the European Union.</w:t>
      </w:r>
    </w:p>
    <w:p w:rsidR="00556984" w:rsidRDefault="00556984" w:rsidP="003828C2">
      <w:pPr>
        <w:spacing w:before="60" w:after="60"/>
        <w:rPr>
          <w:rFonts w:eastAsia="Calibri" w:cs="Arial"/>
          <w:sz w:val="24"/>
          <w:szCs w:val="24"/>
          <w:lang w:val="en-GB" w:eastAsia="en-US"/>
        </w:rPr>
      </w:pPr>
    </w:p>
    <w:p w:rsidR="00556984" w:rsidRDefault="00556984" w:rsidP="003828C2">
      <w:pPr>
        <w:spacing w:before="60" w:after="60"/>
        <w:rPr>
          <w:rFonts w:eastAsia="Calibri" w:cs="Arial"/>
          <w:sz w:val="24"/>
          <w:szCs w:val="24"/>
          <w:lang w:val="en-GB" w:eastAsia="en-US"/>
        </w:rPr>
      </w:pPr>
      <w:r w:rsidRPr="00643CFF">
        <w:rPr>
          <w:rFonts w:eastAsia="Calibri" w:cs="Arial"/>
          <w:sz w:val="24"/>
          <w:szCs w:val="24"/>
          <w:lang w:val="en-GB" w:eastAsia="en-US"/>
        </w:rPr>
        <w:t>The BREXIT is accompanied by a Withdrawal Agreement, agreed between the UK government and the European Union</w:t>
      </w:r>
      <w:r w:rsidR="00643CFF">
        <w:rPr>
          <w:rFonts w:eastAsia="Calibri" w:cs="Arial"/>
          <w:sz w:val="24"/>
          <w:szCs w:val="24"/>
          <w:lang w:val="en-GB" w:eastAsia="en-US"/>
        </w:rPr>
        <w:t xml:space="preserve">, which was ratified by the European Parliament on </w:t>
      </w:r>
      <w:r w:rsidR="002C54FB" w:rsidRPr="002C54FB">
        <w:rPr>
          <w:rFonts w:eastAsia="Calibri" w:cs="Arial"/>
          <w:sz w:val="24"/>
          <w:szCs w:val="24"/>
          <w:lang w:val="en-GB" w:eastAsia="en-US"/>
        </w:rPr>
        <w:t>29</w:t>
      </w:r>
      <w:r w:rsidR="00643CFF" w:rsidRPr="002C54FB">
        <w:rPr>
          <w:rFonts w:eastAsia="Calibri" w:cs="Arial"/>
          <w:sz w:val="24"/>
          <w:szCs w:val="24"/>
          <w:lang w:val="en-GB" w:eastAsia="en-US"/>
        </w:rPr>
        <w:t xml:space="preserve"> January 2020</w:t>
      </w:r>
      <w:r w:rsidRPr="00643CFF">
        <w:rPr>
          <w:rFonts w:eastAsia="Calibri" w:cs="Arial"/>
          <w:sz w:val="24"/>
          <w:szCs w:val="24"/>
          <w:lang w:val="en-GB" w:eastAsia="en-US"/>
        </w:rPr>
        <w:t>.</w:t>
      </w:r>
    </w:p>
    <w:p w:rsidR="00556984" w:rsidRDefault="00556984" w:rsidP="003828C2">
      <w:pPr>
        <w:spacing w:before="60" w:after="60"/>
        <w:rPr>
          <w:rFonts w:eastAsia="Calibri" w:cs="Arial"/>
          <w:sz w:val="24"/>
          <w:szCs w:val="24"/>
          <w:lang w:val="en-GB" w:eastAsia="en-US"/>
        </w:rPr>
      </w:pPr>
    </w:p>
    <w:p w:rsidR="00556984" w:rsidRDefault="00556984" w:rsidP="003828C2">
      <w:pPr>
        <w:spacing w:before="60" w:after="60"/>
        <w:rPr>
          <w:rFonts w:eastAsia="Calibri" w:cs="Arial"/>
          <w:sz w:val="24"/>
          <w:szCs w:val="24"/>
          <w:lang w:val="en-GB" w:eastAsia="en-US"/>
        </w:rPr>
      </w:pPr>
      <w:r>
        <w:rPr>
          <w:rFonts w:eastAsia="Calibri" w:cs="Arial"/>
          <w:sz w:val="24"/>
          <w:szCs w:val="24"/>
          <w:lang w:val="en-GB" w:eastAsia="en-US"/>
        </w:rPr>
        <w:t xml:space="preserve">The Withdrawal Agreement addresses the relation between the UK and the EU during a transitory period which is supposed to end on 31 December 2020, unless the contracting parties may agree on a prolongation of this period in accordance with Article </w:t>
      </w:r>
      <w:r w:rsidR="00AF13F9">
        <w:rPr>
          <w:rFonts w:eastAsia="Calibri" w:cs="Arial"/>
          <w:sz w:val="24"/>
          <w:szCs w:val="24"/>
          <w:lang w:val="en-GB" w:eastAsia="en-US"/>
        </w:rPr>
        <w:t xml:space="preserve">132 </w:t>
      </w:r>
      <w:r>
        <w:rPr>
          <w:rFonts w:eastAsia="Calibri" w:cs="Arial"/>
          <w:sz w:val="24"/>
          <w:szCs w:val="24"/>
          <w:lang w:val="en-GB" w:eastAsia="en-US"/>
        </w:rPr>
        <w:t>of the Withdrawal Agreement.</w:t>
      </w:r>
    </w:p>
    <w:p w:rsidR="00556984" w:rsidRDefault="00556984" w:rsidP="003828C2">
      <w:pPr>
        <w:spacing w:before="60" w:after="60"/>
        <w:rPr>
          <w:rFonts w:eastAsia="Calibri" w:cs="Arial"/>
          <w:sz w:val="24"/>
          <w:szCs w:val="24"/>
          <w:lang w:val="en-GB" w:eastAsia="en-US"/>
        </w:rPr>
      </w:pPr>
    </w:p>
    <w:p w:rsidR="00AF13F9" w:rsidRDefault="00556984" w:rsidP="003828C2">
      <w:pPr>
        <w:spacing w:before="60" w:after="60"/>
        <w:rPr>
          <w:rFonts w:eastAsia="Calibri" w:cs="Arial"/>
          <w:sz w:val="24"/>
          <w:szCs w:val="24"/>
          <w:lang w:val="en-GB" w:eastAsia="en-US"/>
        </w:rPr>
      </w:pPr>
      <w:r>
        <w:rPr>
          <w:rFonts w:eastAsia="Calibri" w:cs="Arial"/>
          <w:sz w:val="24"/>
          <w:szCs w:val="24"/>
          <w:lang w:val="en-GB" w:eastAsia="en-US"/>
        </w:rPr>
        <w:t xml:space="preserve">Article 125 of the </w:t>
      </w:r>
      <w:r w:rsidR="00AF13F9">
        <w:rPr>
          <w:rFonts w:eastAsia="Calibri" w:cs="Arial"/>
          <w:sz w:val="24"/>
          <w:szCs w:val="24"/>
          <w:lang w:val="en-GB" w:eastAsia="en-US"/>
        </w:rPr>
        <w:t xml:space="preserve">Withdrawal Agreements addresses the relation between the UK and European Schools during this transitory period. For this particular relation the transitory period does not end on 31 December 2020, </w:t>
      </w:r>
      <w:r w:rsidR="00AF13F9" w:rsidRPr="00AF13F9">
        <w:rPr>
          <w:rFonts w:eastAsia="Calibri" w:cs="Arial"/>
          <w:b/>
          <w:sz w:val="24"/>
          <w:szCs w:val="24"/>
          <w:lang w:val="en-GB" w:eastAsia="en-US"/>
        </w:rPr>
        <w:t>but on 31 August 2021</w:t>
      </w:r>
      <w:r w:rsidR="00AF13F9">
        <w:rPr>
          <w:rFonts w:eastAsia="Calibri" w:cs="Arial"/>
          <w:sz w:val="24"/>
          <w:szCs w:val="24"/>
          <w:lang w:val="en-GB" w:eastAsia="en-US"/>
        </w:rPr>
        <w:t>. This ensures that the UK will fulfil its obligation during the whole 2020/21 school year.</w:t>
      </w:r>
    </w:p>
    <w:p w:rsidR="00AF13F9" w:rsidRDefault="00AF13F9" w:rsidP="003828C2">
      <w:pPr>
        <w:spacing w:before="60" w:after="60"/>
        <w:rPr>
          <w:rFonts w:eastAsia="Calibri" w:cs="Arial"/>
          <w:sz w:val="24"/>
          <w:szCs w:val="24"/>
          <w:lang w:val="en-GB" w:eastAsia="en-US"/>
        </w:rPr>
      </w:pPr>
    </w:p>
    <w:p w:rsidR="00AF13F9" w:rsidRDefault="00AF13F9" w:rsidP="003828C2">
      <w:pPr>
        <w:spacing w:before="60" w:after="60"/>
        <w:rPr>
          <w:rFonts w:eastAsia="Calibri" w:cs="Arial"/>
          <w:sz w:val="24"/>
          <w:szCs w:val="24"/>
          <w:lang w:val="en-GB" w:eastAsia="en-US"/>
        </w:rPr>
      </w:pPr>
    </w:p>
    <w:p w:rsidR="00AF13F9" w:rsidRPr="00AF13F9" w:rsidRDefault="00AF13F9" w:rsidP="003828C2">
      <w:pPr>
        <w:spacing w:before="60" w:after="60"/>
        <w:rPr>
          <w:rFonts w:eastAsia="Calibri" w:cs="Arial"/>
          <w:b/>
          <w:sz w:val="24"/>
          <w:szCs w:val="24"/>
          <w:lang w:val="en-GB" w:eastAsia="en-US"/>
        </w:rPr>
      </w:pPr>
      <w:r w:rsidRPr="00AF13F9">
        <w:rPr>
          <w:rFonts w:eastAsia="Calibri" w:cs="Arial"/>
          <w:b/>
          <w:sz w:val="24"/>
          <w:szCs w:val="24"/>
          <w:lang w:val="en-GB" w:eastAsia="en-US"/>
        </w:rPr>
        <w:t>Article 125 of the Withdrawal Agreement reads as follows:</w:t>
      </w:r>
    </w:p>
    <w:p w:rsidR="00AF13F9" w:rsidRDefault="00AF13F9" w:rsidP="003828C2">
      <w:pPr>
        <w:spacing w:before="60" w:after="60"/>
        <w:rPr>
          <w:rFonts w:eastAsia="Calibri" w:cs="Arial"/>
          <w:sz w:val="24"/>
          <w:szCs w:val="24"/>
          <w:lang w:val="en-GB" w:eastAsia="en-US"/>
        </w:rPr>
      </w:pPr>
    </w:p>
    <w:p w:rsidR="00AF13F9" w:rsidRPr="002E0280" w:rsidRDefault="00556984" w:rsidP="00AF13F9">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r>
        <w:rPr>
          <w:rFonts w:eastAsia="Calibri" w:cs="Arial"/>
          <w:sz w:val="24"/>
          <w:szCs w:val="24"/>
          <w:lang w:val="en-GB" w:eastAsia="en-US"/>
        </w:rPr>
        <w:t xml:space="preserve"> </w:t>
      </w:r>
      <w:r w:rsidR="00AF13F9" w:rsidRPr="002E0280">
        <w:rPr>
          <w:rFonts w:cs="Arial"/>
          <w:i/>
          <w:color w:val="000000"/>
          <w:sz w:val="24"/>
          <w:szCs w:val="24"/>
          <w:lang w:val="en-GB"/>
        </w:rPr>
        <w:t>ARTICLE 125</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r w:rsidRPr="002E0280">
        <w:rPr>
          <w:rFonts w:cs="Arial"/>
          <w:i/>
          <w:color w:val="000000"/>
          <w:sz w:val="24"/>
          <w:szCs w:val="24"/>
          <w:lang w:val="en-GB"/>
        </w:rPr>
        <w:t>European Schools</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 </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1. The United Kingdom shall be bound by the Convention defining the Statute of the European Schools</w:t>
      </w:r>
      <w:r w:rsidRPr="002E0280">
        <w:rPr>
          <w:rStyle w:val="FootnoteReference"/>
          <w:rFonts w:cs="Arial"/>
          <w:i/>
          <w:color w:val="000000"/>
          <w:sz w:val="24"/>
          <w:szCs w:val="24"/>
          <w:lang w:val="en-GB"/>
        </w:rPr>
        <w:footnoteReference w:id="1"/>
      </w:r>
      <w:r w:rsidRPr="002E0280">
        <w:rPr>
          <w:rFonts w:cs="Arial"/>
          <w:i/>
          <w:color w:val="000000"/>
          <w:sz w:val="24"/>
          <w:szCs w:val="24"/>
          <w:lang w:val="en-GB"/>
        </w:rPr>
        <w:t xml:space="preserve">, as well as by the Regulations on Accredited European Schools adopted by the Board of Governors of the European Schools, until the end of the school year that is ongoing at the end of the transition period. </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2. The United Kingdom shall, with respect to pupils who before 31 August 2021 acquired a European baccalaureate and to pupils who are enrolled in a cycle of secondary studies in a European School before 31 August 2021 and acquire a European baccalaureate after that date, ensure that such pupils enjoy the rights provided for in Article 5(2) of the Convention defining the Statute of the European Schools. </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 </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As already mentioned, </w:t>
      </w:r>
      <w:r w:rsidRPr="002E0280">
        <w:rPr>
          <w:rFonts w:cs="Arial"/>
          <w:color w:val="000000"/>
          <w:sz w:val="24"/>
          <w:szCs w:val="24"/>
          <w:lang w:val="en-GB"/>
        </w:rPr>
        <w:t xml:space="preserve">Article 132 of the Withdrawal Agreement provides the </w:t>
      </w:r>
      <w:r w:rsidRPr="002E0280">
        <w:rPr>
          <w:rFonts w:cs="Arial"/>
          <w:b/>
          <w:color w:val="000000"/>
          <w:sz w:val="24"/>
          <w:szCs w:val="24"/>
          <w:lang w:val="en-GB"/>
        </w:rPr>
        <w:t>possibility</w:t>
      </w:r>
      <w:r w:rsidRPr="002E0280">
        <w:rPr>
          <w:rFonts w:cs="Arial"/>
          <w:color w:val="000000"/>
          <w:sz w:val="24"/>
          <w:szCs w:val="24"/>
          <w:lang w:val="en-GB"/>
        </w:rPr>
        <w:t xml:space="preserve"> to prolong the transition period up to one or two years, by a single decision adopted by the Joint Committee, comprising representatives of the Union </w:t>
      </w:r>
      <w:r w:rsidRPr="002E0280">
        <w:rPr>
          <w:rFonts w:cs="Arial"/>
          <w:color w:val="000000"/>
          <w:sz w:val="24"/>
          <w:szCs w:val="24"/>
          <w:lang w:val="en-GB"/>
        </w:rPr>
        <w:lastRenderedPageBreak/>
        <w:t>and of the UK.</w:t>
      </w:r>
      <w:r>
        <w:rPr>
          <w:rFonts w:cs="Arial"/>
          <w:color w:val="000000"/>
          <w:sz w:val="24"/>
          <w:szCs w:val="24"/>
          <w:lang w:val="en-GB"/>
        </w:rPr>
        <w:t xml:space="preserve"> Such an extension would also concern the relation </w:t>
      </w:r>
      <w:r w:rsidR="00272665">
        <w:rPr>
          <w:rFonts w:cs="Arial"/>
          <w:color w:val="000000"/>
          <w:sz w:val="24"/>
          <w:szCs w:val="24"/>
          <w:lang w:val="en-GB"/>
        </w:rPr>
        <w:t xml:space="preserve">between the UK and </w:t>
      </w:r>
      <w:r>
        <w:rPr>
          <w:rFonts w:cs="Arial"/>
          <w:color w:val="000000"/>
          <w:sz w:val="24"/>
          <w:szCs w:val="24"/>
          <w:lang w:val="en-GB"/>
        </w:rPr>
        <w:t>the European Schools.</w:t>
      </w:r>
      <w:r w:rsidRPr="002E0280">
        <w:rPr>
          <w:rFonts w:cs="Arial"/>
          <w:color w:val="000000"/>
          <w:sz w:val="24"/>
          <w:szCs w:val="24"/>
          <w:lang w:val="en-GB"/>
        </w:rPr>
        <w:t xml:space="preserve"> </w:t>
      </w:r>
    </w:p>
    <w:p w:rsidR="00AF13F9" w:rsidRDefault="00272665"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Article 132 and Article 164 of the Withdrawal Agreement read as follows:</w:t>
      </w:r>
    </w:p>
    <w:p w:rsidR="00272665" w:rsidRPr="002E0280" w:rsidRDefault="00272665"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r w:rsidRPr="002E0280">
        <w:rPr>
          <w:rFonts w:cs="Arial"/>
          <w:i/>
          <w:color w:val="000000"/>
          <w:sz w:val="24"/>
          <w:szCs w:val="24"/>
          <w:lang w:val="en-GB"/>
        </w:rPr>
        <w:t>ARTICLE 132</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r w:rsidRPr="002E0280">
        <w:rPr>
          <w:rFonts w:cs="Arial"/>
          <w:i/>
          <w:color w:val="000000"/>
          <w:sz w:val="24"/>
          <w:szCs w:val="24"/>
          <w:lang w:val="en-GB"/>
        </w:rPr>
        <w:t>Extension of the transition period</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 </w:t>
      </w:r>
    </w:p>
    <w:p w:rsidR="00AF13F9" w:rsidRPr="00E872E4"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1. Notwithstanding Article 126, the Joint Committee may, before 1 July 2020, adopt a single decision extending the transition period for up to 1 or 2 years</w:t>
      </w:r>
      <w:r w:rsidRPr="002E0280">
        <w:rPr>
          <w:rStyle w:val="FootnoteReference"/>
          <w:rFonts w:cs="Arial"/>
          <w:i/>
          <w:color w:val="000000"/>
          <w:sz w:val="24"/>
          <w:szCs w:val="24"/>
          <w:lang w:val="en-GB"/>
        </w:rPr>
        <w:footnoteReference w:id="2"/>
      </w:r>
      <w:r w:rsidRPr="002E0280">
        <w:rPr>
          <w:rFonts w:cs="Arial"/>
          <w:i/>
          <w:color w:val="000000"/>
          <w:sz w:val="24"/>
          <w:szCs w:val="24"/>
          <w:lang w:val="en-GB"/>
        </w:rPr>
        <w:t>.</w:t>
      </w:r>
      <w:r w:rsidRPr="002E0280">
        <w:rPr>
          <w:rFonts w:cs="Arial"/>
          <w:i/>
          <w:color w:val="000000"/>
          <w:sz w:val="24"/>
          <w:szCs w:val="24"/>
          <w:lang w:val="en-GB"/>
        </w:rPr>
        <w:t xml:space="preserve"> </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2. …</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3. A decision of the Joint Committee under paragraph 1 shall: </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(d) adapt the dates or periods referred to in Articles 51, 62, 63, 84, 96, </w:t>
      </w:r>
      <w:r w:rsidRPr="002E0280">
        <w:rPr>
          <w:rFonts w:cs="Arial"/>
          <w:b/>
          <w:i/>
          <w:color w:val="000000"/>
          <w:sz w:val="24"/>
          <w:szCs w:val="24"/>
          <w:lang w:val="en-GB"/>
        </w:rPr>
        <w:t>125</w:t>
      </w:r>
      <w:r w:rsidRPr="002E0280">
        <w:rPr>
          <w:rFonts w:cs="Arial"/>
          <w:i/>
          <w:color w:val="000000"/>
          <w:sz w:val="24"/>
          <w:szCs w:val="24"/>
          <w:lang w:val="en-GB"/>
        </w:rPr>
        <w:t xml:space="preserve">, 141, 156, 157 and Annexes IV and V to reflect the extension of the transition period. </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i/>
          <w:color w:val="000000"/>
          <w:sz w:val="24"/>
          <w:szCs w:val="24"/>
          <w:lang w:val="en-GB"/>
        </w:rPr>
        <w:t xml:space="preserve"> </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r w:rsidRPr="002E0280">
        <w:rPr>
          <w:rFonts w:cs="Arial"/>
          <w:i/>
          <w:color w:val="000000"/>
          <w:sz w:val="24"/>
          <w:szCs w:val="24"/>
          <w:lang w:val="en-GB"/>
        </w:rPr>
        <w:t>ARTICLE 164</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r w:rsidRPr="002E0280">
        <w:rPr>
          <w:rFonts w:cs="Arial"/>
          <w:i/>
          <w:color w:val="000000"/>
          <w:sz w:val="24"/>
          <w:szCs w:val="24"/>
          <w:lang w:val="en-GB"/>
        </w:rPr>
        <w:t>Joint Committee</w:t>
      </w: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p>
    <w:p w:rsidR="00AF13F9" w:rsidRPr="002E0280" w:rsidRDefault="00AF13F9" w:rsidP="00AF13F9">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i/>
          <w:color w:val="000000"/>
          <w:sz w:val="24"/>
          <w:szCs w:val="24"/>
          <w:lang w:val="en-GB"/>
        </w:rPr>
      </w:pPr>
      <w:r w:rsidRPr="002E0280">
        <w:rPr>
          <w:rFonts w:cs="Arial"/>
          <w:i/>
          <w:color w:val="000000"/>
          <w:sz w:val="24"/>
          <w:szCs w:val="24"/>
          <w:lang w:val="en-GB"/>
        </w:rPr>
        <w:t>1. A Joint Committee, comprising representatives of the Union and the United Kingdom, is hereby established. The Joint Committee shall be co-chaired by the Union and the United Kingdom.</w:t>
      </w:r>
    </w:p>
    <w:p w:rsidR="00B70E1E" w:rsidRPr="002E0280" w:rsidRDefault="00B70E1E"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
    <w:p w:rsidR="00D714B8" w:rsidRPr="002E0280" w:rsidRDefault="00D714B8"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
    <w:p w:rsidR="00FF512D" w:rsidRPr="002E0280" w:rsidRDefault="00FF512D"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Content of th</w:t>
      </w:r>
      <w:r w:rsidR="00B728CF" w:rsidRPr="002E0280">
        <w:rPr>
          <w:rFonts w:cs="Arial"/>
          <w:b/>
          <w:color w:val="000000"/>
          <w:sz w:val="24"/>
          <w:szCs w:val="24"/>
          <w:lang w:val="en-GB"/>
        </w:rPr>
        <w:t>e ‘</w:t>
      </w:r>
      <w:r w:rsidR="00064332">
        <w:rPr>
          <w:rFonts w:cs="Arial"/>
          <w:b/>
          <w:color w:val="000000"/>
          <w:sz w:val="24"/>
          <w:szCs w:val="24"/>
          <w:lang w:val="en-GB"/>
        </w:rPr>
        <w:t>Sixth</w:t>
      </w:r>
      <w:r w:rsidR="00965B27" w:rsidRPr="002E0280">
        <w:rPr>
          <w:rFonts w:cs="Arial"/>
          <w:b/>
          <w:color w:val="000000"/>
          <w:sz w:val="24"/>
          <w:szCs w:val="24"/>
          <w:lang w:val="en-GB"/>
        </w:rPr>
        <w:t xml:space="preserve"> Repo</w:t>
      </w:r>
      <w:r w:rsidR="00B728CF" w:rsidRPr="002E0280">
        <w:rPr>
          <w:rFonts w:cs="Arial"/>
          <w:b/>
          <w:color w:val="000000"/>
          <w:sz w:val="24"/>
          <w:szCs w:val="24"/>
          <w:lang w:val="en-GB"/>
        </w:rPr>
        <w:t>rt of the BREXIT Working Group’</w:t>
      </w:r>
    </w:p>
    <w:p w:rsidR="00965B27" w:rsidRDefault="00965B27" w:rsidP="00965B27">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064332" w:rsidRPr="00064332" w:rsidRDefault="00064332" w:rsidP="00064332">
      <w:pPr>
        <w:spacing w:before="60" w:after="60"/>
        <w:rPr>
          <w:rFonts w:eastAsia="Calibri" w:cs="Arial"/>
          <w:sz w:val="24"/>
          <w:szCs w:val="24"/>
          <w:lang w:val="en-GB" w:eastAsia="en-US"/>
        </w:rPr>
      </w:pPr>
      <w:r w:rsidRPr="00064332">
        <w:rPr>
          <w:rFonts w:eastAsia="Calibri" w:cs="Arial"/>
          <w:sz w:val="24"/>
          <w:szCs w:val="24"/>
          <w:lang w:val="en-GB" w:eastAsia="en-US"/>
        </w:rPr>
        <w:t>In April 2017 the Board of Governors decided to set up a Working Group to deal with all potential consequences of the ‘BREXIT’.</w:t>
      </w:r>
    </w:p>
    <w:p w:rsidR="00064332" w:rsidRPr="00064332" w:rsidRDefault="00064332" w:rsidP="00064332">
      <w:pPr>
        <w:spacing w:before="60" w:after="60"/>
        <w:rPr>
          <w:rFonts w:eastAsia="Calibri" w:cs="Arial"/>
          <w:sz w:val="24"/>
          <w:szCs w:val="24"/>
          <w:lang w:val="en-GB" w:eastAsia="en-US"/>
        </w:rPr>
      </w:pPr>
      <w:r w:rsidRPr="00064332">
        <w:rPr>
          <w:rFonts w:eastAsia="Calibri" w:cs="Arial"/>
          <w:sz w:val="24"/>
          <w:szCs w:val="24"/>
          <w:lang w:val="en-GB" w:eastAsia="en-US"/>
        </w:rPr>
        <w:t xml:space="preserve">The Working Group was expected to analyse the legal situation and the potential consequences in the financial, the administrative and in the pedagogical areas. The Working Group should provide a risk assessment and define measures to mitigate identified risks. Finally, the Working Group </w:t>
      </w:r>
      <w:r>
        <w:rPr>
          <w:rFonts w:eastAsia="Calibri" w:cs="Arial"/>
          <w:sz w:val="24"/>
          <w:szCs w:val="24"/>
          <w:lang w:val="en-GB" w:eastAsia="en-US"/>
        </w:rPr>
        <w:t>was expected to</w:t>
      </w:r>
      <w:r w:rsidRPr="00064332">
        <w:rPr>
          <w:rFonts w:eastAsia="Calibri" w:cs="Arial"/>
          <w:sz w:val="24"/>
          <w:szCs w:val="24"/>
          <w:lang w:val="en-GB" w:eastAsia="en-US"/>
        </w:rPr>
        <w:t xml:space="preserve"> prepare concrete proposals for the Board of Governors in order to ensure the ongoing provision of high quality teaching in all existing language s</w:t>
      </w:r>
      <w:r>
        <w:rPr>
          <w:rFonts w:eastAsia="Calibri" w:cs="Arial"/>
          <w:sz w:val="24"/>
          <w:szCs w:val="24"/>
          <w:lang w:val="en-GB" w:eastAsia="en-US"/>
        </w:rPr>
        <w:t>ections in the European Schools also after the BREXIT.</w:t>
      </w:r>
    </w:p>
    <w:p w:rsidR="00064332" w:rsidRPr="00AF13F9" w:rsidRDefault="00064332" w:rsidP="00064332">
      <w:pPr>
        <w:spacing w:before="60" w:after="60"/>
        <w:rPr>
          <w:rFonts w:eastAsia="Calibri" w:cs="Arial"/>
          <w:strike/>
          <w:sz w:val="24"/>
          <w:szCs w:val="24"/>
          <w:lang w:val="en-GB" w:eastAsia="en-US"/>
        </w:rPr>
      </w:pPr>
    </w:p>
    <w:p w:rsidR="00064332" w:rsidRDefault="00064332" w:rsidP="00064332">
      <w:pPr>
        <w:spacing w:before="60" w:after="60"/>
        <w:rPr>
          <w:rFonts w:eastAsia="Calibri" w:cs="Arial"/>
          <w:sz w:val="24"/>
          <w:szCs w:val="24"/>
          <w:lang w:val="en-GB" w:eastAsia="en-US"/>
        </w:rPr>
      </w:pPr>
      <w:r w:rsidRPr="00064332">
        <w:rPr>
          <w:rFonts w:eastAsia="Calibri" w:cs="Arial"/>
          <w:sz w:val="24"/>
          <w:szCs w:val="24"/>
          <w:lang w:val="en-GB" w:eastAsia="en-US"/>
        </w:rPr>
        <w:t>So far, the Working Group</w:t>
      </w:r>
      <w:r>
        <w:rPr>
          <w:rFonts w:eastAsia="Calibri" w:cs="Arial"/>
          <w:sz w:val="24"/>
          <w:szCs w:val="24"/>
          <w:lang w:val="en-GB" w:eastAsia="en-US"/>
        </w:rPr>
        <w:t>,</w:t>
      </w:r>
      <w:r w:rsidRPr="00064332">
        <w:rPr>
          <w:rFonts w:eastAsia="Calibri" w:cs="Arial"/>
          <w:sz w:val="24"/>
          <w:szCs w:val="24"/>
          <w:lang w:val="en-GB" w:eastAsia="en-US"/>
        </w:rPr>
        <w:t xml:space="preserve"> which is composed of</w:t>
      </w:r>
    </w:p>
    <w:p w:rsidR="00064332" w:rsidRPr="00064332" w:rsidRDefault="00064332" w:rsidP="00064332">
      <w:pPr>
        <w:spacing w:before="60" w:after="60"/>
        <w:rPr>
          <w:rFonts w:eastAsia="Calibri" w:cs="Arial"/>
          <w:sz w:val="24"/>
          <w:szCs w:val="24"/>
          <w:lang w:val="en-GB" w:eastAsia="en-US"/>
        </w:rPr>
      </w:pPr>
    </w:p>
    <w:p w:rsidR="00064332" w:rsidRPr="00064332" w:rsidRDefault="00064332" w:rsidP="00064332">
      <w:pPr>
        <w:pStyle w:val="ListParagraph"/>
        <w:numPr>
          <w:ilvl w:val="0"/>
          <w:numId w:val="32"/>
        </w:numPr>
        <w:spacing w:before="60" w:after="60"/>
        <w:rPr>
          <w:rFonts w:eastAsia="Calibri" w:cs="Arial"/>
          <w:sz w:val="24"/>
          <w:szCs w:val="24"/>
          <w:lang w:val="en-GB" w:eastAsia="en-US"/>
        </w:rPr>
      </w:pPr>
      <w:r w:rsidRPr="00064332">
        <w:rPr>
          <w:rFonts w:eastAsia="Calibri" w:cs="Arial"/>
          <w:sz w:val="24"/>
          <w:szCs w:val="24"/>
          <w:lang w:val="en-GB" w:eastAsia="en-US"/>
        </w:rPr>
        <w:lastRenderedPageBreak/>
        <w:t>the Secretary-General of the European Schools,</w:t>
      </w:r>
    </w:p>
    <w:p w:rsidR="00064332" w:rsidRPr="00064332" w:rsidRDefault="00064332" w:rsidP="00064332">
      <w:pPr>
        <w:pStyle w:val="ListParagraph"/>
        <w:numPr>
          <w:ilvl w:val="0"/>
          <w:numId w:val="32"/>
        </w:numPr>
        <w:spacing w:before="60" w:after="60"/>
        <w:rPr>
          <w:rFonts w:eastAsia="Calibri" w:cs="Arial"/>
          <w:sz w:val="24"/>
          <w:szCs w:val="24"/>
          <w:lang w:val="en-GB" w:eastAsia="en-US"/>
        </w:rPr>
      </w:pPr>
      <w:r w:rsidRPr="00064332">
        <w:rPr>
          <w:rFonts w:eastAsia="Calibri" w:cs="Arial"/>
          <w:sz w:val="24"/>
          <w:szCs w:val="24"/>
          <w:lang w:val="en-GB" w:eastAsia="en-US"/>
        </w:rPr>
        <w:t>the Deputy Secretary-General of the European Schools (chairman),</w:t>
      </w:r>
    </w:p>
    <w:p w:rsidR="00064332" w:rsidRPr="00064332" w:rsidRDefault="00064332" w:rsidP="00064332">
      <w:pPr>
        <w:pStyle w:val="ListParagraph"/>
        <w:numPr>
          <w:ilvl w:val="0"/>
          <w:numId w:val="32"/>
        </w:numPr>
        <w:spacing w:before="60" w:after="60"/>
        <w:rPr>
          <w:rFonts w:eastAsia="Calibri" w:cs="Arial"/>
          <w:sz w:val="24"/>
          <w:szCs w:val="24"/>
          <w:lang w:val="en-GB" w:eastAsia="en-US"/>
        </w:rPr>
      </w:pPr>
      <w:r w:rsidRPr="00064332">
        <w:rPr>
          <w:rFonts w:eastAsia="Calibri" w:cs="Arial"/>
          <w:sz w:val="24"/>
          <w:szCs w:val="24"/>
          <w:lang w:val="en-GB" w:eastAsia="en-US"/>
        </w:rPr>
        <w:t>a representative of the EU Commission,</w:t>
      </w:r>
    </w:p>
    <w:p w:rsidR="00064332" w:rsidRPr="00064332" w:rsidRDefault="00064332" w:rsidP="00064332">
      <w:pPr>
        <w:pStyle w:val="ListParagraph"/>
        <w:numPr>
          <w:ilvl w:val="0"/>
          <w:numId w:val="32"/>
        </w:numPr>
        <w:spacing w:before="60" w:after="60"/>
        <w:rPr>
          <w:rFonts w:eastAsia="Calibri" w:cs="Arial"/>
          <w:sz w:val="24"/>
          <w:szCs w:val="24"/>
          <w:lang w:val="en-GB" w:eastAsia="en-US"/>
        </w:rPr>
      </w:pPr>
      <w:r w:rsidRPr="00064332">
        <w:rPr>
          <w:rFonts w:eastAsia="Calibri" w:cs="Arial"/>
          <w:sz w:val="24"/>
          <w:szCs w:val="24"/>
          <w:lang w:val="en-GB" w:eastAsia="en-US"/>
        </w:rPr>
        <w:t>three representatives of the Board of Governors (troika),</w:t>
      </w:r>
    </w:p>
    <w:p w:rsidR="00064332" w:rsidRPr="00064332" w:rsidRDefault="00064332" w:rsidP="00064332">
      <w:pPr>
        <w:pStyle w:val="ListParagraph"/>
        <w:numPr>
          <w:ilvl w:val="0"/>
          <w:numId w:val="32"/>
        </w:numPr>
        <w:spacing w:before="60" w:after="60"/>
        <w:rPr>
          <w:rFonts w:eastAsia="Calibri" w:cs="Arial"/>
          <w:sz w:val="24"/>
          <w:szCs w:val="24"/>
          <w:lang w:val="en-GB" w:eastAsia="en-US"/>
        </w:rPr>
      </w:pPr>
      <w:r w:rsidRPr="00064332">
        <w:rPr>
          <w:rFonts w:eastAsia="Calibri" w:cs="Arial"/>
          <w:sz w:val="24"/>
          <w:szCs w:val="24"/>
          <w:lang w:val="en-GB" w:eastAsia="en-US"/>
        </w:rPr>
        <w:t>a representative of the Directors,</w:t>
      </w:r>
    </w:p>
    <w:p w:rsidR="00064332" w:rsidRPr="00064332" w:rsidRDefault="00064332" w:rsidP="00064332">
      <w:pPr>
        <w:pStyle w:val="ListParagraph"/>
        <w:numPr>
          <w:ilvl w:val="0"/>
          <w:numId w:val="32"/>
        </w:numPr>
        <w:spacing w:before="60" w:after="60"/>
        <w:rPr>
          <w:rFonts w:eastAsia="Calibri" w:cs="Arial"/>
          <w:sz w:val="24"/>
          <w:szCs w:val="24"/>
          <w:lang w:val="en-GB" w:eastAsia="en-US"/>
        </w:rPr>
      </w:pPr>
      <w:r w:rsidRPr="00064332">
        <w:rPr>
          <w:rFonts w:eastAsia="Calibri" w:cs="Arial"/>
          <w:sz w:val="24"/>
          <w:szCs w:val="24"/>
          <w:lang w:val="en-GB" w:eastAsia="en-US"/>
        </w:rPr>
        <w:t>a representative of the Board of Inspectors,</w:t>
      </w:r>
    </w:p>
    <w:p w:rsidR="00064332" w:rsidRPr="00064332" w:rsidRDefault="00064332" w:rsidP="00064332">
      <w:pPr>
        <w:pStyle w:val="ListParagraph"/>
        <w:numPr>
          <w:ilvl w:val="0"/>
          <w:numId w:val="32"/>
        </w:numPr>
        <w:spacing w:before="60" w:after="60"/>
        <w:rPr>
          <w:rFonts w:eastAsia="Calibri" w:cs="Arial"/>
          <w:sz w:val="24"/>
          <w:szCs w:val="24"/>
          <w:lang w:val="en-GB" w:eastAsia="en-US"/>
        </w:rPr>
      </w:pPr>
      <w:r w:rsidRPr="00064332">
        <w:rPr>
          <w:rFonts w:eastAsia="Calibri" w:cs="Arial"/>
          <w:sz w:val="24"/>
          <w:szCs w:val="24"/>
          <w:lang w:val="en-GB" w:eastAsia="en-US"/>
        </w:rPr>
        <w:t>a representative of the seconded teaching staff,</w:t>
      </w:r>
    </w:p>
    <w:p w:rsidR="00064332" w:rsidRPr="00064332" w:rsidRDefault="00064332" w:rsidP="00064332">
      <w:pPr>
        <w:pStyle w:val="ListParagraph"/>
        <w:numPr>
          <w:ilvl w:val="0"/>
          <w:numId w:val="32"/>
        </w:numPr>
        <w:spacing w:before="60" w:after="60"/>
        <w:rPr>
          <w:rFonts w:eastAsia="Calibri" w:cs="Arial"/>
          <w:sz w:val="24"/>
          <w:szCs w:val="24"/>
          <w:lang w:val="en-GB" w:eastAsia="en-US"/>
        </w:rPr>
      </w:pPr>
      <w:r w:rsidRPr="00064332">
        <w:rPr>
          <w:rFonts w:eastAsia="Calibri" w:cs="Arial"/>
          <w:sz w:val="24"/>
          <w:szCs w:val="24"/>
          <w:lang w:val="en-GB" w:eastAsia="en-US"/>
        </w:rPr>
        <w:t>a representative of the locally recruited teaching staff,</w:t>
      </w:r>
    </w:p>
    <w:p w:rsidR="00064332" w:rsidRPr="00064332" w:rsidRDefault="00064332" w:rsidP="00064332">
      <w:pPr>
        <w:pStyle w:val="ListParagraph"/>
        <w:numPr>
          <w:ilvl w:val="0"/>
          <w:numId w:val="32"/>
        </w:numPr>
        <w:spacing w:before="60" w:after="60"/>
        <w:rPr>
          <w:rFonts w:eastAsia="Calibri" w:cs="Arial"/>
          <w:sz w:val="24"/>
          <w:szCs w:val="24"/>
          <w:lang w:val="en-GB" w:eastAsia="en-US"/>
        </w:rPr>
      </w:pPr>
      <w:r w:rsidRPr="00064332">
        <w:rPr>
          <w:rFonts w:eastAsia="Calibri" w:cs="Arial"/>
          <w:sz w:val="24"/>
          <w:szCs w:val="24"/>
          <w:lang w:val="en-GB" w:eastAsia="en-US"/>
        </w:rPr>
        <w:t>a</w:t>
      </w:r>
      <w:r w:rsidR="00501ACE">
        <w:rPr>
          <w:rFonts w:eastAsia="Calibri" w:cs="Arial"/>
          <w:sz w:val="24"/>
          <w:szCs w:val="24"/>
          <w:lang w:val="en-GB" w:eastAsia="en-US"/>
        </w:rPr>
        <w:t xml:space="preserve"> representative of Interparents,</w:t>
      </w:r>
    </w:p>
    <w:p w:rsidR="00064332" w:rsidRPr="00064332" w:rsidRDefault="00064332" w:rsidP="00064332">
      <w:pPr>
        <w:spacing w:before="60" w:after="60"/>
        <w:rPr>
          <w:rFonts w:eastAsia="Calibri" w:cs="Arial"/>
          <w:sz w:val="24"/>
          <w:szCs w:val="24"/>
          <w:lang w:val="en-GB" w:eastAsia="en-US"/>
        </w:rPr>
      </w:pPr>
    </w:p>
    <w:p w:rsidR="00064332" w:rsidRDefault="00855CC1" w:rsidP="00965B27">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provided five R</w:t>
      </w:r>
      <w:r w:rsidR="00064332">
        <w:rPr>
          <w:rFonts w:cs="Arial"/>
          <w:color w:val="000000"/>
          <w:sz w:val="24"/>
          <w:szCs w:val="24"/>
          <w:lang w:val="en-GB"/>
        </w:rPr>
        <w:t>eports to the Board of Governors.</w:t>
      </w:r>
    </w:p>
    <w:p w:rsidR="00064332" w:rsidRDefault="00064332" w:rsidP="00965B27">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064332" w:rsidRPr="00B45C16" w:rsidRDefault="00064332" w:rsidP="00064332">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r>
        <w:rPr>
          <w:rFonts w:cs="Arial"/>
          <w:color w:val="000000"/>
          <w:sz w:val="24"/>
          <w:szCs w:val="24"/>
          <w:lang w:val="en-GB"/>
        </w:rPr>
        <w:t>Based on the ‘Fifth Report of the BREXIT Working Group’</w:t>
      </w:r>
      <w:r w:rsidR="00272665">
        <w:rPr>
          <w:rStyle w:val="FootnoteReference"/>
          <w:rFonts w:cs="Arial"/>
          <w:color w:val="000000"/>
          <w:sz w:val="24"/>
          <w:szCs w:val="24"/>
          <w:lang w:val="en-GB"/>
        </w:rPr>
        <w:footnoteReference w:id="3"/>
      </w:r>
      <w:r>
        <w:rPr>
          <w:rFonts w:cs="Arial"/>
          <w:color w:val="000000"/>
          <w:sz w:val="24"/>
          <w:szCs w:val="24"/>
          <w:lang w:val="en-GB"/>
        </w:rPr>
        <w:t xml:space="preserve"> the Board Governors mandated at its meeting in December 2019 the BREXIT Working Group </w:t>
      </w:r>
      <w:r w:rsidRPr="00B45C16">
        <w:rPr>
          <w:rFonts w:cs="Arial"/>
          <w:b/>
          <w:color w:val="000000"/>
          <w:sz w:val="24"/>
          <w:szCs w:val="24"/>
          <w:lang w:val="en-GB"/>
        </w:rPr>
        <w:t>“</w:t>
      </w:r>
      <w:r w:rsidRPr="00B45C16">
        <w:rPr>
          <w:b/>
          <w:color w:val="000000"/>
          <w:sz w:val="24"/>
          <w:szCs w:val="24"/>
          <w:lang w:val="en-GB"/>
        </w:rPr>
        <w:t>to further explore ways to mitigate the risks linked to a BREXIT with and without a Withdrawal Agreement”.</w:t>
      </w:r>
    </w:p>
    <w:p w:rsidR="00064332" w:rsidRDefault="00064332" w:rsidP="00965B27">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064332" w:rsidRDefault="00501ACE" w:rsidP="00965B27">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The ‘Sixth Report of the BREXIT Working Group’ </w:t>
      </w:r>
      <w:r w:rsidR="00B45C16">
        <w:rPr>
          <w:rFonts w:cs="Arial"/>
          <w:color w:val="000000"/>
          <w:sz w:val="24"/>
          <w:szCs w:val="24"/>
          <w:lang w:val="en-GB"/>
        </w:rPr>
        <w:t>only refer</w:t>
      </w:r>
      <w:r w:rsidR="00855CC1">
        <w:rPr>
          <w:rFonts w:cs="Arial"/>
          <w:color w:val="000000"/>
          <w:sz w:val="24"/>
          <w:szCs w:val="24"/>
          <w:lang w:val="en-GB"/>
        </w:rPr>
        <w:t>s</w:t>
      </w:r>
      <w:r w:rsidR="00B45C16">
        <w:rPr>
          <w:rFonts w:cs="Arial"/>
          <w:color w:val="000000"/>
          <w:sz w:val="24"/>
          <w:szCs w:val="24"/>
          <w:lang w:val="en-GB"/>
        </w:rPr>
        <w:t xml:space="preserve"> to the final scenario (BREXIT with a Withdrawal Agreement) and </w:t>
      </w:r>
      <w:r w:rsidR="00754032">
        <w:rPr>
          <w:rFonts w:cs="Arial"/>
          <w:color w:val="000000"/>
          <w:sz w:val="24"/>
          <w:szCs w:val="24"/>
          <w:lang w:val="en-GB"/>
        </w:rPr>
        <w:t>does</w:t>
      </w:r>
    </w:p>
    <w:p w:rsidR="00501ACE" w:rsidRDefault="00501ACE" w:rsidP="00501ACE">
      <w:pPr>
        <w:pStyle w:val="ListParagraph"/>
        <w:numPr>
          <w:ilvl w:val="0"/>
          <w:numId w:val="5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provide a summary on the</w:t>
      </w:r>
      <w:r w:rsidR="00CD7256">
        <w:rPr>
          <w:rFonts w:cs="Arial"/>
          <w:color w:val="000000"/>
          <w:sz w:val="24"/>
          <w:szCs w:val="24"/>
          <w:lang w:val="en-GB"/>
        </w:rPr>
        <w:t xml:space="preserve"> general</w:t>
      </w:r>
      <w:r>
        <w:rPr>
          <w:rFonts w:cs="Arial"/>
          <w:color w:val="000000"/>
          <w:sz w:val="24"/>
          <w:szCs w:val="24"/>
          <w:lang w:val="en-GB"/>
        </w:rPr>
        <w:t xml:space="preserve"> legal consequences of the BREXIT</w:t>
      </w:r>
      <w:r w:rsidR="00B45C16">
        <w:rPr>
          <w:rFonts w:cs="Arial"/>
          <w:color w:val="000000"/>
          <w:sz w:val="24"/>
          <w:szCs w:val="24"/>
          <w:lang w:val="en-GB"/>
        </w:rPr>
        <w:t xml:space="preserve"> with a Withdrawal Agreement</w:t>
      </w:r>
      <w:r>
        <w:rPr>
          <w:rFonts w:cs="Arial"/>
          <w:color w:val="000000"/>
          <w:sz w:val="24"/>
          <w:szCs w:val="24"/>
          <w:lang w:val="en-GB"/>
        </w:rPr>
        <w:t>,</w:t>
      </w:r>
    </w:p>
    <w:p w:rsidR="00CD7256" w:rsidRDefault="00CD7256" w:rsidP="00501ACE">
      <w:pPr>
        <w:pStyle w:val="ListParagraph"/>
        <w:numPr>
          <w:ilvl w:val="0"/>
          <w:numId w:val="5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illustrate the impact </w:t>
      </w:r>
      <w:r w:rsidR="00B45C16">
        <w:rPr>
          <w:rFonts w:cs="Arial"/>
          <w:color w:val="000000"/>
          <w:sz w:val="24"/>
          <w:szCs w:val="24"/>
          <w:lang w:val="en-GB"/>
        </w:rPr>
        <w:t xml:space="preserve">of the BREXIT </w:t>
      </w:r>
      <w:r>
        <w:rPr>
          <w:rFonts w:cs="Arial"/>
          <w:color w:val="000000"/>
          <w:sz w:val="24"/>
          <w:szCs w:val="24"/>
          <w:lang w:val="en-GB"/>
        </w:rPr>
        <w:t>on the staffing,</w:t>
      </w:r>
    </w:p>
    <w:p w:rsidR="00CD7256" w:rsidRDefault="00501ACE" w:rsidP="00501ACE">
      <w:pPr>
        <w:pStyle w:val="ListParagraph"/>
        <w:numPr>
          <w:ilvl w:val="0"/>
          <w:numId w:val="5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summarize the legal statu</w:t>
      </w:r>
      <w:r w:rsidR="00B45C16">
        <w:rPr>
          <w:rFonts w:cs="Arial"/>
          <w:color w:val="000000"/>
          <w:sz w:val="24"/>
          <w:szCs w:val="24"/>
          <w:lang w:val="en-GB"/>
        </w:rPr>
        <w:t>s of the staff of the European S</w:t>
      </w:r>
      <w:r>
        <w:rPr>
          <w:rFonts w:cs="Arial"/>
          <w:color w:val="000000"/>
          <w:sz w:val="24"/>
          <w:szCs w:val="24"/>
          <w:lang w:val="en-GB"/>
        </w:rPr>
        <w:t>chools with UK nationality</w:t>
      </w:r>
      <w:r w:rsidR="00B45C16">
        <w:rPr>
          <w:rFonts w:cs="Arial"/>
          <w:color w:val="000000"/>
          <w:sz w:val="24"/>
          <w:szCs w:val="24"/>
          <w:lang w:val="en-GB"/>
        </w:rPr>
        <w:t xml:space="preserve"> as of 1 February 2020</w:t>
      </w:r>
      <w:r w:rsidR="00CD7256">
        <w:rPr>
          <w:rFonts w:cs="Arial"/>
          <w:color w:val="000000"/>
          <w:sz w:val="24"/>
          <w:szCs w:val="24"/>
          <w:lang w:val="en-GB"/>
        </w:rPr>
        <w:t>,</w:t>
      </w:r>
    </w:p>
    <w:p w:rsidR="00501ACE" w:rsidRDefault="00CD7256" w:rsidP="00501ACE">
      <w:pPr>
        <w:pStyle w:val="ListParagraph"/>
        <w:numPr>
          <w:ilvl w:val="0"/>
          <w:numId w:val="5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illustrate the impact </w:t>
      </w:r>
      <w:r w:rsidR="00B45C16">
        <w:rPr>
          <w:rFonts w:cs="Arial"/>
          <w:color w:val="000000"/>
          <w:sz w:val="24"/>
          <w:szCs w:val="24"/>
          <w:lang w:val="en-GB"/>
        </w:rPr>
        <w:t xml:space="preserve">of the BREXIT </w:t>
      </w:r>
      <w:r>
        <w:rPr>
          <w:rFonts w:cs="Arial"/>
          <w:color w:val="000000"/>
          <w:sz w:val="24"/>
          <w:szCs w:val="24"/>
          <w:lang w:val="en-GB"/>
        </w:rPr>
        <w:t>on other areas than staffing</w:t>
      </w:r>
      <w:r w:rsidR="00754032">
        <w:rPr>
          <w:rFonts w:cs="Arial"/>
          <w:color w:val="000000"/>
          <w:sz w:val="24"/>
          <w:szCs w:val="24"/>
          <w:lang w:val="en-GB"/>
        </w:rPr>
        <w:t>,</w:t>
      </w:r>
      <w:r w:rsidR="00501ACE">
        <w:rPr>
          <w:rFonts w:cs="Arial"/>
          <w:color w:val="000000"/>
          <w:sz w:val="24"/>
          <w:szCs w:val="24"/>
          <w:lang w:val="en-GB"/>
        </w:rPr>
        <w:t xml:space="preserve"> </w:t>
      </w:r>
    </w:p>
    <w:p w:rsidR="00754032" w:rsidRDefault="00793375" w:rsidP="00501ACE">
      <w:pPr>
        <w:pStyle w:val="ListParagraph"/>
        <w:numPr>
          <w:ilvl w:val="0"/>
          <w:numId w:val="5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provide </w:t>
      </w:r>
      <w:r w:rsidR="00B45C16">
        <w:rPr>
          <w:rFonts w:cs="Arial"/>
          <w:color w:val="000000"/>
          <w:sz w:val="24"/>
          <w:szCs w:val="24"/>
          <w:lang w:val="en-GB"/>
        </w:rPr>
        <w:t xml:space="preserve">first </w:t>
      </w:r>
      <w:r>
        <w:rPr>
          <w:rFonts w:cs="Arial"/>
          <w:color w:val="000000"/>
          <w:sz w:val="24"/>
          <w:szCs w:val="24"/>
          <w:lang w:val="en-GB"/>
        </w:rPr>
        <w:t>proposals to mitigate the risks linked to the consequences of the BREXIT after the end of the transitory period (31 August 2021)</w:t>
      </w:r>
      <w:r w:rsidR="00754032">
        <w:rPr>
          <w:rFonts w:cs="Arial"/>
          <w:color w:val="000000"/>
          <w:sz w:val="24"/>
          <w:szCs w:val="24"/>
          <w:lang w:val="en-GB"/>
        </w:rPr>
        <w:t xml:space="preserve"> and</w:t>
      </w:r>
    </w:p>
    <w:p w:rsidR="00501ACE" w:rsidRDefault="00754032" w:rsidP="00501ACE">
      <w:pPr>
        <w:pStyle w:val="ListParagraph"/>
        <w:numPr>
          <w:ilvl w:val="0"/>
          <w:numId w:val="5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provide a draft mandate for the Secretary-General and the BREXIT Working Group to be approved by the Board of Governors in April 2020</w:t>
      </w:r>
      <w:r w:rsidR="00793375">
        <w:rPr>
          <w:rFonts w:cs="Arial"/>
          <w:color w:val="000000"/>
          <w:sz w:val="24"/>
          <w:szCs w:val="24"/>
          <w:lang w:val="en-GB"/>
        </w:rPr>
        <w:t>.</w:t>
      </w:r>
    </w:p>
    <w:p w:rsidR="00B70E1E" w:rsidRDefault="00B70E1E"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793375" w:rsidRPr="002E0280" w:rsidRDefault="00793375"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828C2" w:rsidRPr="002E0280" w:rsidRDefault="00CD7256" w:rsidP="004457CE">
      <w:pPr>
        <w:pStyle w:val="ListParagraph"/>
        <w:numPr>
          <w:ilvl w:val="0"/>
          <w:numId w:val="2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Pr>
          <w:rFonts w:cs="Arial"/>
          <w:b/>
          <w:color w:val="000000"/>
          <w:sz w:val="24"/>
          <w:szCs w:val="24"/>
          <w:lang w:val="en-GB"/>
        </w:rPr>
        <w:t>General l</w:t>
      </w:r>
      <w:r w:rsidR="003828C2" w:rsidRPr="002E0280">
        <w:rPr>
          <w:rFonts w:cs="Arial"/>
          <w:b/>
          <w:color w:val="000000"/>
          <w:sz w:val="24"/>
          <w:szCs w:val="24"/>
          <w:lang w:val="en-GB"/>
        </w:rPr>
        <w:t xml:space="preserve">egal </w:t>
      </w:r>
      <w:r w:rsidR="00D066E5">
        <w:rPr>
          <w:rFonts w:cs="Arial"/>
          <w:b/>
          <w:color w:val="000000"/>
          <w:sz w:val="24"/>
          <w:szCs w:val="24"/>
          <w:lang w:val="en-GB"/>
        </w:rPr>
        <w:t xml:space="preserve">consequences of </w:t>
      </w:r>
      <w:r w:rsidR="00BF1951" w:rsidRPr="002E0280">
        <w:rPr>
          <w:rFonts w:cs="Arial"/>
          <w:b/>
          <w:color w:val="000000"/>
          <w:sz w:val="24"/>
          <w:szCs w:val="24"/>
          <w:lang w:val="en-GB"/>
        </w:rPr>
        <w:t xml:space="preserve">the </w:t>
      </w:r>
      <w:r w:rsidR="003828C2" w:rsidRPr="002E0280">
        <w:rPr>
          <w:rFonts w:cs="Arial"/>
          <w:b/>
          <w:color w:val="000000"/>
          <w:sz w:val="24"/>
          <w:szCs w:val="24"/>
          <w:lang w:val="en-GB"/>
        </w:rPr>
        <w:t>BREXIT</w:t>
      </w:r>
    </w:p>
    <w:p w:rsidR="000152CA" w:rsidRPr="002E0280" w:rsidRDefault="000152CA"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
    <w:p w:rsidR="00BC10C3" w:rsidRPr="002E0280" w:rsidRDefault="00BC10C3"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BREXIT Working Group provided</w:t>
      </w:r>
      <w:r w:rsidR="00793375">
        <w:rPr>
          <w:rFonts w:cs="Arial"/>
          <w:color w:val="000000"/>
          <w:sz w:val="24"/>
          <w:szCs w:val="24"/>
          <w:lang w:val="en-GB"/>
        </w:rPr>
        <w:t xml:space="preserve"> already</w:t>
      </w:r>
      <w:r w:rsidRPr="002E0280">
        <w:rPr>
          <w:rFonts w:cs="Arial"/>
          <w:color w:val="000000"/>
          <w:sz w:val="24"/>
          <w:szCs w:val="24"/>
          <w:lang w:val="en-GB"/>
        </w:rPr>
        <w:t xml:space="preserve"> in its </w:t>
      </w:r>
      <w:r w:rsidR="00D06E21" w:rsidRPr="002E0280">
        <w:rPr>
          <w:rFonts w:cs="Arial"/>
          <w:color w:val="000000"/>
          <w:sz w:val="24"/>
          <w:szCs w:val="24"/>
          <w:lang w:val="en-GB"/>
        </w:rPr>
        <w:t xml:space="preserve">previous </w:t>
      </w:r>
      <w:r w:rsidR="007D6F9B" w:rsidRPr="002E0280">
        <w:rPr>
          <w:rFonts w:cs="Arial"/>
          <w:color w:val="000000"/>
          <w:sz w:val="24"/>
          <w:szCs w:val="24"/>
          <w:lang w:val="en-GB"/>
        </w:rPr>
        <w:t>f</w:t>
      </w:r>
      <w:r w:rsidR="00793375">
        <w:rPr>
          <w:rFonts w:cs="Arial"/>
          <w:color w:val="000000"/>
          <w:sz w:val="24"/>
          <w:szCs w:val="24"/>
          <w:lang w:val="en-GB"/>
        </w:rPr>
        <w:t>ive</w:t>
      </w:r>
      <w:r w:rsidR="00D06E21" w:rsidRPr="002E0280">
        <w:rPr>
          <w:rFonts w:cs="Arial"/>
          <w:color w:val="000000"/>
          <w:sz w:val="24"/>
          <w:szCs w:val="24"/>
          <w:lang w:val="en-GB"/>
        </w:rPr>
        <w:t xml:space="preserve"> </w:t>
      </w:r>
      <w:r w:rsidRPr="002E0280">
        <w:rPr>
          <w:rFonts w:cs="Arial"/>
          <w:color w:val="000000"/>
          <w:sz w:val="24"/>
          <w:szCs w:val="24"/>
          <w:lang w:val="en-GB"/>
        </w:rPr>
        <w:t>report</w:t>
      </w:r>
      <w:r w:rsidR="00B70E1E" w:rsidRPr="002E0280">
        <w:rPr>
          <w:rFonts w:cs="Arial"/>
          <w:color w:val="000000"/>
          <w:sz w:val="24"/>
          <w:szCs w:val="24"/>
          <w:lang w:val="en-GB"/>
        </w:rPr>
        <w:t>s</w:t>
      </w:r>
      <w:r w:rsidRPr="002E0280">
        <w:rPr>
          <w:rFonts w:cs="Arial"/>
          <w:color w:val="000000"/>
          <w:sz w:val="24"/>
          <w:szCs w:val="24"/>
          <w:lang w:val="en-GB"/>
        </w:rPr>
        <w:t xml:space="preserve"> an overview on the legal consequences of the BREXIT.</w:t>
      </w:r>
    </w:p>
    <w:p w:rsidR="00793375" w:rsidRDefault="00793375"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As the BREXIT with a Withdrawal Agreement has become a fact this report only summarizes the consequences of the BREXIT with a Withdrawal Agreement.</w:t>
      </w:r>
      <w:r w:rsidR="00D066E5">
        <w:rPr>
          <w:rFonts w:cs="Arial"/>
          <w:color w:val="000000"/>
          <w:sz w:val="24"/>
          <w:szCs w:val="24"/>
          <w:lang w:val="en-GB"/>
        </w:rPr>
        <w:t xml:space="preserve"> It does not repeat </w:t>
      </w:r>
      <w:r w:rsidR="00E872E4">
        <w:rPr>
          <w:rFonts w:cs="Arial"/>
          <w:color w:val="000000"/>
          <w:sz w:val="24"/>
          <w:szCs w:val="24"/>
          <w:lang w:val="en-GB"/>
        </w:rPr>
        <w:t xml:space="preserve">the discussions linked to </w:t>
      </w:r>
      <w:r w:rsidR="00D066E5">
        <w:rPr>
          <w:rFonts w:cs="Arial"/>
          <w:color w:val="000000"/>
          <w:sz w:val="24"/>
          <w:szCs w:val="24"/>
          <w:lang w:val="en-GB"/>
        </w:rPr>
        <w:t>the different interpretation of the Convention defining the Statute of the European Schools illustrated in previous reports.</w:t>
      </w:r>
    </w:p>
    <w:p w:rsidR="00D066E5" w:rsidRDefault="00D066E5"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AA6BE2" w:rsidRPr="002E0280" w:rsidRDefault="00C15FC2"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noProof/>
          <w:lang w:val="en-US" w:eastAsia="en-US"/>
        </w:rPr>
        <w:lastRenderedPageBreak/>
        <mc:AlternateContent>
          <mc:Choice Requires="wps">
            <w:drawing>
              <wp:anchor distT="45720" distB="45720" distL="114300" distR="114300" simplePos="0" relativeHeight="251659264" behindDoc="0" locked="0" layoutInCell="1" allowOverlap="1">
                <wp:simplePos x="0" y="0"/>
                <wp:positionH relativeFrom="column">
                  <wp:posOffset>6350</wp:posOffset>
                </wp:positionH>
                <wp:positionV relativeFrom="paragraph">
                  <wp:posOffset>433070</wp:posOffset>
                </wp:positionV>
                <wp:extent cx="5662295" cy="1404620"/>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rgbClr val="FFFFFF"/>
                        </a:solidFill>
                        <a:ln w="9525">
                          <a:solidFill>
                            <a:srgbClr val="000000"/>
                          </a:solidFill>
                          <a:miter lim="800000"/>
                          <a:headEnd/>
                          <a:tailEnd/>
                        </a:ln>
                      </wps:spPr>
                      <wps:txbx>
                        <w:txbxContent>
                          <w:p w:rsidR="00FF1270" w:rsidRPr="00D50C8E" w:rsidRDefault="00FF1270">
                            <w:pPr>
                              <w:rPr>
                                <w:b/>
                                <w:sz w:val="24"/>
                                <w:szCs w:val="24"/>
                                <w:lang w:val="en-GB"/>
                              </w:rPr>
                            </w:pPr>
                            <w:r w:rsidRPr="00D50C8E">
                              <w:rPr>
                                <w:b/>
                                <w:sz w:val="24"/>
                                <w:szCs w:val="24"/>
                                <w:u w:val="single"/>
                                <w:lang w:val="en-GB"/>
                              </w:rPr>
                              <w:t xml:space="preserve">Main consequences of </w:t>
                            </w:r>
                            <w:r>
                              <w:rPr>
                                <w:b/>
                                <w:sz w:val="24"/>
                                <w:szCs w:val="24"/>
                                <w:u w:val="single"/>
                                <w:lang w:val="en-GB"/>
                              </w:rPr>
                              <w:t>the BREXIT</w:t>
                            </w:r>
                            <w:r w:rsidRPr="00B45C16">
                              <w:rPr>
                                <w:b/>
                                <w:sz w:val="24"/>
                                <w:szCs w:val="24"/>
                                <w:lang w:val="en-GB"/>
                              </w:rPr>
                              <w:t xml:space="preserve"> </w:t>
                            </w:r>
                            <w:r w:rsidRPr="00D50C8E">
                              <w:rPr>
                                <w:b/>
                                <w:sz w:val="24"/>
                                <w:szCs w:val="24"/>
                                <w:lang w:val="en-GB"/>
                              </w:rPr>
                              <w:t xml:space="preserve">under the Withdrawal Agreement, including </w:t>
                            </w:r>
                            <w:r w:rsidRPr="00D50C8E">
                              <w:rPr>
                                <w:b/>
                                <w:sz w:val="24"/>
                                <w:szCs w:val="24"/>
                                <w:u w:val="single"/>
                                <w:lang w:val="en-GB"/>
                              </w:rPr>
                              <w:t>for the European Schools</w:t>
                            </w:r>
                            <w:r w:rsidRPr="00D50C8E">
                              <w:rPr>
                                <w:b/>
                                <w:sz w:val="24"/>
                                <w:szCs w:val="24"/>
                                <w:lang w:val="en-GB"/>
                              </w:rPr>
                              <w:t xml:space="preserve"> a transition period until </w:t>
                            </w:r>
                            <w:r w:rsidRPr="00D50C8E">
                              <w:rPr>
                                <w:b/>
                                <w:sz w:val="24"/>
                                <w:szCs w:val="24"/>
                                <w:u w:val="single"/>
                                <w:lang w:val="en-GB"/>
                              </w:rPr>
                              <w:t>31 August 2021</w:t>
                            </w:r>
                          </w:p>
                          <w:p w:rsidR="00FF1270" w:rsidRPr="00D50C8E" w:rsidRDefault="00FF1270">
                            <w:pPr>
                              <w:rPr>
                                <w:sz w:val="24"/>
                                <w:szCs w:val="24"/>
                                <w:lang w:val="en-GB"/>
                              </w:rPr>
                            </w:pPr>
                          </w:p>
                          <w:p w:rsidR="00FF1270" w:rsidRPr="00D50C8E" w:rsidRDefault="00FF1270" w:rsidP="00BF097C">
                            <w:pPr>
                              <w:pStyle w:val="ListParagraph"/>
                              <w:numPr>
                                <w:ilvl w:val="0"/>
                                <w:numId w:val="37"/>
                              </w:numPr>
                              <w:rPr>
                                <w:i/>
                                <w:sz w:val="24"/>
                                <w:szCs w:val="24"/>
                                <w:lang w:val="en-GB"/>
                              </w:rPr>
                            </w:pPr>
                            <w:r w:rsidRPr="00D50C8E">
                              <w:rPr>
                                <w:b/>
                                <w:i/>
                                <w:color w:val="000000"/>
                                <w:sz w:val="24"/>
                                <w:szCs w:val="24"/>
                                <w:lang w:val="en-GB"/>
                              </w:rPr>
                              <w:t>“The United Kingdom shall be bound by the Convention defining the Statute of the European Schools, as well as by the Regulations on Accredited European Schools adopted by the Board of Governors of the European Schools, until the end of the school year that is ongoing at the end of the transition period.”</w:t>
                            </w:r>
                          </w:p>
                          <w:p w:rsidR="00FF1270" w:rsidRPr="00D50C8E" w:rsidRDefault="00FF1270" w:rsidP="00C15FC2">
                            <w:pPr>
                              <w:pStyle w:val="ListParagraph"/>
                              <w:ind w:left="360"/>
                              <w:rPr>
                                <w:sz w:val="24"/>
                                <w:szCs w:val="24"/>
                                <w:lang w:val="en-GB"/>
                              </w:rPr>
                            </w:pPr>
                          </w:p>
                          <w:p w:rsidR="00FF1270" w:rsidRPr="00D50C8E" w:rsidRDefault="00FF1270" w:rsidP="00C15FC2">
                            <w:pPr>
                              <w:pStyle w:val="ListParagraph"/>
                              <w:ind w:left="360"/>
                              <w:rPr>
                                <w:sz w:val="24"/>
                                <w:szCs w:val="24"/>
                                <w:lang w:val="en-GB"/>
                              </w:rPr>
                            </w:pPr>
                          </w:p>
                          <w:p w:rsidR="00FF1270" w:rsidRPr="00D50C8E" w:rsidRDefault="00FF1270" w:rsidP="004457CE">
                            <w:pPr>
                              <w:pStyle w:val="ListParagraph"/>
                              <w:ind w:left="360"/>
                              <w:rPr>
                                <w:b/>
                                <w:sz w:val="24"/>
                                <w:szCs w:val="24"/>
                                <w:lang w:val="en-GB"/>
                              </w:rPr>
                            </w:pPr>
                            <w:r w:rsidRPr="00D50C8E">
                              <w:rPr>
                                <w:b/>
                                <w:sz w:val="24"/>
                                <w:szCs w:val="24"/>
                                <w:lang w:val="en-GB"/>
                              </w:rPr>
                              <w:t>This means in particular:</w:t>
                            </w:r>
                          </w:p>
                          <w:p w:rsidR="00FF1270" w:rsidRPr="00D50C8E" w:rsidRDefault="00FF1270" w:rsidP="00C15FC2">
                            <w:pPr>
                              <w:pStyle w:val="ListParagraph"/>
                              <w:rPr>
                                <w:b/>
                                <w:sz w:val="24"/>
                                <w:szCs w:val="24"/>
                                <w:lang w:val="en-GB"/>
                              </w:rPr>
                            </w:pPr>
                          </w:p>
                          <w:p w:rsidR="00FF1270" w:rsidRPr="00D50C8E" w:rsidRDefault="00FF1270" w:rsidP="00BF097C">
                            <w:pPr>
                              <w:pStyle w:val="ListParagraph"/>
                              <w:numPr>
                                <w:ilvl w:val="0"/>
                                <w:numId w:val="38"/>
                              </w:numPr>
                              <w:rPr>
                                <w:b/>
                                <w:sz w:val="24"/>
                                <w:szCs w:val="24"/>
                                <w:lang w:val="en-GB"/>
                              </w:rPr>
                            </w:pPr>
                            <w:r w:rsidRPr="00D50C8E">
                              <w:rPr>
                                <w:sz w:val="24"/>
                                <w:szCs w:val="24"/>
                                <w:lang w:val="en-GB"/>
                              </w:rPr>
                              <w:t>The UK will maintain its obligation to contribute to the system of the European Schools by seconding staff until 31 August 2021.</w:t>
                            </w:r>
                          </w:p>
                          <w:p w:rsidR="00FF1270" w:rsidRPr="00D50C8E" w:rsidRDefault="00FF1270" w:rsidP="00BF097C">
                            <w:pPr>
                              <w:pStyle w:val="ListParagraph"/>
                              <w:numPr>
                                <w:ilvl w:val="0"/>
                                <w:numId w:val="38"/>
                              </w:numPr>
                              <w:tabs>
                                <w:tab w:val="left" w:pos="810"/>
                              </w:tabs>
                              <w:rPr>
                                <w:b/>
                                <w:sz w:val="24"/>
                                <w:szCs w:val="24"/>
                                <w:lang w:val="en-GB"/>
                              </w:rPr>
                            </w:pPr>
                            <w:r w:rsidRPr="00D50C8E">
                              <w:rPr>
                                <w:sz w:val="24"/>
                                <w:szCs w:val="24"/>
                                <w:lang w:val="en-GB"/>
                              </w:rPr>
                              <w:t xml:space="preserve">The UK will </w:t>
                            </w:r>
                            <w:r>
                              <w:rPr>
                                <w:sz w:val="24"/>
                                <w:szCs w:val="24"/>
                                <w:lang w:val="en-GB"/>
                              </w:rPr>
                              <w:t>continue</w:t>
                            </w:r>
                            <w:r w:rsidRPr="00D50C8E">
                              <w:rPr>
                                <w:sz w:val="24"/>
                                <w:szCs w:val="24"/>
                                <w:lang w:val="en-GB"/>
                              </w:rPr>
                              <w:t xml:space="preserve"> to contribute with two national inspectors to the system of the European Schools until the end of the 2020/21 school year.</w:t>
                            </w:r>
                          </w:p>
                          <w:p w:rsidR="00FF1270" w:rsidRPr="00D50C8E" w:rsidRDefault="00FF1270" w:rsidP="00BF097C">
                            <w:pPr>
                              <w:pStyle w:val="ListParagraph"/>
                              <w:numPr>
                                <w:ilvl w:val="0"/>
                                <w:numId w:val="38"/>
                              </w:numPr>
                              <w:rPr>
                                <w:b/>
                                <w:sz w:val="24"/>
                                <w:szCs w:val="24"/>
                                <w:lang w:val="en-GB"/>
                              </w:rPr>
                            </w:pPr>
                            <w:r w:rsidRPr="00D50C8E">
                              <w:rPr>
                                <w:sz w:val="24"/>
                                <w:szCs w:val="24"/>
                                <w:lang w:val="en-GB"/>
                              </w:rPr>
                              <w:t xml:space="preserve">The UK will continue to provide </w:t>
                            </w:r>
                            <w:r>
                              <w:rPr>
                                <w:sz w:val="24"/>
                                <w:szCs w:val="24"/>
                                <w:lang w:val="en-GB"/>
                              </w:rPr>
                              <w:t xml:space="preserve">subject </w:t>
                            </w:r>
                            <w:r w:rsidRPr="00D50C8E">
                              <w:rPr>
                                <w:sz w:val="24"/>
                                <w:szCs w:val="24"/>
                                <w:lang w:val="en-GB"/>
                              </w:rPr>
                              <w:t>experts.</w:t>
                            </w:r>
                          </w:p>
                          <w:p w:rsidR="00FF1270" w:rsidRPr="00D50C8E" w:rsidRDefault="00FF1270" w:rsidP="00B42B09">
                            <w:pPr>
                              <w:pStyle w:val="ListParagraph"/>
                              <w:numPr>
                                <w:ilvl w:val="0"/>
                                <w:numId w:val="38"/>
                              </w:numPr>
                              <w:rPr>
                                <w:b/>
                                <w:sz w:val="24"/>
                                <w:szCs w:val="24"/>
                                <w:lang w:val="en-GB"/>
                              </w:rPr>
                            </w:pPr>
                            <w:r w:rsidRPr="00D50C8E">
                              <w:rPr>
                                <w:sz w:val="24"/>
                                <w:szCs w:val="24"/>
                                <w:lang w:val="en-GB"/>
                              </w:rPr>
                              <w:t xml:space="preserve">The UK delegation </w:t>
                            </w:r>
                            <w:r w:rsidRPr="0002211D">
                              <w:rPr>
                                <w:b/>
                                <w:sz w:val="24"/>
                                <w:szCs w:val="24"/>
                                <w:lang w:val="en-GB"/>
                              </w:rPr>
                              <w:t>m</w:t>
                            </w:r>
                            <w:r>
                              <w:rPr>
                                <w:b/>
                                <w:sz w:val="24"/>
                                <w:szCs w:val="24"/>
                                <w:lang w:val="en-GB"/>
                              </w:rPr>
                              <w:t>ay</w:t>
                            </w:r>
                            <w:r w:rsidRPr="0002211D">
                              <w:rPr>
                                <w:b/>
                                <w:sz w:val="24"/>
                                <w:szCs w:val="24"/>
                                <w:lang w:val="en-GB"/>
                              </w:rPr>
                              <w:t xml:space="preserve"> be invited</w:t>
                            </w:r>
                            <w:r w:rsidRPr="00D50C8E">
                              <w:rPr>
                                <w:sz w:val="24"/>
                                <w:szCs w:val="24"/>
                                <w:lang w:val="en-GB"/>
                              </w:rPr>
                              <w:t xml:space="preserve"> to the Board of Governors and other bodies of the European Schools</w:t>
                            </w:r>
                            <w:r w:rsidR="00B42B09" w:rsidRPr="00B42B09">
                              <w:rPr>
                                <w:sz w:val="24"/>
                                <w:szCs w:val="24"/>
                                <w:lang w:val="en-GB"/>
                              </w:rPr>
                              <w:t xml:space="preserve"> to take part in the discussions on particular points on the agenda only when it is necessary for the functioning of the system of the European Schools and only as observers, </w:t>
                            </w:r>
                            <w:r w:rsidR="00B42B09" w:rsidRPr="00C31CB3">
                              <w:rPr>
                                <w:b/>
                                <w:sz w:val="24"/>
                                <w:szCs w:val="24"/>
                                <w:lang w:val="en-GB"/>
                              </w:rPr>
                              <w:t>i.e. without voting rights</w:t>
                            </w:r>
                            <w:r>
                              <w:rPr>
                                <w:sz w:val="24"/>
                                <w:szCs w:val="24"/>
                                <w:lang w:val="en-GB"/>
                              </w:rPr>
                              <w:t>.</w:t>
                            </w:r>
                          </w:p>
                          <w:p w:rsidR="00FF1270" w:rsidRPr="00D50C8E" w:rsidRDefault="00FF1270" w:rsidP="007313B8">
                            <w:pPr>
                              <w:pStyle w:val="ListParagraph"/>
                              <w:rPr>
                                <w:b/>
                                <w:sz w:val="24"/>
                                <w:szCs w:val="24"/>
                                <w:lang w:val="en-GB"/>
                              </w:rPr>
                            </w:pPr>
                          </w:p>
                          <w:p w:rsidR="00FF1270" w:rsidRPr="00D50C8E" w:rsidRDefault="00FF1270">
                            <w:pPr>
                              <w:rPr>
                                <w:sz w:val="24"/>
                                <w:szCs w:val="24"/>
                                <w:lang w:val="en-GB"/>
                              </w:rPr>
                            </w:pPr>
                          </w:p>
                          <w:p w:rsidR="00FF1270" w:rsidRPr="00D50C8E" w:rsidRDefault="00FF1270" w:rsidP="00BF097C">
                            <w:pPr>
                              <w:pStyle w:val="ListParagraph"/>
                              <w:numPr>
                                <w:ilvl w:val="0"/>
                                <w:numId w:val="37"/>
                              </w:numPr>
                              <w:rPr>
                                <w:sz w:val="24"/>
                                <w:szCs w:val="24"/>
                                <w:lang w:val="en-GB"/>
                              </w:rPr>
                            </w:pPr>
                            <w:r w:rsidRPr="00D50C8E">
                              <w:rPr>
                                <w:b/>
                                <w:i/>
                                <w:color w:val="000000"/>
                                <w:sz w:val="24"/>
                                <w:szCs w:val="24"/>
                                <w:lang w:val="en-GB"/>
                              </w:rPr>
                              <w:t>“The United Kingdom shall, with respect to pupils who before 31 August 2021 acquired a European baccalaureate and to pupils who are enrolled in a cycle of secondary studies in a European School before 31 August 2021 and acquire a European baccalaureate after that date, ensure that they enjoy the rights provided for in Article 5(2) of the Convention defining the Statute of the European Schools.</w:t>
                            </w:r>
                          </w:p>
                          <w:p w:rsidR="00FF1270" w:rsidRPr="00D50C8E" w:rsidRDefault="00FF1270" w:rsidP="004457CE">
                            <w:pPr>
                              <w:ind w:left="360"/>
                              <w:rPr>
                                <w:b/>
                                <w:sz w:val="24"/>
                                <w:szCs w:val="24"/>
                                <w:lang w:val="en-GB"/>
                              </w:rPr>
                            </w:pPr>
                          </w:p>
                          <w:p w:rsidR="00FF1270" w:rsidRPr="00D50C8E" w:rsidRDefault="00FF1270" w:rsidP="004457CE">
                            <w:pPr>
                              <w:ind w:left="360"/>
                              <w:rPr>
                                <w:b/>
                                <w:sz w:val="24"/>
                                <w:szCs w:val="24"/>
                                <w:lang w:val="en-GB"/>
                              </w:rPr>
                            </w:pPr>
                            <w:r w:rsidRPr="00D50C8E">
                              <w:rPr>
                                <w:b/>
                                <w:sz w:val="24"/>
                                <w:szCs w:val="24"/>
                                <w:lang w:val="en-GB"/>
                              </w:rPr>
                              <w:t>This means in particular:</w:t>
                            </w:r>
                          </w:p>
                          <w:p w:rsidR="00FF1270" w:rsidRPr="00D50C8E" w:rsidRDefault="00FF1270" w:rsidP="00BF097C">
                            <w:pPr>
                              <w:pStyle w:val="ListParagraph"/>
                              <w:numPr>
                                <w:ilvl w:val="0"/>
                                <w:numId w:val="39"/>
                              </w:numPr>
                              <w:rPr>
                                <w:sz w:val="24"/>
                                <w:szCs w:val="24"/>
                                <w:lang w:val="en-GB"/>
                              </w:rPr>
                            </w:pPr>
                            <w:r w:rsidRPr="00D50C8E">
                              <w:rPr>
                                <w:sz w:val="24"/>
                                <w:szCs w:val="24"/>
                                <w:lang w:val="en-GB"/>
                              </w:rPr>
                              <w:t xml:space="preserve">The European Baccalaureate will be recognised by the UK for pupils </w:t>
                            </w:r>
                          </w:p>
                          <w:p w:rsidR="00FF1270" w:rsidRPr="00D50C8E" w:rsidRDefault="00FF1270" w:rsidP="00BF097C">
                            <w:pPr>
                              <w:pStyle w:val="ListParagraph"/>
                              <w:numPr>
                                <w:ilvl w:val="0"/>
                                <w:numId w:val="40"/>
                              </w:numPr>
                              <w:rPr>
                                <w:sz w:val="24"/>
                                <w:szCs w:val="24"/>
                                <w:lang w:val="en-GB"/>
                              </w:rPr>
                            </w:pPr>
                            <w:r w:rsidRPr="00D50C8E">
                              <w:rPr>
                                <w:sz w:val="24"/>
                                <w:szCs w:val="24"/>
                                <w:lang w:val="en-GB"/>
                              </w:rPr>
                              <w:t>who have acquired the BAC before 31 August 2021, but also for pupils,</w:t>
                            </w:r>
                          </w:p>
                          <w:p w:rsidR="00FF1270" w:rsidRPr="00D50C8E" w:rsidRDefault="00FF1270" w:rsidP="00BF097C">
                            <w:pPr>
                              <w:pStyle w:val="ListParagraph"/>
                              <w:numPr>
                                <w:ilvl w:val="0"/>
                                <w:numId w:val="40"/>
                              </w:numPr>
                              <w:rPr>
                                <w:sz w:val="24"/>
                                <w:szCs w:val="24"/>
                                <w:lang w:val="en-GB"/>
                              </w:rPr>
                            </w:pPr>
                            <w:r w:rsidRPr="00D50C8E">
                              <w:rPr>
                                <w:sz w:val="24"/>
                                <w:szCs w:val="24"/>
                                <w:lang w:val="en-GB"/>
                              </w:rPr>
                              <w:t xml:space="preserve">who are enrolled in the secondary cycle before 31 August 2021 no matter when they acquire their BAC.  </w:t>
                            </w:r>
                          </w:p>
                          <w:p w:rsidR="00FF1270" w:rsidRPr="00D50C8E" w:rsidRDefault="00FF1270" w:rsidP="00AE0542">
                            <w:pPr>
                              <w:pStyle w:val="ListParagraph"/>
                              <w:ind w:left="1080"/>
                              <w:rPr>
                                <w:sz w:val="24"/>
                                <w:szCs w:val="24"/>
                                <w:lang w:val="en-GB"/>
                              </w:rPr>
                            </w:pPr>
                          </w:p>
                          <w:p w:rsidR="00FF1270" w:rsidRPr="00D50C8E" w:rsidRDefault="00FF1270" w:rsidP="00AE0542">
                            <w:pPr>
                              <w:pStyle w:val="ListParagraph"/>
                              <w:ind w:left="1080"/>
                              <w:rPr>
                                <w:sz w:val="24"/>
                                <w:szCs w:val="24"/>
                                <w:lang w:val="en-GB"/>
                              </w:rPr>
                            </w:pPr>
                          </w:p>
                          <w:p w:rsidR="00FF1270" w:rsidRDefault="00FF1270" w:rsidP="00AE0542">
                            <w:pPr>
                              <w:pStyle w:val="ListParagraph"/>
                              <w:numPr>
                                <w:ilvl w:val="0"/>
                                <w:numId w:val="37"/>
                              </w:numPr>
                              <w:rPr>
                                <w:b/>
                                <w:sz w:val="24"/>
                                <w:szCs w:val="24"/>
                                <w:lang w:val="en-GB"/>
                              </w:rPr>
                            </w:pPr>
                            <w:r w:rsidRPr="00D50C8E">
                              <w:rPr>
                                <w:b/>
                                <w:sz w:val="24"/>
                                <w:szCs w:val="24"/>
                                <w:lang w:val="en-GB"/>
                              </w:rPr>
                              <w:t>Possibility of a prolongation of the transition period for up to one or two years in accordance with Article 132 Withdrawal Agreement.</w:t>
                            </w:r>
                          </w:p>
                          <w:p w:rsidR="00FF1270" w:rsidRPr="00D50C8E" w:rsidRDefault="00FF1270" w:rsidP="00B45C16">
                            <w:pPr>
                              <w:pStyle w:val="ListParagraph"/>
                              <w:ind w:left="360"/>
                              <w:rPr>
                                <w:b/>
                                <w:sz w:val="24"/>
                                <w:szCs w:val="24"/>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34.1pt;width:44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">
                <v:textbox style="mso-fit-shape-to-text:t">
                  <w:txbxContent>
                    <w:p w:rsidR="00FF1270" w:rsidRPr="00D50C8E" w:rsidRDefault="00FF1270">
                      <w:pPr>
                        <w:rPr>
                          <w:b/>
                          <w:sz w:val="24"/>
                          <w:szCs w:val="24"/>
                          <w:lang w:val="en-GB"/>
                        </w:rPr>
                      </w:pPr>
                      <w:r w:rsidRPr="00D50C8E">
                        <w:rPr>
                          <w:b/>
                          <w:sz w:val="24"/>
                          <w:szCs w:val="24"/>
                          <w:u w:val="single"/>
                          <w:lang w:val="en-GB"/>
                        </w:rPr>
                        <w:t xml:space="preserve">Main consequences of </w:t>
                      </w:r>
                      <w:r>
                        <w:rPr>
                          <w:b/>
                          <w:sz w:val="24"/>
                          <w:szCs w:val="24"/>
                          <w:u w:val="single"/>
                          <w:lang w:val="en-GB"/>
                        </w:rPr>
                        <w:t>the BREXIT</w:t>
                      </w:r>
                      <w:r w:rsidRPr="00B45C16">
                        <w:rPr>
                          <w:b/>
                          <w:sz w:val="24"/>
                          <w:szCs w:val="24"/>
                          <w:lang w:val="en-GB"/>
                        </w:rPr>
                        <w:t xml:space="preserve"> </w:t>
                      </w:r>
                      <w:r w:rsidRPr="00D50C8E">
                        <w:rPr>
                          <w:b/>
                          <w:sz w:val="24"/>
                          <w:szCs w:val="24"/>
                          <w:lang w:val="en-GB"/>
                        </w:rPr>
                        <w:t xml:space="preserve">under the Withdrawal Agreement, including </w:t>
                      </w:r>
                      <w:r w:rsidRPr="00D50C8E">
                        <w:rPr>
                          <w:b/>
                          <w:sz w:val="24"/>
                          <w:szCs w:val="24"/>
                          <w:u w:val="single"/>
                          <w:lang w:val="en-GB"/>
                        </w:rPr>
                        <w:t>for the European Schools</w:t>
                      </w:r>
                      <w:r w:rsidRPr="00D50C8E">
                        <w:rPr>
                          <w:b/>
                          <w:sz w:val="24"/>
                          <w:szCs w:val="24"/>
                          <w:lang w:val="en-GB"/>
                        </w:rPr>
                        <w:t xml:space="preserve"> a transition period until </w:t>
                      </w:r>
                      <w:r w:rsidRPr="00D50C8E">
                        <w:rPr>
                          <w:b/>
                          <w:sz w:val="24"/>
                          <w:szCs w:val="24"/>
                          <w:u w:val="single"/>
                          <w:lang w:val="en-GB"/>
                        </w:rPr>
                        <w:t>31 August 2021</w:t>
                      </w:r>
                    </w:p>
                    <w:p w:rsidR="00FF1270" w:rsidRPr="00D50C8E" w:rsidRDefault="00FF1270">
                      <w:pPr>
                        <w:rPr>
                          <w:sz w:val="24"/>
                          <w:szCs w:val="24"/>
                          <w:lang w:val="en-GB"/>
                        </w:rPr>
                      </w:pPr>
                    </w:p>
                    <w:p w:rsidR="00FF1270" w:rsidRPr="00D50C8E" w:rsidRDefault="00FF1270" w:rsidP="00BF097C">
                      <w:pPr>
                        <w:pStyle w:val="ListParagraph"/>
                        <w:numPr>
                          <w:ilvl w:val="0"/>
                          <w:numId w:val="37"/>
                        </w:numPr>
                        <w:rPr>
                          <w:i/>
                          <w:sz w:val="24"/>
                          <w:szCs w:val="24"/>
                          <w:lang w:val="en-GB"/>
                        </w:rPr>
                      </w:pPr>
                      <w:r w:rsidRPr="00D50C8E">
                        <w:rPr>
                          <w:b/>
                          <w:i/>
                          <w:color w:val="000000"/>
                          <w:sz w:val="24"/>
                          <w:szCs w:val="24"/>
                          <w:lang w:val="en-GB"/>
                        </w:rPr>
                        <w:t>“The United Kingdom shall be bound by the Convention defining the Statute of the European Schools, as well as by the Regulations on Accredited European Schools adopted by the Board of Governors of the European Schools, until the end of the school year that is ongoing at the end of the transition period.”</w:t>
                      </w:r>
                    </w:p>
                    <w:p w:rsidR="00FF1270" w:rsidRPr="00D50C8E" w:rsidRDefault="00FF1270" w:rsidP="00C15FC2">
                      <w:pPr>
                        <w:pStyle w:val="ListParagraph"/>
                        <w:ind w:left="360"/>
                        <w:rPr>
                          <w:sz w:val="24"/>
                          <w:szCs w:val="24"/>
                          <w:lang w:val="en-GB"/>
                        </w:rPr>
                      </w:pPr>
                    </w:p>
                    <w:p w:rsidR="00FF1270" w:rsidRPr="00D50C8E" w:rsidRDefault="00FF1270" w:rsidP="00C15FC2">
                      <w:pPr>
                        <w:pStyle w:val="ListParagraph"/>
                        <w:ind w:left="360"/>
                        <w:rPr>
                          <w:sz w:val="24"/>
                          <w:szCs w:val="24"/>
                          <w:lang w:val="en-GB"/>
                        </w:rPr>
                      </w:pPr>
                    </w:p>
                    <w:p w:rsidR="00FF1270" w:rsidRPr="00D50C8E" w:rsidRDefault="00FF1270" w:rsidP="004457CE">
                      <w:pPr>
                        <w:pStyle w:val="ListParagraph"/>
                        <w:ind w:left="360"/>
                        <w:rPr>
                          <w:b/>
                          <w:sz w:val="24"/>
                          <w:szCs w:val="24"/>
                          <w:lang w:val="en-GB"/>
                        </w:rPr>
                      </w:pPr>
                      <w:r w:rsidRPr="00D50C8E">
                        <w:rPr>
                          <w:b/>
                          <w:sz w:val="24"/>
                          <w:szCs w:val="24"/>
                          <w:lang w:val="en-GB"/>
                        </w:rPr>
                        <w:t>This means in particular:</w:t>
                      </w:r>
                    </w:p>
                    <w:p w:rsidR="00FF1270" w:rsidRPr="00D50C8E" w:rsidRDefault="00FF1270" w:rsidP="00C15FC2">
                      <w:pPr>
                        <w:pStyle w:val="ListParagraph"/>
                        <w:rPr>
                          <w:b/>
                          <w:sz w:val="24"/>
                          <w:szCs w:val="24"/>
                          <w:lang w:val="en-GB"/>
                        </w:rPr>
                      </w:pPr>
                    </w:p>
                    <w:p w:rsidR="00FF1270" w:rsidRPr="00D50C8E" w:rsidRDefault="00FF1270" w:rsidP="00BF097C">
                      <w:pPr>
                        <w:pStyle w:val="ListParagraph"/>
                        <w:numPr>
                          <w:ilvl w:val="0"/>
                          <w:numId w:val="38"/>
                        </w:numPr>
                        <w:rPr>
                          <w:b/>
                          <w:sz w:val="24"/>
                          <w:szCs w:val="24"/>
                          <w:lang w:val="en-GB"/>
                        </w:rPr>
                      </w:pPr>
                      <w:r w:rsidRPr="00D50C8E">
                        <w:rPr>
                          <w:sz w:val="24"/>
                          <w:szCs w:val="24"/>
                          <w:lang w:val="en-GB"/>
                        </w:rPr>
                        <w:t>The UK will maintain its obligation to contribute to the system of the European Schools by seconding staff until 31 August 2021.</w:t>
                      </w:r>
                    </w:p>
                    <w:p w:rsidR="00FF1270" w:rsidRPr="00D50C8E" w:rsidRDefault="00FF1270" w:rsidP="00BF097C">
                      <w:pPr>
                        <w:pStyle w:val="ListParagraph"/>
                        <w:numPr>
                          <w:ilvl w:val="0"/>
                          <w:numId w:val="38"/>
                        </w:numPr>
                        <w:tabs>
                          <w:tab w:val="left" w:pos="810"/>
                        </w:tabs>
                        <w:rPr>
                          <w:b/>
                          <w:sz w:val="24"/>
                          <w:szCs w:val="24"/>
                          <w:lang w:val="en-GB"/>
                        </w:rPr>
                      </w:pPr>
                      <w:r w:rsidRPr="00D50C8E">
                        <w:rPr>
                          <w:sz w:val="24"/>
                          <w:szCs w:val="24"/>
                          <w:lang w:val="en-GB"/>
                        </w:rPr>
                        <w:t xml:space="preserve">The UK will </w:t>
                      </w:r>
                      <w:r>
                        <w:rPr>
                          <w:sz w:val="24"/>
                          <w:szCs w:val="24"/>
                          <w:lang w:val="en-GB"/>
                        </w:rPr>
                        <w:t>continue</w:t>
                      </w:r>
                      <w:r w:rsidRPr="00D50C8E">
                        <w:rPr>
                          <w:sz w:val="24"/>
                          <w:szCs w:val="24"/>
                          <w:lang w:val="en-GB"/>
                        </w:rPr>
                        <w:t xml:space="preserve"> to contribute with two national inspectors to the system of the European Schools until the end of the 2020/21 school year.</w:t>
                      </w:r>
                    </w:p>
                    <w:p w:rsidR="00FF1270" w:rsidRPr="00D50C8E" w:rsidRDefault="00FF1270" w:rsidP="00BF097C">
                      <w:pPr>
                        <w:pStyle w:val="ListParagraph"/>
                        <w:numPr>
                          <w:ilvl w:val="0"/>
                          <w:numId w:val="38"/>
                        </w:numPr>
                        <w:rPr>
                          <w:b/>
                          <w:sz w:val="24"/>
                          <w:szCs w:val="24"/>
                          <w:lang w:val="en-GB"/>
                        </w:rPr>
                      </w:pPr>
                      <w:r w:rsidRPr="00D50C8E">
                        <w:rPr>
                          <w:sz w:val="24"/>
                          <w:szCs w:val="24"/>
                          <w:lang w:val="en-GB"/>
                        </w:rPr>
                        <w:t xml:space="preserve">The UK will continue to provide </w:t>
                      </w:r>
                      <w:r>
                        <w:rPr>
                          <w:sz w:val="24"/>
                          <w:szCs w:val="24"/>
                          <w:lang w:val="en-GB"/>
                        </w:rPr>
                        <w:t xml:space="preserve">subject </w:t>
                      </w:r>
                      <w:r w:rsidRPr="00D50C8E">
                        <w:rPr>
                          <w:sz w:val="24"/>
                          <w:szCs w:val="24"/>
                          <w:lang w:val="en-GB"/>
                        </w:rPr>
                        <w:t>experts.</w:t>
                      </w:r>
                    </w:p>
                    <w:p w:rsidR="00FF1270" w:rsidRPr="00D50C8E" w:rsidRDefault="00FF1270" w:rsidP="00B42B09">
                      <w:pPr>
                        <w:pStyle w:val="ListParagraph"/>
                        <w:numPr>
                          <w:ilvl w:val="0"/>
                          <w:numId w:val="38"/>
                        </w:numPr>
                        <w:rPr>
                          <w:b/>
                          <w:sz w:val="24"/>
                          <w:szCs w:val="24"/>
                          <w:lang w:val="en-GB"/>
                        </w:rPr>
                      </w:pPr>
                      <w:r w:rsidRPr="00D50C8E">
                        <w:rPr>
                          <w:sz w:val="24"/>
                          <w:szCs w:val="24"/>
                          <w:lang w:val="en-GB"/>
                        </w:rPr>
                        <w:t xml:space="preserve">The UK delegation </w:t>
                      </w:r>
                      <w:r w:rsidRPr="0002211D">
                        <w:rPr>
                          <w:b/>
                          <w:sz w:val="24"/>
                          <w:szCs w:val="24"/>
                          <w:lang w:val="en-GB"/>
                        </w:rPr>
                        <w:t>m</w:t>
                      </w:r>
                      <w:r>
                        <w:rPr>
                          <w:b/>
                          <w:sz w:val="24"/>
                          <w:szCs w:val="24"/>
                          <w:lang w:val="en-GB"/>
                        </w:rPr>
                        <w:t>ay</w:t>
                      </w:r>
                      <w:r w:rsidRPr="0002211D">
                        <w:rPr>
                          <w:b/>
                          <w:sz w:val="24"/>
                          <w:szCs w:val="24"/>
                          <w:lang w:val="en-GB"/>
                        </w:rPr>
                        <w:t xml:space="preserve"> be invited</w:t>
                      </w:r>
                      <w:r w:rsidRPr="00D50C8E">
                        <w:rPr>
                          <w:sz w:val="24"/>
                          <w:szCs w:val="24"/>
                          <w:lang w:val="en-GB"/>
                        </w:rPr>
                        <w:t xml:space="preserve"> to the Board of Governors and other bodies of the European Schools</w:t>
                      </w:r>
                      <w:r w:rsidR="00B42B09" w:rsidRPr="00B42B09">
                        <w:rPr>
                          <w:sz w:val="24"/>
                          <w:szCs w:val="24"/>
                          <w:lang w:val="en-GB"/>
                        </w:rPr>
                        <w:t xml:space="preserve"> to take part in the discussions on particular points on the agenda only when it is necessary for the functioning of the system of the European Schools and only as observers, </w:t>
                      </w:r>
                      <w:r w:rsidR="00B42B09" w:rsidRPr="00C31CB3">
                        <w:rPr>
                          <w:b/>
                          <w:sz w:val="24"/>
                          <w:szCs w:val="24"/>
                          <w:lang w:val="en-GB"/>
                        </w:rPr>
                        <w:t>i.e. without voting rights</w:t>
                      </w:r>
                      <w:r>
                        <w:rPr>
                          <w:sz w:val="24"/>
                          <w:szCs w:val="24"/>
                          <w:lang w:val="en-GB"/>
                        </w:rPr>
                        <w:t>.</w:t>
                      </w:r>
                    </w:p>
                    <w:p w:rsidR="00FF1270" w:rsidRPr="00D50C8E" w:rsidRDefault="00FF1270" w:rsidP="007313B8">
                      <w:pPr>
                        <w:pStyle w:val="ListParagraph"/>
                        <w:rPr>
                          <w:b/>
                          <w:sz w:val="24"/>
                          <w:szCs w:val="24"/>
                          <w:lang w:val="en-GB"/>
                        </w:rPr>
                      </w:pPr>
                    </w:p>
                    <w:p w:rsidR="00FF1270" w:rsidRPr="00D50C8E" w:rsidRDefault="00FF1270">
                      <w:pPr>
                        <w:rPr>
                          <w:sz w:val="24"/>
                          <w:szCs w:val="24"/>
                          <w:lang w:val="en-GB"/>
                        </w:rPr>
                      </w:pPr>
                    </w:p>
                    <w:p w:rsidR="00FF1270" w:rsidRPr="00D50C8E" w:rsidRDefault="00FF1270" w:rsidP="00BF097C">
                      <w:pPr>
                        <w:pStyle w:val="ListParagraph"/>
                        <w:numPr>
                          <w:ilvl w:val="0"/>
                          <w:numId w:val="37"/>
                        </w:numPr>
                        <w:rPr>
                          <w:sz w:val="24"/>
                          <w:szCs w:val="24"/>
                          <w:lang w:val="en-GB"/>
                        </w:rPr>
                      </w:pPr>
                      <w:r w:rsidRPr="00D50C8E">
                        <w:rPr>
                          <w:b/>
                          <w:i/>
                          <w:color w:val="000000"/>
                          <w:sz w:val="24"/>
                          <w:szCs w:val="24"/>
                          <w:lang w:val="en-GB"/>
                        </w:rPr>
                        <w:t>“The United Kingdom shall, with respect to pupils who before 31 August 2021 acquired a European baccalaureate and to pupils who are enrolled in a cycle of secondary studies in a European School before 31 August 2021 and acquire a European baccalaureate after that date, ensure that they enjoy the rights provided for in Article 5(2) of the Convention defining the Statute of the European Schools.</w:t>
                      </w:r>
                    </w:p>
                    <w:p w:rsidR="00FF1270" w:rsidRPr="00D50C8E" w:rsidRDefault="00FF1270" w:rsidP="004457CE">
                      <w:pPr>
                        <w:ind w:left="360"/>
                        <w:rPr>
                          <w:b/>
                          <w:sz w:val="24"/>
                          <w:szCs w:val="24"/>
                          <w:lang w:val="en-GB"/>
                        </w:rPr>
                      </w:pPr>
                    </w:p>
                    <w:p w:rsidR="00FF1270" w:rsidRPr="00D50C8E" w:rsidRDefault="00FF1270" w:rsidP="004457CE">
                      <w:pPr>
                        <w:ind w:left="360"/>
                        <w:rPr>
                          <w:b/>
                          <w:sz w:val="24"/>
                          <w:szCs w:val="24"/>
                          <w:lang w:val="en-GB"/>
                        </w:rPr>
                      </w:pPr>
                      <w:r w:rsidRPr="00D50C8E">
                        <w:rPr>
                          <w:b/>
                          <w:sz w:val="24"/>
                          <w:szCs w:val="24"/>
                          <w:lang w:val="en-GB"/>
                        </w:rPr>
                        <w:t>This means in particular:</w:t>
                      </w:r>
                    </w:p>
                    <w:p w:rsidR="00FF1270" w:rsidRPr="00D50C8E" w:rsidRDefault="00FF1270" w:rsidP="00BF097C">
                      <w:pPr>
                        <w:pStyle w:val="ListParagraph"/>
                        <w:numPr>
                          <w:ilvl w:val="0"/>
                          <w:numId w:val="39"/>
                        </w:numPr>
                        <w:rPr>
                          <w:sz w:val="24"/>
                          <w:szCs w:val="24"/>
                          <w:lang w:val="en-GB"/>
                        </w:rPr>
                      </w:pPr>
                      <w:r w:rsidRPr="00D50C8E">
                        <w:rPr>
                          <w:sz w:val="24"/>
                          <w:szCs w:val="24"/>
                          <w:lang w:val="en-GB"/>
                        </w:rPr>
                        <w:t xml:space="preserve">The European Baccalaureate will be recognised by the UK for pupils </w:t>
                      </w:r>
                    </w:p>
                    <w:p w:rsidR="00FF1270" w:rsidRPr="00D50C8E" w:rsidRDefault="00FF1270" w:rsidP="00BF097C">
                      <w:pPr>
                        <w:pStyle w:val="ListParagraph"/>
                        <w:numPr>
                          <w:ilvl w:val="0"/>
                          <w:numId w:val="40"/>
                        </w:numPr>
                        <w:rPr>
                          <w:sz w:val="24"/>
                          <w:szCs w:val="24"/>
                          <w:lang w:val="en-GB"/>
                        </w:rPr>
                      </w:pPr>
                      <w:r w:rsidRPr="00D50C8E">
                        <w:rPr>
                          <w:sz w:val="24"/>
                          <w:szCs w:val="24"/>
                          <w:lang w:val="en-GB"/>
                        </w:rPr>
                        <w:t>who have acquired the BAC before 31 August 2021, but also for pupils,</w:t>
                      </w:r>
                    </w:p>
                    <w:p w:rsidR="00FF1270" w:rsidRPr="00D50C8E" w:rsidRDefault="00FF1270" w:rsidP="00BF097C">
                      <w:pPr>
                        <w:pStyle w:val="ListParagraph"/>
                        <w:numPr>
                          <w:ilvl w:val="0"/>
                          <w:numId w:val="40"/>
                        </w:numPr>
                        <w:rPr>
                          <w:sz w:val="24"/>
                          <w:szCs w:val="24"/>
                          <w:lang w:val="en-GB"/>
                        </w:rPr>
                      </w:pPr>
                      <w:r w:rsidRPr="00D50C8E">
                        <w:rPr>
                          <w:sz w:val="24"/>
                          <w:szCs w:val="24"/>
                          <w:lang w:val="en-GB"/>
                        </w:rPr>
                        <w:t xml:space="preserve">who are enrolled in the secondary cycle before 31 August 2021 no matter when they acquire their BAC.  </w:t>
                      </w:r>
                    </w:p>
                    <w:p w:rsidR="00FF1270" w:rsidRPr="00D50C8E" w:rsidRDefault="00FF1270" w:rsidP="00AE0542">
                      <w:pPr>
                        <w:pStyle w:val="ListParagraph"/>
                        <w:ind w:left="1080"/>
                        <w:rPr>
                          <w:sz w:val="24"/>
                          <w:szCs w:val="24"/>
                          <w:lang w:val="en-GB"/>
                        </w:rPr>
                      </w:pPr>
                    </w:p>
                    <w:p w:rsidR="00FF1270" w:rsidRPr="00D50C8E" w:rsidRDefault="00FF1270" w:rsidP="00AE0542">
                      <w:pPr>
                        <w:pStyle w:val="ListParagraph"/>
                        <w:ind w:left="1080"/>
                        <w:rPr>
                          <w:sz w:val="24"/>
                          <w:szCs w:val="24"/>
                          <w:lang w:val="en-GB"/>
                        </w:rPr>
                      </w:pPr>
                    </w:p>
                    <w:p w:rsidR="00FF1270" w:rsidRDefault="00FF1270" w:rsidP="00AE0542">
                      <w:pPr>
                        <w:pStyle w:val="ListParagraph"/>
                        <w:numPr>
                          <w:ilvl w:val="0"/>
                          <w:numId w:val="37"/>
                        </w:numPr>
                        <w:rPr>
                          <w:b/>
                          <w:sz w:val="24"/>
                          <w:szCs w:val="24"/>
                          <w:lang w:val="en-GB"/>
                        </w:rPr>
                      </w:pPr>
                      <w:r w:rsidRPr="00D50C8E">
                        <w:rPr>
                          <w:b/>
                          <w:sz w:val="24"/>
                          <w:szCs w:val="24"/>
                          <w:lang w:val="en-GB"/>
                        </w:rPr>
                        <w:t>Possibility of a prolongation of the transition period for up to one or two years in accordance with Article 132 Withdrawal Agreement.</w:t>
                      </w:r>
                    </w:p>
                    <w:p w:rsidR="00FF1270" w:rsidRPr="00D50C8E" w:rsidRDefault="00FF1270" w:rsidP="00B45C16">
                      <w:pPr>
                        <w:pStyle w:val="ListParagraph"/>
                        <w:ind w:left="360"/>
                        <w:rPr>
                          <w:b/>
                          <w:sz w:val="24"/>
                          <w:szCs w:val="24"/>
                          <w:lang w:val="en-GB"/>
                        </w:rPr>
                      </w:pPr>
                    </w:p>
                  </w:txbxContent>
                </v:textbox>
                <w10:wrap type="square"/>
              </v:shape>
            </w:pict>
          </mc:Fallback>
        </mc:AlternateContent>
      </w:r>
    </w:p>
    <w:p w:rsidR="00241ECE" w:rsidRPr="002E0280" w:rsidRDefault="00241ECE">
      <w:pPr>
        <w:spacing w:before="0" w:after="0"/>
        <w:jc w:val="left"/>
        <w:rPr>
          <w:rFonts w:cs="Arial"/>
          <w:color w:val="000000"/>
          <w:sz w:val="24"/>
          <w:szCs w:val="24"/>
          <w:lang w:val="en-GB"/>
        </w:rPr>
      </w:pPr>
      <w:r w:rsidRPr="002E0280">
        <w:rPr>
          <w:rFonts w:cs="Arial"/>
          <w:color w:val="000000"/>
          <w:sz w:val="24"/>
          <w:szCs w:val="24"/>
          <w:lang w:val="en-GB"/>
        </w:rPr>
        <w:br w:type="page"/>
      </w:r>
    </w:p>
    <w:p w:rsidR="006542C0" w:rsidRPr="002E0280" w:rsidRDefault="006542C0"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4457CE" w:rsidRPr="00CD7256" w:rsidRDefault="00D066E5" w:rsidP="00CD7256">
      <w:pPr>
        <w:pStyle w:val="ListParagraph"/>
        <w:numPr>
          <w:ilvl w:val="0"/>
          <w:numId w:val="2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CD7256">
        <w:rPr>
          <w:rFonts w:cs="Arial"/>
          <w:b/>
          <w:color w:val="000000"/>
          <w:sz w:val="24"/>
          <w:szCs w:val="24"/>
          <w:lang w:val="en-GB"/>
        </w:rPr>
        <w:t>Legal s</w:t>
      </w:r>
      <w:r w:rsidR="008351FC" w:rsidRPr="00CD7256">
        <w:rPr>
          <w:rFonts w:cs="Arial"/>
          <w:b/>
          <w:color w:val="000000"/>
          <w:sz w:val="24"/>
          <w:szCs w:val="24"/>
          <w:lang w:val="en-GB"/>
        </w:rPr>
        <w:t>ituation of the staff members of the European Schools</w:t>
      </w:r>
      <w:r w:rsidRPr="00CD7256">
        <w:rPr>
          <w:rFonts w:cs="Arial"/>
          <w:b/>
          <w:color w:val="000000"/>
          <w:sz w:val="24"/>
          <w:szCs w:val="24"/>
          <w:lang w:val="en-GB"/>
        </w:rPr>
        <w:t xml:space="preserve"> with UK nationality</w:t>
      </w:r>
    </w:p>
    <w:p w:rsidR="007E5572" w:rsidRPr="002E0280" w:rsidRDefault="007E5572"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75D25" w:rsidRPr="002E0280" w:rsidRDefault="007119CD" w:rsidP="00575D25">
      <w:pPr>
        <w:pStyle w:val="ListParagraph"/>
        <w:ind w:left="0"/>
        <w:rPr>
          <w:rFonts w:cs="Arial"/>
          <w:color w:val="000000"/>
          <w:sz w:val="24"/>
          <w:szCs w:val="24"/>
          <w:lang w:val="en-GB"/>
        </w:rPr>
      </w:pPr>
      <w:r w:rsidRPr="002E0280">
        <w:rPr>
          <w:rFonts w:cs="Arial"/>
          <w:color w:val="000000"/>
          <w:sz w:val="24"/>
          <w:szCs w:val="24"/>
          <w:lang w:val="en-GB"/>
        </w:rPr>
        <w:t>T</w:t>
      </w:r>
      <w:r w:rsidR="00575D25" w:rsidRPr="002E0280">
        <w:rPr>
          <w:rFonts w:cs="Arial"/>
          <w:color w:val="000000"/>
          <w:sz w:val="24"/>
          <w:szCs w:val="24"/>
          <w:lang w:val="en-GB"/>
        </w:rPr>
        <w:t>he European Schools employ in all staff categories (Seconded Staff, Locally Recruited Teachers, Administrative and Ancillary Staff) staff members with UK nationality. These colleagues are an integral part of the European Schools</w:t>
      </w:r>
      <w:r w:rsidR="00FB776B" w:rsidRPr="002E0280">
        <w:rPr>
          <w:rFonts w:cs="Arial"/>
          <w:color w:val="000000"/>
          <w:sz w:val="24"/>
          <w:szCs w:val="24"/>
          <w:lang w:val="en-GB"/>
        </w:rPr>
        <w:t xml:space="preserve"> and </w:t>
      </w:r>
      <w:r w:rsidR="00D066E5">
        <w:rPr>
          <w:rFonts w:cs="Arial"/>
          <w:color w:val="000000"/>
          <w:sz w:val="24"/>
          <w:szCs w:val="24"/>
          <w:lang w:val="en-GB"/>
        </w:rPr>
        <w:t xml:space="preserve">have become </w:t>
      </w:r>
      <w:r w:rsidR="00FB776B" w:rsidRPr="002E0280">
        <w:rPr>
          <w:rFonts w:cs="Arial"/>
          <w:color w:val="000000"/>
          <w:sz w:val="24"/>
          <w:szCs w:val="24"/>
          <w:lang w:val="en-GB"/>
        </w:rPr>
        <w:t>third county nationals as of the date of the BREXIT</w:t>
      </w:r>
      <w:r w:rsidR="00575D25" w:rsidRPr="002E0280">
        <w:rPr>
          <w:rFonts w:cs="Arial"/>
          <w:color w:val="000000"/>
          <w:sz w:val="24"/>
          <w:szCs w:val="24"/>
          <w:lang w:val="en-GB"/>
        </w:rPr>
        <w:t>.</w:t>
      </w:r>
    </w:p>
    <w:p w:rsidR="00FB776B" w:rsidRPr="002E0280" w:rsidRDefault="00FB776B" w:rsidP="00575D25">
      <w:pPr>
        <w:pStyle w:val="ListParagraph"/>
        <w:ind w:left="0"/>
        <w:rPr>
          <w:rFonts w:cs="Arial"/>
          <w:color w:val="000000"/>
          <w:sz w:val="24"/>
          <w:szCs w:val="24"/>
          <w:lang w:val="en-GB"/>
        </w:rPr>
      </w:pPr>
    </w:p>
    <w:p w:rsidR="00FB776B" w:rsidRPr="002E0280" w:rsidRDefault="00FB776B" w:rsidP="00575D25">
      <w:pPr>
        <w:pStyle w:val="ListParagraph"/>
        <w:ind w:left="0"/>
        <w:rPr>
          <w:rFonts w:cs="Arial"/>
          <w:color w:val="000000"/>
          <w:sz w:val="24"/>
          <w:szCs w:val="24"/>
          <w:lang w:val="en-GB"/>
        </w:rPr>
      </w:pPr>
      <w:r w:rsidRPr="00272665">
        <w:rPr>
          <w:rFonts w:cs="Arial"/>
          <w:color w:val="000000"/>
          <w:sz w:val="24"/>
          <w:szCs w:val="24"/>
          <w:lang w:val="en-GB"/>
        </w:rPr>
        <w:t xml:space="preserve">On </w:t>
      </w:r>
      <w:r w:rsidR="00272665" w:rsidRPr="00272665">
        <w:rPr>
          <w:rFonts w:cs="Arial"/>
          <w:color w:val="000000"/>
          <w:sz w:val="24"/>
          <w:szCs w:val="24"/>
          <w:lang w:val="en-GB"/>
        </w:rPr>
        <w:t>7</w:t>
      </w:r>
      <w:r w:rsidR="00CD7256" w:rsidRPr="00272665">
        <w:rPr>
          <w:rFonts w:cs="Arial"/>
          <w:color w:val="000000"/>
          <w:sz w:val="24"/>
          <w:szCs w:val="24"/>
          <w:lang w:val="en-GB"/>
        </w:rPr>
        <w:t xml:space="preserve"> October 2019</w:t>
      </w:r>
      <w:r w:rsidR="00855CC1">
        <w:rPr>
          <w:rFonts w:cs="Arial"/>
          <w:color w:val="000000"/>
          <w:sz w:val="24"/>
          <w:szCs w:val="24"/>
          <w:lang w:val="en-GB"/>
        </w:rPr>
        <w:t xml:space="preserve"> and on 23 January 2020</w:t>
      </w:r>
      <w:r w:rsidR="00D50C8E" w:rsidRPr="002E0280">
        <w:rPr>
          <w:rFonts w:cs="Arial"/>
          <w:color w:val="000000"/>
          <w:sz w:val="24"/>
          <w:szCs w:val="24"/>
          <w:lang w:val="en-GB"/>
        </w:rPr>
        <w:t>,</w:t>
      </w:r>
      <w:r w:rsidRPr="002E0280">
        <w:rPr>
          <w:rFonts w:cs="Arial"/>
          <w:color w:val="000000"/>
          <w:sz w:val="24"/>
          <w:szCs w:val="24"/>
          <w:lang w:val="en-GB"/>
        </w:rPr>
        <w:t xml:space="preserve"> all staff members of the European </w:t>
      </w:r>
      <w:r w:rsidR="00D066E5">
        <w:rPr>
          <w:rFonts w:cs="Arial"/>
          <w:color w:val="000000"/>
          <w:sz w:val="24"/>
          <w:szCs w:val="24"/>
          <w:lang w:val="en-GB"/>
        </w:rPr>
        <w:t>S</w:t>
      </w:r>
      <w:r w:rsidRPr="002E0280">
        <w:rPr>
          <w:rFonts w:cs="Arial"/>
          <w:color w:val="000000"/>
          <w:sz w:val="24"/>
          <w:szCs w:val="24"/>
          <w:lang w:val="en-GB"/>
        </w:rPr>
        <w:t xml:space="preserve">chools with UK nationality have received from the Office of the Secretary-General updated information linked to their residence rights </w:t>
      </w:r>
      <w:r w:rsidR="00D066E5">
        <w:rPr>
          <w:rFonts w:cs="Arial"/>
          <w:color w:val="000000"/>
          <w:sz w:val="24"/>
          <w:szCs w:val="24"/>
          <w:lang w:val="en-GB"/>
        </w:rPr>
        <w:t>as of 1 February 2020</w:t>
      </w:r>
      <w:r w:rsidRPr="002E0280">
        <w:rPr>
          <w:rFonts w:cs="Arial"/>
          <w:color w:val="000000"/>
          <w:sz w:val="24"/>
          <w:szCs w:val="24"/>
          <w:lang w:val="en-GB"/>
        </w:rPr>
        <w:t xml:space="preserve">. </w:t>
      </w:r>
    </w:p>
    <w:p w:rsidR="00FB776B" w:rsidRPr="002E0280" w:rsidRDefault="00FB776B" w:rsidP="00FB776B">
      <w:pPr>
        <w:spacing w:before="60" w:after="60"/>
        <w:rPr>
          <w:rFonts w:eastAsia="Calibri" w:cs="Arial"/>
          <w:szCs w:val="24"/>
          <w:lang w:val="en-GB" w:eastAsia="en-US"/>
        </w:rPr>
      </w:pPr>
      <w:r w:rsidRPr="002E0280">
        <w:rPr>
          <w:rFonts w:eastAsia="Calibri" w:cs="Arial"/>
          <w:sz w:val="24"/>
          <w:szCs w:val="24"/>
          <w:lang w:val="en-GB" w:eastAsia="en-US"/>
        </w:rPr>
        <w:t xml:space="preserve">A comprehensive overview on the residence rights of UK nationals in all EU27 Member States </w:t>
      </w:r>
      <w:r w:rsidR="00D066E5">
        <w:rPr>
          <w:rFonts w:eastAsia="Calibri" w:cs="Arial"/>
          <w:sz w:val="24"/>
          <w:szCs w:val="24"/>
          <w:lang w:val="en-GB" w:eastAsia="en-US"/>
        </w:rPr>
        <w:t xml:space="preserve">can be find </w:t>
      </w:r>
      <w:r w:rsidRPr="002E0280">
        <w:rPr>
          <w:rFonts w:eastAsia="Calibri" w:cs="Arial"/>
          <w:sz w:val="24"/>
          <w:szCs w:val="24"/>
          <w:lang w:val="en-GB" w:eastAsia="en-US"/>
        </w:rPr>
        <w:t xml:space="preserve">under the following link which is supposed to be updated on a regular basis: </w:t>
      </w:r>
      <w:hyperlink r:id="rId9" w:history="1">
        <w:r w:rsidRPr="002E0280">
          <w:rPr>
            <w:rStyle w:val="Hyperlink"/>
            <w:rFonts w:eastAsia="Calibri" w:cs="Arial"/>
            <w:sz w:val="24"/>
            <w:szCs w:val="24"/>
            <w:lang w:val="en-GB" w:eastAsia="en-US"/>
          </w:rPr>
          <w:t>https://ec.europa.eu/info/brexit/brexit-preparedness/citizens-rights_en</w:t>
        </w:r>
      </w:hyperlink>
      <w:r w:rsidRPr="002E0280">
        <w:rPr>
          <w:rFonts w:eastAsia="Calibri" w:cs="Arial"/>
          <w:szCs w:val="24"/>
          <w:lang w:val="en-GB" w:eastAsia="en-US"/>
        </w:rPr>
        <w:t xml:space="preserve">. </w:t>
      </w:r>
    </w:p>
    <w:p w:rsidR="00D066E5" w:rsidRPr="002E0280" w:rsidRDefault="00D066E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b/>
          <w:color w:val="000000"/>
          <w:sz w:val="24"/>
          <w:szCs w:val="24"/>
          <w:lang w:val="en-GB"/>
        </w:rPr>
      </w:pPr>
      <w:r w:rsidRPr="002E0280">
        <w:rPr>
          <w:rFonts w:cs="Arial"/>
          <w:b/>
          <w:color w:val="000000"/>
          <w:sz w:val="24"/>
          <w:szCs w:val="24"/>
          <w:lang w:val="en-GB"/>
        </w:rPr>
        <w:t>a) Seconded Staff Members</w:t>
      </w:r>
    </w:p>
    <w:p w:rsidR="00575D25" w:rsidRPr="002E0280" w:rsidRDefault="00575D25" w:rsidP="00575D25">
      <w:pPr>
        <w:pStyle w:val="ListParagraph"/>
        <w:ind w:left="0"/>
        <w:rPr>
          <w:rFonts w:cs="Arial"/>
          <w:b/>
          <w:color w:val="000000"/>
          <w:sz w:val="24"/>
          <w:szCs w:val="24"/>
          <w:lang w:val="en-GB"/>
        </w:rPr>
      </w:pPr>
    </w:p>
    <w:p w:rsidR="00641D92"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 xml:space="preserve">The number of staff members seconded by the UK government has decreased over the last years from 247 in the 2010/11 school year to </w:t>
      </w:r>
      <w:r w:rsidR="000740F2" w:rsidRPr="002E0280">
        <w:rPr>
          <w:rFonts w:cs="Arial"/>
          <w:color w:val="000000"/>
          <w:sz w:val="24"/>
          <w:szCs w:val="24"/>
          <w:lang w:val="en-GB"/>
        </w:rPr>
        <w:t>48</w:t>
      </w:r>
      <w:r w:rsidRPr="002E0280">
        <w:rPr>
          <w:rFonts w:cs="Arial"/>
          <w:color w:val="000000"/>
          <w:sz w:val="24"/>
          <w:szCs w:val="24"/>
          <w:lang w:val="en-GB"/>
        </w:rPr>
        <w:t xml:space="preserve"> in</w:t>
      </w:r>
      <w:r w:rsidR="006F5EB1" w:rsidRPr="002E0280">
        <w:rPr>
          <w:rFonts w:cs="Arial"/>
          <w:color w:val="000000"/>
          <w:sz w:val="24"/>
          <w:szCs w:val="24"/>
          <w:lang w:val="en-GB"/>
        </w:rPr>
        <w:t xml:space="preserve"> the 201</w:t>
      </w:r>
      <w:r w:rsidR="00D714B8" w:rsidRPr="002E0280">
        <w:rPr>
          <w:rFonts w:cs="Arial"/>
          <w:color w:val="000000"/>
          <w:sz w:val="24"/>
          <w:szCs w:val="24"/>
          <w:lang w:val="en-GB"/>
        </w:rPr>
        <w:t>9/20</w:t>
      </w:r>
      <w:r w:rsidRPr="002E0280">
        <w:rPr>
          <w:rFonts w:cs="Arial"/>
          <w:color w:val="000000"/>
          <w:sz w:val="24"/>
          <w:szCs w:val="24"/>
          <w:lang w:val="en-GB"/>
        </w:rPr>
        <w:t xml:space="preserve"> school year.</w:t>
      </w:r>
    </w:p>
    <w:p w:rsidR="00575D25" w:rsidRPr="002E0280" w:rsidRDefault="00575D25" w:rsidP="00575D25">
      <w:pPr>
        <w:pStyle w:val="ListParagraph"/>
        <w:ind w:left="0"/>
        <w:rPr>
          <w:rFonts w:cs="Arial"/>
          <w:color w:val="000000"/>
          <w:szCs w:val="22"/>
          <w:lang w:val="en-GB"/>
        </w:rPr>
      </w:pPr>
    </w:p>
    <w:tbl>
      <w:tblPr>
        <w:tblStyle w:val="TableGrid"/>
        <w:tblW w:w="0" w:type="auto"/>
        <w:tblLook w:val="04A0" w:firstRow="1" w:lastRow="0" w:firstColumn="1" w:lastColumn="0" w:noHBand="0" w:noVBand="1"/>
      </w:tblPr>
      <w:tblGrid>
        <w:gridCol w:w="2947"/>
        <w:gridCol w:w="2948"/>
        <w:gridCol w:w="2948"/>
      </w:tblGrid>
      <w:tr w:rsidR="00575D25" w:rsidRPr="002E0280" w:rsidTr="006F5EB1">
        <w:tc>
          <w:tcPr>
            <w:tcW w:w="2947" w:type="dxa"/>
          </w:tcPr>
          <w:p w:rsidR="00575D25" w:rsidRPr="002E0280" w:rsidRDefault="00575D25" w:rsidP="006F5EB1">
            <w:pPr>
              <w:pStyle w:val="ListParagraph"/>
              <w:ind w:left="0"/>
              <w:jc w:val="center"/>
              <w:rPr>
                <w:rFonts w:cs="Arial"/>
                <w:b/>
                <w:color w:val="000000"/>
                <w:szCs w:val="22"/>
                <w:lang w:val="en-GB"/>
              </w:rPr>
            </w:pPr>
            <w:r w:rsidRPr="002E0280">
              <w:rPr>
                <w:rFonts w:cs="Arial"/>
                <w:b/>
                <w:color w:val="000000"/>
                <w:szCs w:val="22"/>
                <w:lang w:val="en-GB"/>
              </w:rPr>
              <w:t>School year</w:t>
            </w:r>
          </w:p>
        </w:tc>
        <w:tc>
          <w:tcPr>
            <w:tcW w:w="2948" w:type="dxa"/>
          </w:tcPr>
          <w:p w:rsidR="00575D25" w:rsidRPr="002E0280" w:rsidRDefault="00575D25" w:rsidP="006F5EB1">
            <w:pPr>
              <w:pStyle w:val="ListParagraph"/>
              <w:ind w:left="0"/>
              <w:jc w:val="center"/>
              <w:rPr>
                <w:rFonts w:cs="Arial"/>
                <w:b/>
                <w:color w:val="000000"/>
                <w:szCs w:val="22"/>
                <w:lang w:val="en-GB"/>
              </w:rPr>
            </w:pPr>
            <w:r w:rsidRPr="002E0280">
              <w:rPr>
                <w:rFonts w:cs="Arial"/>
                <w:b/>
                <w:color w:val="000000"/>
                <w:szCs w:val="22"/>
                <w:lang w:val="en-GB"/>
              </w:rPr>
              <w:t>Total number</w:t>
            </w:r>
            <w:r w:rsidRPr="002E0280">
              <w:rPr>
                <w:rStyle w:val="FootnoteReference"/>
                <w:rFonts w:cs="Arial"/>
                <w:b/>
                <w:color w:val="000000"/>
                <w:szCs w:val="22"/>
                <w:lang w:val="en-GB"/>
              </w:rPr>
              <w:footnoteReference w:id="4"/>
            </w:r>
          </w:p>
        </w:tc>
        <w:tc>
          <w:tcPr>
            <w:tcW w:w="2948" w:type="dxa"/>
          </w:tcPr>
          <w:p w:rsidR="00575D25" w:rsidRPr="002E0280" w:rsidRDefault="00575D25" w:rsidP="006F5EB1">
            <w:pPr>
              <w:pStyle w:val="ListParagraph"/>
              <w:ind w:left="0"/>
              <w:jc w:val="center"/>
              <w:rPr>
                <w:rFonts w:cs="Arial"/>
                <w:b/>
                <w:color w:val="000000"/>
                <w:szCs w:val="22"/>
                <w:lang w:val="en-GB"/>
              </w:rPr>
            </w:pPr>
            <w:r w:rsidRPr="002E0280">
              <w:rPr>
                <w:rFonts w:cs="Arial"/>
                <w:b/>
                <w:color w:val="000000"/>
                <w:szCs w:val="22"/>
                <w:lang w:val="en-GB"/>
              </w:rPr>
              <w:t>remarks</w:t>
            </w: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2010/11</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247</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2011/12</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233</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2012/13</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217</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2013/14</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177</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2014/15</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143</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2015/16</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119</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2016/17</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108</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556984"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2017/18</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7</w:t>
            </w:r>
            <w:r w:rsidR="00EE063D" w:rsidRPr="002E0280">
              <w:rPr>
                <w:rFonts w:cs="Arial"/>
                <w:color w:val="000000"/>
                <w:szCs w:val="22"/>
                <w:lang w:val="en-GB"/>
              </w:rPr>
              <w:t>8</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556984"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2018/19</w:t>
            </w:r>
          </w:p>
        </w:tc>
        <w:tc>
          <w:tcPr>
            <w:tcW w:w="2948" w:type="dxa"/>
          </w:tcPr>
          <w:p w:rsidR="00575D25" w:rsidRPr="002E0280" w:rsidRDefault="00466F6C" w:rsidP="006F5EB1">
            <w:pPr>
              <w:pStyle w:val="ListParagraph"/>
              <w:ind w:left="0"/>
              <w:jc w:val="center"/>
              <w:rPr>
                <w:rFonts w:cs="Arial"/>
                <w:color w:val="000000"/>
                <w:szCs w:val="22"/>
                <w:lang w:val="en-GB"/>
              </w:rPr>
            </w:pPr>
            <w:r w:rsidRPr="002E0280">
              <w:rPr>
                <w:rFonts w:cs="Arial"/>
                <w:color w:val="000000"/>
                <w:szCs w:val="22"/>
                <w:lang w:val="en-GB"/>
              </w:rPr>
              <w:t>55</w:t>
            </w:r>
          </w:p>
        </w:tc>
        <w:tc>
          <w:tcPr>
            <w:tcW w:w="2948" w:type="dxa"/>
          </w:tcPr>
          <w:p w:rsidR="00575D25" w:rsidRPr="002E0280" w:rsidRDefault="00575D25" w:rsidP="0049622A">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2019/20</w:t>
            </w:r>
          </w:p>
        </w:tc>
        <w:tc>
          <w:tcPr>
            <w:tcW w:w="2948" w:type="dxa"/>
          </w:tcPr>
          <w:p w:rsidR="00575D25" w:rsidRPr="002E0280" w:rsidRDefault="00561C27" w:rsidP="006F5EB1">
            <w:pPr>
              <w:pStyle w:val="ListParagraph"/>
              <w:ind w:left="0"/>
              <w:jc w:val="center"/>
              <w:rPr>
                <w:rFonts w:cs="Arial"/>
                <w:color w:val="000000"/>
                <w:szCs w:val="22"/>
                <w:lang w:val="en-GB"/>
              </w:rPr>
            </w:pPr>
            <w:r w:rsidRPr="002E0280">
              <w:rPr>
                <w:rFonts w:cs="Arial"/>
                <w:color w:val="000000"/>
                <w:szCs w:val="22"/>
                <w:lang w:val="en-GB"/>
              </w:rPr>
              <w:t>4</w:t>
            </w:r>
            <w:r w:rsidR="00FC4523" w:rsidRPr="002E0280">
              <w:rPr>
                <w:rFonts w:cs="Arial"/>
                <w:color w:val="000000"/>
                <w:szCs w:val="22"/>
                <w:lang w:val="en-GB"/>
              </w:rPr>
              <w:t>8</w:t>
            </w:r>
          </w:p>
        </w:tc>
        <w:tc>
          <w:tcPr>
            <w:tcW w:w="2948" w:type="dxa"/>
          </w:tcPr>
          <w:p w:rsidR="0049622A" w:rsidRPr="002E0280" w:rsidRDefault="0049622A" w:rsidP="00561C27">
            <w:pPr>
              <w:pStyle w:val="ListParagraph"/>
              <w:ind w:left="0"/>
              <w:rPr>
                <w:rFonts w:cs="Arial"/>
                <w:color w:val="000000"/>
                <w:szCs w:val="22"/>
                <w:lang w:val="en-GB"/>
              </w:rPr>
            </w:pPr>
          </w:p>
        </w:tc>
      </w:tr>
      <w:tr w:rsidR="00DF2756" w:rsidRPr="002E0280" w:rsidTr="006F5EB1">
        <w:tc>
          <w:tcPr>
            <w:tcW w:w="2947" w:type="dxa"/>
          </w:tcPr>
          <w:p w:rsidR="00DF2756" w:rsidRPr="002E0280" w:rsidRDefault="00DF2756" w:rsidP="006F5EB1">
            <w:pPr>
              <w:pStyle w:val="ListParagraph"/>
              <w:ind w:left="0"/>
              <w:rPr>
                <w:rFonts w:cs="Arial"/>
                <w:b/>
                <w:color w:val="000000"/>
                <w:szCs w:val="22"/>
                <w:lang w:val="en-GB"/>
              </w:rPr>
            </w:pPr>
            <w:r w:rsidRPr="002E0280">
              <w:rPr>
                <w:rFonts w:cs="Arial"/>
                <w:b/>
                <w:color w:val="000000"/>
                <w:szCs w:val="22"/>
                <w:lang w:val="en-GB"/>
              </w:rPr>
              <w:t>2020/21</w:t>
            </w:r>
          </w:p>
        </w:tc>
        <w:tc>
          <w:tcPr>
            <w:tcW w:w="2948" w:type="dxa"/>
          </w:tcPr>
          <w:p w:rsidR="00DF2756" w:rsidRPr="002E0280" w:rsidRDefault="0049622A" w:rsidP="0049622A">
            <w:pPr>
              <w:pStyle w:val="ListParagraph"/>
              <w:ind w:left="0"/>
              <w:jc w:val="center"/>
              <w:rPr>
                <w:rFonts w:cs="Arial"/>
                <w:color w:val="000000"/>
                <w:szCs w:val="22"/>
                <w:lang w:val="en-GB"/>
              </w:rPr>
            </w:pPr>
            <w:r w:rsidRPr="002E0280">
              <w:rPr>
                <w:rFonts w:cs="Arial"/>
                <w:color w:val="000000"/>
                <w:szCs w:val="22"/>
                <w:lang w:val="en-GB"/>
              </w:rPr>
              <w:t>28</w:t>
            </w:r>
          </w:p>
        </w:tc>
        <w:tc>
          <w:tcPr>
            <w:tcW w:w="2948" w:type="dxa"/>
          </w:tcPr>
          <w:p w:rsidR="00DF2756" w:rsidRPr="002E0280" w:rsidRDefault="0049622A" w:rsidP="006F5EB1">
            <w:pPr>
              <w:pStyle w:val="ListParagraph"/>
              <w:ind w:left="0"/>
              <w:rPr>
                <w:rFonts w:cs="Arial"/>
                <w:color w:val="000000"/>
                <w:szCs w:val="22"/>
                <w:lang w:val="en-GB"/>
              </w:rPr>
            </w:pPr>
            <w:r w:rsidRPr="002E0280">
              <w:rPr>
                <w:rFonts w:cs="Arial"/>
                <w:color w:val="000000"/>
                <w:szCs w:val="22"/>
                <w:lang w:val="en-GB"/>
              </w:rPr>
              <w:t>E</w:t>
            </w:r>
            <w:r w:rsidR="00DF2756" w:rsidRPr="002E0280">
              <w:rPr>
                <w:rFonts w:cs="Arial"/>
                <w:color w:val="000000"/>
                <w:szCs w:val="22"/>
                <w:lang w:val="en-GB"/>
              </w:rPr>
              <w:t>stimation</w:t>
            </w:r>
          </w:p>
          <w:p w:rsidR="0049622A" w:rsidRPr="002E0280" w:rsidRDefault="0049622A" w:rsidP="006F5EB1">
            <w:pPr>
              <w:pStyle w:val="ListParagraph"/>
              <w:ind w:left="0"/>
              <w:rPr>
                <w:rFonts w:cs="Arial"/>
                <w:color w:val="000000"/>
                <w:szCs w:val="22"/>
                <w:lang w:val="en-GB"/>
              </w:rPr>
            </w:pPr>
          </w:p>
        </w:tc>
      </w:tr>
    </w:tbl>
    <w:p w:rsidR="00575D25" w:rsidRPr="002E0280" w:rsidRDefault="00575D25" w:rsidP="00575D25">
      <w:pPr>
        <w:pStyle w:val="ListParagraph"/>
        <w:ind w:left="0"/>
        <w:rPr>
          <w:rFonts w:cs="Arial"/>
          <w:color w:val="000000"/>
          <w:sz w:val="24"/>
          <w:szCs w:val="24"/>
          <w:lang w:val="en-GB"/>
        </w:rPr>
      </w:pPr>
    </w:p>
    <w:p w:rsidR="00D066E5" w:rsidRDefault="006F5EB1" w:rsidP="00575D25">
      <w:pPr>
        <w:pStyle w:val="ListParagraph"/>
        <w:ind w:left="0"/>
        <w:rPr>
          <w:rFonts w:cs="Arial"/>
          <w:color w:val="000000"/>
          <w:sz w:val="24"/>
          <w:szCs w:val="24"/>
          <w:lang w:val="en-GB"/>
        </w:rPr>
      </w:pPr>
      <w:r w:rsidRPr="002E0280">
        <w:rPr>
          <w:rFonts w:cs="Arial"/>
          <w:color w:val="000000"/>
          <w:sz w:val="24"/>
          <w:szCs w:val="24"/>
          <w:lang w:val="en-GB"/>
        </w:rPr>
        <w:t xml:space="preserve">The majority </w:t>
      </w:r>
      <w:r w:rsidR="00575D25" w:rsidRPr="002E0280">
        <w:rPr>
          <w:rFonts w:cs="Arial"/>
          <w:color w:val="000000"/>
          <w:sz w:val="24"/>
          <w:szCs w:val="24"/>
          <w:lang w:val="en-GB"/>
        </w:rPr>
        <w:t xml:space="preserve">of the seconded </w:t>
      </w:r>
      <w:r w:rsidRPr="002E0280">
        <w:rPr>
          <w:rFonts w:cs="Arial"/>
          <w:color w:val="000000"/>
          <w:sz w:val="24"/>
          <w:szCs w:val="24"/>
          <w:lang w:val="en-GB"/>
        </w:rPr>
        <w:t xml:space="preserve">UK </w:t>
      </w:r>
      <w:r w:rsidR="004F1438" w:rsidRPr="002E0280">
        <w:rPr>
          <w:rFonts w:cs="Arial"/>
          <w:color w:val="000000"/>
          <w:sz w:val="24"/>
          <w:szCs w:val="24"/>
          <w:lang w:val="en-GB"/>
        </w:rPr>
        <w:t>staff</w:t>
      </w:r>
      <w:r w:rsidR="00575D25" w:rsidRPr="002E0280">
        <w:rPr>
          <w:rFonts w:cs="Arial"/>
          <w:color w:val="000000"/>
          <w:sz w:val="24"/>
          <w:szCs w:val="24"/>
          <w:lang w:val="en-GB"/>
        </w:rPr>
        <w:t xml:space="preserve"> in the syst</w:t>
      </w:r>
      <w:r w:rsidR="00162349" w:rsidRPr="002E0280">
        <w:rPr>
          <w:rFonts w:cs="Arial"/>
          <w:color w:val="000000"/>
          <w:sz w:val="24"/>
          <w:szCs w:val="24"/>
          <w:lang w:val="en-GB"/>
        </w:rPr>
        <w:t>em are currently in their last two</w:t>
      </w:r>
      <w:r w:rsidR="00575D25" w:rsidRPr="002E0280">
        <w:rPr>
          <w:rFonts w:cs="Arial"/>
          <w:color w:val="000000"/>
          <w:sz w:val="24"/>
          <w:szCs w:val="24"/>
          <w:lang w:val="en-GB"/>
        </w:rPr>
        <w:t xml:space="preserve"> years of secondment. </w:t>
      </w:r>
      <w:r w:rsidR="00B5129D">
        <w:rPr>
          <w:rFonts w:cs="Arial"/>
          <w:color w:val="000000"/>
          <w:sz w:val="24"/>
          <w:szCs w:val="24"/>
          <w:lang w:val="en-GB"/>
        </w:rPr>
        <w:t>T</w:t>
      </w:r>
      <w:r w:rsidR="00D066E5">
        <w:rPr>
          <w:rFonts w:cs="Arial"/>
          <w:color w:val="000000"/>
          <w:sz w:val="24"/>
          <w:szCs w:val="24"/>
          <w:lang w:val="en-GB"/>
        </w:rPr>
        <w:t xml:space="preserve">he UK delegation </w:t>
      </w:r>
      <w:r w:rsidR="00C31CB3">
        <w:rPr>
          <w:rFonts w:cs="Arial"/>
          <w:color w:val="000000"/>
          <w:sz w:val="24"/>
          <w:szCs w:val="24"/>
          <w:lang w:val="en-GB"/>
        </w:rPr>
        <w:t>has agreed</w:t>
      </w:r>
      <w:r w:rsidR="00D066E5">
        <w:rPr>
          <w:rFonts w:cs="Arial"/>
          <w:color w:val="000000"/>
          <w:sz w:val="24"/>
          <w:szCs w:val="24"/>
          <w:lang w:val="en-GB"/>
        </w:rPr>
        <w:t xml:space="preserve"> on a prolongation of their secondment for a tenth or eleventh year until the end of the 2020/21 school year.</w:t>
      </w:r>
    </w:p>
    <w:p w:rsidR="00575D25" w:rsidRPr="002E0280" w:rsidRDefault="00575D25" w:rsidP="00575D25">
      <w:pPr>
        <w:pStyle w:val="ListParagraph"/>
        <w:ind w:left="0"/>
        <w:rPr>
          <w:rFonts w:cs="Arial"/>
          <w:color w:val="000000"/>
          <w:sz w:val="24"/>
          <w:szCs w:val="24"/>
          <w:lang w:val="en-GB"/>
        </w:rPr>
      </w:pPr>
    </w:p>
    <w:p w:rsidR="00300D95" w:rsidRPr="002E0280" w:rsidRDefault="00575D25" w:rsidP="008D6B5A">
      <w:pPr>
        <w:pStyle w:val="ListParagraph"/>
        <w:ind w:left="0"/>
        <w:rPr>
          <w:rFonts w:cs="Arial"/>
          <w:color w:val="000000"/>
          <w:sz w:val="24"/>
          <w:szCs w:val="24"/>
          <w:lang w:val="en-GB"/>
        </w:rPr>
      </w:pPr>
      <w:r w:rsidRPr="002E0280">
        <w:rPr>
          <w:rFonts w:cs="Arial"/>
          <w:color w:val="000000"/>
          <w:sz w:val="24"/>
          <w:szCs w:val="24"/>
          <w:lang w:val="en-GB"/>
        </w:rPr>
        <w:lastRenderedPageBreak/>
        <w:t>Although the European Schools have already experienced a significant loss of UK colleagues, the effect of losing the remaining colleagues with UK nationality should not be underestimated.</w:t>
      </w:r>
    </w:p>
    <w:p w:rsidR="00CB6602" w:rsidRPr="002E0280" w:rsidRDefault="00CB6602" w:rsidP="008D6B5A">
      <w:pPr>
        <w:pStyle w:val="ListParagraph"/>
        <w:ind w:left="0"/>
        <w:rPr>
          <w:rFonts w:cs="Arial"/>
          <w:color w:val="000000"/>
          <w:sz w:val="24"/>
          <w:szCs w:val="24"/>
          <w:lang w:val="en-GB"/>
        </w:rPr>
      </w:pPr>
    </w:p>
    <w:p w:rsidR="00CB6602" w:rsidRPr="002E0280" w:rsidRDefault="00CB6602" w:rsidP="008D6B5A">
      <w:pPr>
        <w:pStyle w:val="ListParagraph"/>
        <w:ind w:left="0"/>
        <w:rPr>
          <w:rFonts w:cs="Arial"/>
          <w:color w:val="000000"/>
          <w:sz w:val="24"/>
          <w:szCs w:val="24"/>
          <w:lang w:val="en-GB"/>
        </w:rPr>
      </w:pPr>
      <w:r w:rsidRPr="002E0280">
        <w:rPr>
          <w:rFonts w:cs="Arial"/>
          <w:color w:val="000000"/>
          <w:sz w:val="24"/>
          <w:szCs w:val="24"/>
          <w:lang w:val="en-GB"/>
        </w:rPr>
        <w:t xml:space="preserve">During their secondment UK </w:t>
      </w:r>
      <w:r w:rsidR="00A3753C" w:rsidRPr="002E0280">
        <w:rPr>
          <w:rFonts w:cs="Arial"/>
          <w:color w:val="000000"/>
          <w:sz w:val="24"/>
          <w:szCs w:val="24"/>
          <w:lang w:val="en-GB"/>
        </w:rPr>
        <w:t>staff members</w:t>
      </w:r>
      <w:r w:rsidRPr="002E0280">
        <w:rPr>
          <w:rFonts w:cs="Arial"/>
          <w:color w:val="000000"/>
          <w:sz w:val="24"/>
          <w:szCs w:val="24"/>
          <w:lang w:val="en-GB"/>
        </w:rPr>
        <w:t xml:space="preserve"> are – like seconded staff members from other Member States – subject to the seat agreement between the hosting Member State and the Board of Governors. </w:t>
      </w:r>
      <w:r w:rsidR="00DE34C2">
        <w:rPr>
          <w:rFonts w:cs="Arial"/>
          <w:color w:val="000000"/>
          <w:sz w:val="24"/>
          <w:szCs w:val="24"/>
          <w:lang w:val="en-GB"/>
        </w:rPr>
        <w:t xml:space="preserve">Most of the </w:t>
      </w:r>
      <w:r w:rsidRPr="002E0280">
        <w:rPr>
          <w:rFonts w:cs="Arial"/>
          <w:color w:val="000000"/>
          <w:sz w:val="24"/>
          <w:szCs w:val="24"/>
          <w:lang w:val="en-GB"/>
        </w:rPr>
        <w:t>seat agreements foresee special rights to members of the seconded staff including the entitlement to a special residence permit</w:t>
      </w:r>
      <w:r w:rsidR="009F1562" w:rsidRPr="002E0280">
        <w:rPr>
          <w:rStyle w:val="FootnoteReference"/>
          <w:rFonts w:cs="Arial"/>
          <w:color w:val="000000"/>
          <w:sz w:val="24"/>
          <w:szCs w:val="24"/>
          <w:lang w:val="en-GB"/>
        </w:rPr>
        <w:footnoteReference w:id="5"/>
      </w:r>
      <w:r w:rsidRPr="002E0280">
        <w:rPr>
          <w:rFonts w:cs="Arial"/>
          <w:color w:val="000000"/>
          <w:sz w:val="24"/>
          <w:szCs w:val="24"/>
          <w:lang w:val="en-GB"/>
        </w:rPr>
        <w:t xml:space="preserve">. This means that UK seconded staff members should not be in need of a particular residence permit as long as their secondment continues. Only after the termination of the secondment a residence </w:t>
      </w:r>
      <w:r w:rsidR="00FF3C3B" w:rsidRPr="002E0280">
        <w:rPr>
          <w:rFonts w:cs="Arial"/>
          <w:color w:val="000000"/>
          <w:sz w:val="24"/>
          <w:szCs w:val="24"/>
          <w:lang w:val="en-GB"/>
        </w:rPr>
        <w:t xml:space="preserve">permit </w:t>
      </w:r>
      <w:r w:rsidRPr="002E0280">
        <w:rPr>
          <w:rFonts w:cs="Arial"/>
          <w:color w:val="000000"/>
          <w:sz w:val="24"/>
          <w:szCs w:val="24"/>
          <w:lang w:val="en-GB"/>
        </w:rPr>
        <w:t>would be required.</w:t>
      </w:r>
    </w:p>
    <w:p w:rsidR="0049622A" w:rsidRPr="002E0280" w:rsidRDefault="0049622A" w:rsidP="008D6B5A">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p>
    <w:p w:rsidR="00575D25" w:rsidRPr="002E0280" w:rsidRDefault="00EE063D" w:rsidP="00575D25">
      <w:pPr>
        <w:pStyle w:val="ListParagraph"/>
        <w:ind w:left="0"/>
        <w:rPr>
          <w:rFonts w:cs="Arial"/>
          <w:b/>
          <w:color w:val="000000"/>
          <w:sz w:val="24"/>
          <w:szCs w:val="24"/>
          <w:lang w:val="en-GB"/>
        </w:rPr>
      </w:pPr>
      <w:r w:rsidRPr="002E0280">
        <w:rPr>
          <w:rFonts w:cs="Arial"/>
          <w:b/>
          <w:color w:val="000000"/>
          <w:sz w:val="24"/>
          <w:szCs w:val="24"/>
          <w:lang w:val="en-GB"/>
        </w:rPr>
        <w:t>b) Locally Recruited T</w:t>
      </w:r>
      <w:r w:rsidR="00575D25" w:rsidRPr="002E0280">
        <w:rPr>
          <w:rFonts w:cs="Arial"/>
          <w:b/>
          <w:color w:val="000000"/>
          <w:sz w:val="24"/>
          <w:szCs w:val="24"/>
          <w:lang w:val="en-GB"/>
        </w:rPr>
        <w:t>eachers</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 xml:space="preserve">The number of locally recruited teachers in general and the number of locally recruited teachers with UK nationality has increased significantly </w:t>
      </w:r>
      <w:r w:rsidR="00A3753C" w:rsidRPr="002E0280">
        <w:rPr>
          <w:rFonts w:cs="Arial"/>
          <w:color w:val="000000"/>
          <w:sz w:val="24"/>
          <w:szCs w:val="24"/>
          <w:lang w:val="en-GB"/>
        </w:rPr>
        <w:t>over the last years</w:t>
      </w:r>
      <w:r w:rsidRPr="002E0280">
        <w:rPr>
          <w:rFonts w:cs="Arial"/>
          <w:color w:val="000000"/>
          <w:sz w:val="24"/>
          <w:szCs w:val="24"/>
          <w:lang w:val="en-GB"/>
        </w:rPr>
        <w:t>. Currently,</w:t>
      </w:r>
      <w:r w:rsidR="00FC4523" w:rsidRPr="002E0280">
        <w:rPr>
          <w:rFonts w:cs="Arial"/>
          <w:color w:val="000000"/>
          <w:sz w:val="24"/>
          <w:szCs w:val="24"/>
          <w:lang w:val="en-GB"/>
        </w:rPr>
        <w:t xml:space="preserve"> 174</w:t>
      </w:r>
      <w:r w:rsidRPr="002E0280">
        <w:rPr>
          <w:rFonts w:cs="Arial"/>
          <w:color w:val="000000"/>
          <w:sz w:val="24"/>
          <w:szCs w:val="24"/>
          <w:lang w:val="en-GB"/>
        </w:rPr>
        <w:t xml:space="preserve"> locally recruited teachers with UK nationality</w:t>
      </w:r>
      <w:r w:rsidRPr="002E0280">
        <w:rPr>
          <w:rStyle w:val="FootnoteReference"/>
          <w:rFonts w:cs="Arial"/>
          <w:color w:val="000000"/>
          <w:sz w:val="24"/>
          <w:szCs w:val="24"/>
          <w:lang w:val="en-GB"/>
        </w:rPr>
        <w:footnoteReference w:id="6"/>
      </w:r>
      <w:r w:rsidRPr="002E0280">
        <w:rPr>
          <w:rFonts w:cs="Arial"/>
          <w:color w:val="000000"/>
          <w:sz w:val="24"/>
          <w:szCs w:val="24"/>
          <w:lang w:val="en-GB"/>
        </w:rPr>
        <w:t xml:space="preserve"> are employed in the European Schools.</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Their rights and duties are ruled out in the Service Regulations for Locally Recruited Teachers in the European Schools that entered into force on 1 September 2016.</w:t>
      </w:r>
    </w:p>
    <w:p w:rsidR="00575D25" w:rsidRPr="002E0280" w:rsidRDefault="00575D25" w:rsidP="00575D25">
      <w:pPr>
        <w:pStyle w:val="ListParagraph"/>
        <w:ind w:left="0"/>
        <w:rPr>
          <w:rFonts w:cs="Arial"/>
          <w:color w:val="000000"/>
          <w:sz w:val="24"/>
          <w:szCs w:val="24"/>
          <w:lang w:val="en-GB"/>
        </w:rPr>
      </w:pPr>
    </w:p>
    <w:p w:rsidR="00575D25" w:rsidRPr="002E0280" w:rsidRDefault="00926FD1" w:rsidP="00575D25">
      <w:pPr>
        <w:pStyle w:val="ListParagraph"/>
        <w:ind w:left="0"/>
        <w:rPr>
          <w:rFonts w:cs="Arial"/>
          <w:color w:val="000000"/>
          <w:sz w:val="24"/>
          <w:szCs w:val="24"/>
          <w:lang w:val="en-GB"/>
        </w:rPr>
      </w:pPr>
      <w:r>
        <w:rPr>
          <w:rFonts w:cs="Arial"/>
          <w:color w:val="000000"/>
          <w:sz w:val="24"/>
          <w:szCs w:val="24"/>
          <w:lang w:val="en-GB"/>
        </w:rPr>
        <w:t xml:space="preserve">The </w:t>
      </w:r>
      <w:r w:rsidR="00575D25" w:rsidRPr="002E0280">
        <w:rPr>
          <w:rFonts w:cs="Arial"/>
          <w:color w:val="000000"/>
          <w:sz w:val="24"/>
          <w:szCs w:val="24"/>
          <w:lang w:val="en-GB"/>
        </w:rPr>
        <w:t xml:space="preserve">BREXIT </w:t>
      </w:r>
      <w:r>
        <w:rPr>
          <w:rFonts w:cs="Arial"/>
          <w:color w:val="000000"/>
          <w:sz w:val="24"/>
          <w:szCs w:val="24"/>
          <w:lang w:val="en-GB"/>
        </w:rPr>
        <w:t xml:space="preserve">on 31 January 2020 does not </w:t>
      </w:r>
      <w:r w:rsidR="00575D25" w:rsidRPr="002E0280">
        <w:rPr>
          <w:rFonts w:cs="Arial"/>
          <w:color w:val="000000"/>
          <w:sz w:val="24"/>
          <w:szCs w:val="24"/>
          <w:lang w:val="en-GB"/>
        </w:rPr>
        <w:t>have direct implications on their existing contractual relations to the European Schools.</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Nevertheless, the</w:t>
      </w:r>
      <w:r w:rsidR="00926FD1">
        <w:rPr>
          <w:rFonts w:cs="Arial"/>
          <w:color w:val="000000"/>
          <w:sz w:val="24"/>
          <w:szCs w:val="24"/>
          <w:lang w:val="en-GB"/>
        </w:rPr>
        <w:t xml:space="preserve">se locally recruited teachers have lost </w:t>
      </w:r>
      <w:r w:rsidRPr="002E0280">
        <w:rPr>
          <w:rFonts w:cs="Arial"/>
          <w:color w:val="000000"/>
          <w:sz w:val="24"/>
          <w:szCs w:val="24"/>
          <w:lang w:val="en-GB"/>
        </w:rPr>
        <w:t xml:space="preserve">their EU citizenship and their freedom of movement will be impacted in future. This will influence the decision of locally recruited teachers to stay or to leave the system. </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 xml:space="preserve">Moreover, </w:t>
      </w:r>
      <w:r w:rsidR="00926FD1">
        <w:rPr>
          <w:rFonts w:cs="Arial"/>
          <w:color w:val="000000"/>
          <w:sz w:val="24"/>
          <w:szCs w:val="24"/>
          <w:lang w:val="en-GB"/>
        </w:rPr>
        <w:t xml:space="preserve">this will </w:t>
      </w:r>
      <w:r w:rsidRPr="002E0280">
        <w:rPr>
          <w:rFonts w:cs="Arial"/>
          <w:color w:val="000000"/>
          <w:sz w:val="24"/>
          <w:szCs w:val="24"/>
          <w:lang w:val="en-GB"/>
        </w:rPr>
        <w:t xml:space="preserve">also </w:t>
      </w:r>
      <w:r w:rsidR="00926FD1">
        <w:rPr>
          <w:rFonts w:cs="Arial"/>
          <w:color w:val="000000"/>
          <w:sz w:val="24"/>
          <w:szCs w:val="24"/>
          <w:lang w:val="en-GB"/>
        </w:rPr>
        <w:t xml:space="preserve">have an impact on </w:t>
      </w:r>
      <w:r w:rsidRPr="002E0280">
        <w:rPr>
          <w:rFonts w:cs="Arial"/>
          <w:color w:val="000000"/>
          <w:sz w:val="24"/>
          <w:szCs w:val="24"/>
          <w:lang w:val="en-GB"/>
        </w:rPr>
        <w:t>the attractiveness of the European Schools as potential employer.</w:t>
      </w:r>
    </w:p>
    <w:p w:rsidR="00575D25" w:rsidRPr="002E0280" w:rsidRDefault="00575D25" w:rsidP="00575D25">
      <w:pPr>
        <w:pStyle w:val="ListParagraph"/>
        <w:ind w:left="0"/>
        <w:rPr>
          <w:rFonts w:cs="Arial"/>
          <w:color w:val="000000"/>
          <w:sz w:val="24"/>
          <w:szCs w:val="24"/>
          <w:lang w:val="en-GB"/>
        </w:rPr>
      </w:pPr>
    </w:p>
    <w:p w:rsidR="00926FD1" w:rsidRDefault="00CB6602" w:rsidP="00575D25">
      <w:pPr>
        <w:pStyle w:val="ListParagraph"/>
        <w:ind w:left="0"/>
        <w:rPr>
          <w:rFonts w:cs="Arial"/>
          <w:color w:val="000000"/>
          <w:sz w:val="24"/>
          <w:szCs w:val="24"/>
          <w:lang w:val="en-GB"/>
        </w:rPr>
      </w:pPr>
      <w:r w:rsidRPr="002E0280">
        <w:rPr>
          <w:rFonts w:cs="Arial"/>
          <w:color w:val="000000"/>
          <w:sz w:val="24"/>
          <w:szCs w:val="24"/>
          <w:lang w:val="en-GB"/>
        </w:rPr>
        <w:t>Different from seconded staff members, locally recruited teachers are not entitled to a particular residence permit.</w:t>
      </w:r>
      <w:r w:rsidR="009F1562" w:rsidRPr="002E0280">
        <w:rPr>
          <w:rFonts w:cs="Arial"/>
          <w:color w:val="000000"/>
          <w:sz w:val="24"/>
          <w:szCs w:val="24"/>
          <w:lang w:val="en-GB"/>
        </w:rPr>
        <w:t xml:space="preserve"> </w:t>
      </w:r>
    </w:p>
    <w:p w:rsidR="00A3753C" w:rsidRPr="002E0280" w:rsidRDefault="00926FD1" w:rsidP="00926FD1">
      <w:pPr>
        <w:pStyle w:val="ListParagraph"/>
        <w:ind w:left="0"/>
        <w:rPr>
          <w:rFonts w:eastAsia="Calibri" w:cs="Arial"/>
          <w:szCs w:val="24"/>
          <w:lang w:val="en-GB" w:eastAsia="en-US"/>
        </w:rPr>
      </w:pPr>
      <w:r>
        <w:rPr>
          <w:rFonts w:cs="Arial"/>
          <w:color w:val="000000"/>
          <w:sz w:val="24"/>
          <w:szCs w:val="24"/>
          <w:lang w:val="en-GB"/>
        </w:rPr>
        <w:t>Having b</w:t>
      </w:r>
      <w:r w:rsidR="009F1562" w:rsidRPr="002E0280">
        <w:rPr>
          <w:rFonts w:cs="Arial"/>
          <w:color w:val="000000"/>
          <w:sz w:val="24"/>
          <w:szCs w:val="24"/>
          <w:lang w:val="en-GB"/>
        </w:rPr>
        <w:t>ecom</w:t>
      </w:r>
      <w:r>
        <w:rPr>
          <w:rFonts w:cs="Arial"/>
          <w:color w:val="000000"/>
          <w:sz w:val="24"/>
          <w:szCs w:val="24"/>
          <w:lang w:val="en-GB"/>
        </w:rPr>
        <w:t>e</w:t>
      </w:r>
      <w:r w:rsidR="009F1562" w:rsidRPr="002E0280">
        <w:rPr>
          <w:rFonts w:cs="Arial"/>
          <w:color w:val="000000"/>
          <w:sz w:val="24"/>
          <w:szCs w:val="24"/>
          <w:lang w:val="en-GB"/>
        </w:rPr>
        <w:t xml:space="preserve"> third country nationals as of </w:t>
      </w:r>
      <w:r w:rsidR="001219BB" w:rsidRPr="002E0280">
        <w:rPr>
          <w:rFonts w:cs="Arial"/>
          <w:color w:val="000000"/>
          <w:sz w:val="24"/>
          <w:szCs w:val="24"/>
          <w:lang w:val="en-GB"/>
        </w:rPr>
        <w:t xml:space="preserve">the withdrawal date </w:t>
      </w:r>
      <w:r w:rsidR="009F1562" w:rsidRPr="002E0280">
        <w:rPr>
          <w:rFonts w:cs="Arial"/>
          <w:color w:val="000000"/>
          <w:sz w:val="24"/>
          <w:szCs w:val="24"/>
          <w:lang w:val="en-GB"/>
        </w:rPr>
        <w:t xml:space="preserve">they </w:t>
      </w:r>
      <w:r w:rsidR="00DE34C2">
        <w:rPr>
          <w:rFonts w:cs="Arial"/>
          <w:color w:val="000000"/>
          <w:sz w:val="24"/>
          <w:szCs w:val="24"/>
          <w:lang w:val="en-GB"/>
        </w:rPr>
        <w:t>are subject to</w:t>
      </w:r>
      <w:r>
        <w:rPr>
          <w:rFonts w:cs="Arial"/>
          <w:color w:val="000000"/>
          <w:sz w:val="24"/>
          <w:szCs w:val="24"/>
          <w:lang w:val="en-GB"/>
        </w:rPr>
        <w:t xml:space="preserve"> interim measures which have been established by all EU Member States including those Member States hosting a European School. For the details of these interim measures see the following link: </w:t>
      </w:r>
      <w:hyperlink r:id="rId10" w:history="1">
        <w:r w:rsidR="00A3753C" w:rsidRPr="002E0280">
          <w:rPr>
            <w:rStyle w:val="Hyperlink"/>
            <w:rFonts w:eastAsia="Calibri" w:cs="Arial"/>
            <w:sz w:val="24"/>
            <w:szCs w:val="24"/>
            <w:lang w:val="en-GB" w:eastAsia="en-US"/>
          </w:rPr>
          <w:t>https://ec.europa.eu/info/brexit/brexit-preparedness/citizens-rights_en</w:t>
        </w:r>
      </w:hyperlink>
      <w:r w:rsidR="00A3753C" w:rsidRPr="002E0280">
        <w:rPr>
          <w:rStyle w:val="Hyperlink"/>
          <w:rFonts w:eastAsia="Calibri" w:cs="Arial"/>
          <w:sz w:val="24"/>
          <w:szCs w:val="24"/>
          <w:lang w:val="en-GB" w:eastAsia="en-US"/>
        </w:rPr>
        <w:t>)</w:t>
      </w:r>
      <w:r w:rsidR="00A3753C" w:rsidRPr="002E0280">
        <w:rPr>
          <w:rFonts w:eastAsia="Calibri" w:cs="Arial"/>
          <w:szCs w:val="24"/>
          <w:lang w:val="en-GB" w:eastAsia="en-US"/>
        </w:rPr>
        <w:t xml:space="preserve">. </w:t>
      </w:r>
    </w:p>
    <w:p w:rsidR="009F1562" w:rsidRPr="002E0280" w:rsidRDefault="009F1562"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b/>
          <w:color w:val="000000"/>
          <w:sz w:val="24"/>
          <w:szCs w:val="24"/>
          <w:lang w:val="en-GB"/>
        </w:rPr>
      </w:pPr>
      <w:r w:rsidRPr="002E0280">
        <w:rPr>
          <w:rFonts w:cs="Arial"/>
          <w:b/>
          <w:color w:val="000000"/>
          <w:sz w:val="24"/>
          <w:szCs w:val="24"/>
          <w:lang w:val="en-GB"/>
        </w:rPr>
        <w:t>c) Administrative and Ancillary Staff (AAS)</w:t>
      </w:r>
    </w:p>
    <w:p w:rsidR="00575D25" w:rsidRPr="002E0280" w:rsidRDefault="00575D25" w:rsidP="00575D25">
      <w:pPr>
        <w:pStyle w:val="ListParagraph"/>
        <w:ind w:left="0"/>
        <w:rPr>
          <w:rFonts w:cs="Arial"/>
          <w:b/>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 xml:space="preserve">With the closing of the European School Culham on 31 August 2017, the number of members of the AAS with UK nationality </w:t>
      </w:r>
      <w:r w:rsidR="006F5EB1" w:rsidRPr="002E0280">
        <w:rPr>
          <w:rFonts w:cs="Arial"/>
          <w:color w:val="000000"/>
          <w:sz w:val="24"/>
          <w:szCs w:val="24"/>
          <w:lang w:val="en-GB"/>
        </w:rPr>
        <w:t xml:space="preserve">has </w:t>
      </w:r>
      <w:r w:rsidRPr="002E0280">
        <w:rPr>
          <w:rFonts w:cs="Arial"/>
          <w:color w:val="000000"/>
          <w:sz w:val="24"/>
          <w:szCs w:val="24"/>
          <w:lang w:val="en-GB"/>
        </w:rPr>
        <w:t>drop</w:t>
      </w:r>
      <w:r w:rsidR="006F5EB1" w:rsidRPr="002E0280">
        <w:rPr>
          <w:rFonts w:cs="Arial"/>
          <w:color w:val="000000"/>
          <w:sz w:val="24"/>
          <w:szCs w:val="24"/>
          <w:lang w:val="en-GB"/>
        </w:rPr>
        <w:t>ped</w:t>
      </w:r>
      <w:r w:rsidRPr="002E0280">
        <w:rPr>
          <w:rFonts w:cs="Arial"/>
          <w:color w:val="000000"/>
          <w:sz w:val="24"/>
          <w:szCs w:val="24"/>
          <w:lang w:val="en-GB"/>
        </w:rPr>
        <w:t xml:space="preserve"> </w:t>
      </w:r>
      <w:r w:rsidR="00FC4523" w:rsidRPr="002E0280">
        <w:rPr>
          <w:rFonts w:cs="Arial"/>
          <w:color w:val="000000"/>
          <w:sz w:val="24"/>
          <w:szCs w:val="24"/>
          <w:lang w:val="en-GB"/>
        </w:rPr>
        <w:t>to 9</w:t>
      </w:r>
      <w:r w:rsidRPr="002E0280">
        <w:rPr>
          <w:rStyle w:val="FootnoteReference"/>
          <w:rFonts w:cs="Arial"/>
          <w:color w:val="000000"/>
          <w:sz w:val="24"/>
          <w:szCs w:val="24"/>
          <w:lang w:val="en-GB"/>
        </w:rPr>
        <w:footnoteReference w:id="7"/>
      </w:r>
      <w:r w:rsidRPr="002E0280">
        <w:rPr>
          <w:rFonts w:cs="Arial"/>
          <w:color w:val="000000"/>
          <w:sz w:val="24"/>
          <w:szCs w:val="24"/>
          <w:lang w:val="en-GB"/>
        </w:rPr>
        <w:t xml:space="preserve">.  </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Like the contract for the Loca</w:t>
      </w:r>
      <w:r w:rsidR="00926FD1">
        <w:rPr>
          <w:rFonts w:cs="Arial"/>
          <w:color w:val="000000"/>
          <w:sz w:val="24"/>
          <w:szCs w:val="24"/>
          <w:lang w:val="en-GB"/>
        </w:rPr>
        <w:t xml:space="preserve">lly Recruited Teachers, </w:t>
      </w:r>
      <w:r w:rsidRPr="002E0280">
        <w:rPr>
          <w:rFonts w:cs="Arial"/>
          <w:color w:val="000000"/>
          <w:sz w:val="24"/>
          <w:szCs w:val="24"/>
          <w:lang w:val="en-GB"/>
        </w:rPr>
        <w:t xml:space="preserve">the BREXIT </w:t>
      </w:r>
      <w:r w:rsidR="00926FD1">
        <w:rPr>
          <w:rFonts w:cs="Arial"/>
          <w:color w:val="000000"/>
          <w:sz w:val="24"/>
          <w:szCs w:val="24"/>
          <w:lang w:val="en-GB"/>
        </w:rPr>
        <w:t>has</w:t>
      </w:r>
      <w:r w:rsidRPr="002E0280">
        <w:rPr>
          <w:rFonts w:cs="Arial"/>
          <w:color w:val="000000"/>
          <w:sz w:val="24"/>
          <w:szCs w:val="24"/>
          <w:lang w:val="en-GB"/>
        </w:rPr>
        <w:t xml:space="preserve"> direct implications on their contractual relations to the European Schools.</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 xml:space="preserve">Nevertheless, the attractiveness of the European </w:t>
      </w:r>
      <w:r w:rsidR="006F5EB1" w:rsidRPr="002E0280">
        <w:rPr>
          <w:rFonts w:cs="Arial"/>
          <w:color w:val="000000"/>
          <w:sz w:val="24"/>
          <w:szCs w:val="24"/>
          <w:lang w:val="en-GB"/>
        </w:rPr>
        <w:t>S</w:t>
      </w:r>
      <w:r w:rsidRPr="002E0280">
        <w:rPr>
          <w:rFonts w:cs="Arial"/>
          <w:color w:val="000000"/>
          <w:sz w:val="24"/>
          <w:szCs w:val="24"/>
          <w:lang w:val="en-GB"/>
        </w:rPr>
        <w:t xml:space="preserve">chools as </w:t>
      </w:r>
      <w:r w:rsidR="00613E6C" w:rsidRPr="002E0280">
        <w:rPr>
          <w:rFonts w:cs="Arial"/>
          <w:color w:val="000000"/>
          <w:sz w:val="24"/>
          <w:szCs w:val="24"/>
          <w:lang w:val="en-GB"/>
        </w:rPr>
        <w:t xml:space="preserve">an </w:t>
      </w:r>
      <w:r w:rsidRPr="002E0280">
        <w:rPr>
          <w:rFonts w:cs="Arial"/>
          <w:color w:val="000000"/>
          <w:sz w:val="24"/>
          <w:szCs w:val="24"/>
          <w:lang w:val="en-GB"/>
        </w:rPr>
        <w:t>employer</w:t>
      </w:r>
      <w:r w:rsidR="00613E6C" w:rsidRPr="002E0280">
        <w:rPr>
          <w:rFonts w:cs="Arial"/>
          <w:color w:val="000000"/>
          <w:sz w:val="24"/>
          <w:szCs w:val="24"/>
          <w:lang w:val="en-GB"/>
        </w:rPr>
        <w:t xml:space="preserve"> may</w:t>
      </w:r>
      <w:r w:rsidRPr="002E0280">
        <w:rPr>
          <w:rFonts w:cs="Arial"/>
          <w:color w:val="000000"/>
          <w:sz w:val="24"/>
          <w:szCs w:val="24"/>
          <w:lang w:val="en-GB"/>
        </w:rPr>
        <w:t xml:space="preserve"> be affected by a BREXIT, although the impact </w:t>
      </w:r>
      <w:r w:rsidR="006F5EB1" w:rsidRPr="002E0280">
        <w:rPr>
          <w:rFonts w:cs="Arial"/>
          <w:color w:val="000000"/>
          <w:sz w:val="24"/>
          <w:szCs w:val="24"/>
          <w:lang w:val="en-GB"/>
        </w:rPr>
        <w:t xml:space="preserve">on the system </w:t>
      </w:r>
      <w:r w:rsidRPr="002E0280">
        <w:rPr>
          <w:rFonts w:cs="Arial"/>
          <w:color w:val="000000"/>
          <w:sz w:val="24"/>
          <w:szCs w:val="24"/>
          <w:lang w:val="en-GB"/>
        </w:rPr>
        <w:t xml:space="preserve">will be minor due to the low number of AAS </w:t>
      </w:r>
      <w:r w:rsidR="00613E6C" w:rsidRPr="002E0280">
        <w:rPr>
          <w:rFonts w:cs="Arial"/>
          <w:color w:val="000000"/>
          <w:sz w:val="24"/>
          <w:szCs w:val="24"/>
          <w:lang w:val="en-GB"/>
        </w:rPr>
        <w:t xml:space="preserve">members </w:t>
      </w:r>
      <w:r w:rsidRPr="002E0280">
        <w:rPr>
          <w:rFonts w:cs="Arial"/>
          <w:color w:val="000000"/>
          <w:sz w:val="24"/>
          <w:szCs w:val="24"/>
          <w:lang w:val="en-GB"/>
        </w:rPr>
        <w:t xml:space="preserve">with UK nationality. </w:t>
      </w:r>
    </w:p>
    <w:p w:rsidR="009F1562" w:rsidRPr="002E0280" w:rsidRDefault="009F1562" w:rsidP="00575D25">
      <w:pPr>
        <w:pStyle w:val="ListParagraph"/>
        <w:ind w:left="0"/>
        <w:rPr>
          <w:rFonts w:cs="Arial"/>
          <w:color w:val="000000"/>
          <w:sz w:val="24"/>
          <w:szCs w:val="24"/>
          <w:lang w:val="en-GB"/>
        </w:rPr>
      </w:pPr>
    </w:p>
    <w:p w:rsidR="00926FD1" w:rsidRDefault="009F1562" w:rsidP="00575D25">
      <w:pPr>
        <w:pStyle w:val="ListParagraph"/>
        <w:ind w:left="0"/>
        <w:rPr>
          <w:rFonts w:cs="Arial"/>
          <w:color w:val="000000"/>
          <w:sz w:val="24"/>
          <w:szCs w:val="24"/>
          <w:lang w:val="en-GB"/>
        </w:rPr>
      </w:pPr>
      <w:r w:rsidRPr="002E0280">
        <w:rPr>
          <w:rFonts w:cs="Arial"/>
          <w:color w:val="000000"/>
          <w:sz w:val="24"/>
          <w:szCs w:val="24"/>
          <w:lang w:val="en-GB"/>
        </w:rPr>
        <w:t>With respect to their residence for members of the AAS the same rules do apply as for locally recruited teachers.</w:t>
      </w:r>
      <w:r w:rsidR="00926FD1">
        <w:rPr>
          <w:rFonts w:cs="Arial"/>
          <w:color w:val="000000"/>
          <w:sz w:val="24"/>
          <w:szCs w:val="24"/>
          <w:lang w:val="en-GB"/>
        </w:rPr>
        <w:t xml:space="preserve"> </w:t>
      </w:r>
    </w:p>
    <w:p w:rsidR="00926FD1" w:rsidRDefault="00926FD1" w:rsidP="00575D25">
      <w:pPr>
        <w:pStyle w:val="ListParagraph"/>
        <w:ind w:left="0"/>
        <w:rPr>
          <w:rFonts w:cs="Arial"/>
          <w:color w:val="000000"/>
          <w:sz w:val="24"/>
          <w:szCs w:val="24"/>
          <w:lang w:val="en-GB"/>
        </w:rPr>
      </w:pPr>
    </w:p>
    <w:p w:rsidR="00926FD1" w:rsidRDefault="00926FD1" w:rsidP="00575D25">
      <w:pPr>
        <w:pStyle w:val="ListParagraph"/>
        <w:ind w:left="0"/>
        <w:rPr>
          <w:rFonts w:cs="Arial"/>
          <w:color w:val="000000"/>
          <w:sz w:val="24"/>
          <w:szCs w:val="24"/>
          <w:lang w:val="en-GB"/>
        </w:rPr>
      </w:pPr>
    </w:p>
    <w:p w:rsidR="00926FD1" w:rsidRPr="00926FD1" w:rsidRDefault="00926FD1" w:rsidP="00575D25">
      <w:pPr>
        <w:pStyle w:val="ListParagraph"/>
        <w:ind w:left="0"/>
        <w:rPr>
          <w:rFonts w:cs="Arial"/>
          <w:b/>
          <w:color w:val="000000"/>
          <w:sz w:val="24"/>
          <w:szCs w:val="24"/>
          <w:lang w:val="en-GB"/>
        </w:rPr>
      </w:pPr>
      <w:r w:rsidRPr="00926FD1">
        <w:rPr>
          <w:rFonts w:cs="Arial"/>
          <w:b/>
          <w:color w:val="000000"/>
          <w:sz w:val="24"/>
          <w:szCs w:val="24"/>
          <w:lang w:val="en-GB"/>
        </w:rPr>
        <w:t xml:space="preserve">d) Summary </w:t>
      </w:r>
    </w:p>
    <w:p w:rsidR="00926FD1" w:rsidRDefault="00926FD1" w:rsidP="00575D25">
      <w:pPr>
        <w:pStyle w:val="ListParagraph"/>
        <w:ind w:left="0"/>
        <w:rPr>
          <w:rFonts w:cs="Arial"/>
          <w:color w:val="000000"/>
          <w:sz w:val="24"/>
          <w:szCs w:val="24"/>
          <w:lang w:val="en-GB"/>
        </w:rPr>
      </w:pPr>
    </w:p>
    <w:p w:rsidR="00CD7256" w:rsidRDefault="00926FD1" w:rsidP="00575D25">
      <w:pPr>
        <w:pStyle w:val="ListParagraph"/>
        <w:ind w:left="0"/>
        <w:rPr>
          <w:rFonts w:cs="Arial"/>
          <w:color w:val="000000"/>
          <w:sz w:val="24"/>
          <w:szCs w:val="24"/>
          <w:lang w:val="en-GB"/>
        </w:rPr>
      </w:pPr>
      <w:r>
        <w:rPr>
          <w:rFonts w:cs="Arial"/>
          <w:color w:val="000000"/>
          <w:sz w:val="24"/>
          <w:szCs w:val="24"/>
          <w:lang w:val="en-GB"/>
        </w:rPr>
        <w:t>The legal situation of staff of the European Schools with UK natio</w:t>
      </w:r>
      <w:r w:rsidR="00CD7256">
        <w:rPr>
          <w:rFonts w:cs="Arial"/>
          <w:color w:val="000000"/>
          <w:sz w:val="24"/>
          <w:szCs w:val="24"/>
          <w:lang w:val="en-GB"/>
        </w:rPr>
        <w:t>nality</w:t>
      </w:r>
      <w:r>
        <w:rPr>
          <w:rFonts w:cs="Arial"/>
          <w:color w:val="000000"/>
          <w:sz w:val="24"/>
          <w:szCs w:val="24"/>
          <w:lang w:val="en-GB"/>
        </w:rPr>
        <w:t xml:space="preserve"> can be</w:t>
      </w:r>
      <w:r w:rsidR="00CD7256">
        <w:rPr>
          <w:rFonts w:cs="Arial"/>
          <w:color w:val="000000"/>
          <w:sz w:val="24"/>
          <w:szCs w:val="24"/>
          <w:lang w:val="en-GB"/>
        </w:rPr>
        <w:t xml:space="preserve"> summarized as follows:</w:t>
      </w:r>
      <w:r>
        <w:rPr>
          <w:rFonts w:cs="Arial"/>
          <w:color w:val="000000"/>
          <w:sz w:val="24"/>
          <w:szCs w:val="24"/>
          <w:lang w:val="en-GB"/>
        </w:rPr>
        <w:t xml:space="preserve"> </w:t>
      </w:r>
    </w:p>
    <w:p w:rsidR="009F1562" w:rsidRPr="002E0280" w:rsidRDefault="009F1562"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p>
    <w:p w:rsidR="00BF2C14" w:rsidRPr="002E0280" w:rsidRDefault="00BF2C14" w:rsidP="00575D25">
      <w:pPr>
        <w:pStyle w:val="ListParagraph"/>
        <w:ind w:left="0"/>
        <w:rPr>
          <w:rFonts w:cs="Arial"/>
          <w:b/>
          <w:color w:val="000000"/>
          <w:sz w:val="24"/>
          <w:szCs w:val="24"/>
          <w:lang w:val="en-GB"/>
        </w:rPr>
      </w:pPr>
    </w:p>
    <w:p w:rsidR="00BF2C14" w:rsidRPr="002E0280" w:rsidRDefault="00BF2C14" w:rsidP="00575D25">
      <w:pPr>
        <w:pStyle w:val="ListParagraph"/>
        <w:ind w:left="0"/>
        <w:rPr>
          <w:rFonts w:cs="Arial"/>
          <w:b/>
          <w:color w:val="000000"/>
          <w:sz w:val="24"/>
          <w:szCs w:val="24"/>
          <w:lang w:val="en-GB"/>
        </w:rPr>
      </w:pPr>
      <w:r w:rsidRPr="002E0280">
        <w:rPr>
          <w:rFonts w:cs="Arial"/>
          <w:b/>
          <w:color w:val="000000"/>
          <w:sz w:val="24"/>
          <w:szCs w:val="24"/>
          <w:lang w:val="en-GB"/>
        </w:rPr>
        <w:t xml:space="preserve"> </w:t>
      </w:r>
    </w:p>
    <w:p w:rsidR="00BF2C14" w:rsidRPr="002E0280" w:rsidRDefault="00BF2C14" w:rsidP="00575D25">
      <w:pPr>
        <w:pStyle w:val="ListParagraph"/>
        <w:ind w:left="0"/>
        <w:rPr>
          <w:rFonts w:cs="Arial"/>
          <w:b/>
          <w:color w:val="000000"/>
          <w:sz w:val="24"/>
          <w:szCs w:val="24"/>
          <w:lang w:val="en-GB"/>
        </w:rPr>
      </w:pPr>
    </w:p>
    <w:p w:rsidR="005F0681" w:rsidRPr="00CD7256" w:rsidRDefault="00BF2C14" w:rsidP="00CD7256">
      <w:pPr>
        <w:spacing w:before="0" w:after="0"/>
        <w:jc w:val="left"/>
        <w:rPr>
          <w:rFonts w:cs="Arial"/>
          <w:color w:val="000000"/>
          <w:sz w:val="24"/>
          <w:szCs w:val="24"/>
          <w:lang w:val="en-GB"/>
        </w:rPr>
      </w:pPr>
      <w:r w:rsidRPr="002E0280">
        <w:rPr>
          <w:noProof/>
          <w:lang w:val="en-US" w:eastAsia="en-US"/>
        </w:rPr>
        <mc:AlternateContent>
          <mc:Choice Requires="wps">
            <w:drawing>
              <wp:anchor distT="45720" distB="45720" distL="114300" distR="114300" simplePos="0" relativeHeight="251669504" behindDoc="0" locked="0" layoutInCell="1" allowOverlap="1" wp14:anchorId="3AE08D8B" wp14:editId="53A2E2D7">
                <wp:simplePos x="0" y="0"/>
                <wp:positionH relativeFrom="column">
                  <wp:posOffset>6350</wp:posOffset>
                </wp:positionH>
                <wp:positionV relativeFrom="paragraph">
                  <wp:posOffset>-869950</wp:posOffset>
                </wp:positionV>
                <wp:extent cx="5662295" cy="1404620"/>
                <wp:effectExtent l="0" t="0" r="1460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rgbClr val="FFFFFF"/>
                        </a:solidFill>
                        <a:ln w="9525">
                          <a:solidFill>
                            <a:srgbClr val="000000"/>
                          </a:solidFill>
                          <a:miter lim="800000"/>
                          <a:headEnd/>
                          <a:tailEnd/>
                        </a:ln>
                      </wps:spPr>
                      <wps:txbx>
                        <w:txbxContent>
                          <w:p w:rsidR="00FF1270" w:rsidRDefault="00FF1270" w:rsidP="00BF2C14">
                            <w:pPr>
                              <w:rPr>
                                <w:b/>
                                <w:sz w:val="24"/>
                                <w:szCs w:val="24"/>
                                <w:u w:val="single"/>
                                <w:lang w:val="en-US"/>
                              </w:rPr>
                            </w:pPr>
                            <w:r w:rsidRPr="00BC3D6A">
                              <w:rPr>
                                <w:b/>
                                <w:sz w:val="24"/>
                                <w:szCs w:val="24"/>
                                <w:u w:val="single"/>
                                <w:lang w:val="en-US"/>
                              </w:rPr>
                              <w:t xml:space="preserve">Main consequences of </w:t>
                            </w:r>
                            <w:r>
                              <w:rPr>
                                <w:b/>
                                <w:sz w:val="24"/>
                                <w:szCs w:val="24"/>
                                <w:u w:val="single"/>
                                <w:lang w:val="en-US"/>
                              </w:rPr>
                              <w:t>the BREXIT</w:t>
                            </w:r>
                            <w:r w:rsidRPr="00CD7256">
                              <w:rPr>
                                <w:b/>
                                <w:sz w:val="24"/>
                                <w:szCs w:val="24"/>
                                <w:lang w:val="en-US"/>
                              </w:rPr>
                              <w:t xml:space="preserve"> with the </w:t>
                            </w:r>
                            <w:r w:rsidRPr="008351FC">
                              <w:rPr>
                                <w:b/>
                                <w:sz w:val="24"/>
                                <w:szCs w:val="24"/>
                                <w:lang w:val="en-US"/>
                              </w:rPr>
                              <w:t xml:space="preserve">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FF1270" w:rsidRPr="008351FC" w:rsidRDefault="00FF1270" w:rsidP="00BF2C14">
                            <w:pPr>
                              <w:rPr>
                                <w:b/>
                                <w:sz w:val="24"/>
                                <w:szCs w:val="24"/>
                                <w:lang w:val="en-US"/>
                              </w:rPr>
                            </w:pPr>
                          </w:p>
                          <w:p w:rsidR="00FF1270" w:rsidRPr="00BF2C14" w:rsidRDefault="00FF1270" w:rsidP="00BF097C">
                            <w:pPr>
                              <w:pStyle w:val="ListParagraph"/>
                              <w:numPr>
                                <w:ilvl w:val="0"/>
                                <w:numId w:val="37"/>
                              </w:numPr>
                              <w:rPr>
                                <w:sz w:val="24"/>
                                <w:szCs w:val="24"/>
                                <w:lang w:val="en-US"/>
                              </w:rPr>
                            </w:pPr>
                            <w:r w:rsidRPr="00BF2C14">
                              <w:rPr>
                                <w:b/>
                                <w:color w:val="000000"/>
                                <w:sz w:val="24"/>
                                <w:szCs w:val="24"/>
                                <w:lang w:val="en-US"/>
                              </w:rPr>
                              <w:t>The United Kingdom will be a third country as of</w:t>
                            </w:r>
                            <w:r>
                              <w:rPr>
                                <w:b/>
                                <w:color w:val="000000"/>
                                <w:sz w:val="24"/>
                                <w:szCs w:val="24"/>
                                <w:lang w:val="en-US"/>
                              </w:rPr>
                              <w:t xml:space="preserve"> the withdrawal date</w:t>
                            </w:r>
                            <w:r w:rsidRPr="00BF2C14">
                              <w:rPr>
                                <w:b/>
                                <w:color w:val="000000"/>
                                <w:sz w:val="24"/>
                                <w:szCs w:val="24"/>
                                <w:lang w:val="en-US"/>
                              </w:rPr>
                              <w:t>.</w:t>
                            </w:r>
                          </w:p>
                          <w:p w:rsidR="00FF1270" w:rsidRPr="00BF2C14" w:rsidRDefault="00FF1270" w:rsidP="00BF2C14">
                            <w:pPr>
                              <w:pStyle w:val="ListParagraph"/>
                              <w:ind w:left="360"/>
                              <w:rPr>
                                <w:sz w:val="24"/>
                                <w:szCs w:val="24"/>
                                <w:lang w:val="en-US"/>
                              </w:rPr>
                            </w:pPr>
                          </w:p>
                          <w:p w:rsidR="00FF1270" w:rsidRPr="00BF2C14" w:rsidRDefault="00FF1270" w:rsidP="00BF097C">
                            <w:pPr>
                              <w:pStyle w:val="ListParagraph"/>
                              <w:numPr>
                                <w:ilvl w:val="0"/>
                                <w:numId w:val="37"/>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the withdrawal date</w:t>
                            </w:r>
                            <w:r w:rsidRPr="00BF2C14">
                              <w:rPr>
                                <w:b/>
                                <w:color w:val="000000"/>
                                <w:sz w:val="24"/>
                                <w:szCs w:val="24"/>
                                <w:lang w:val="en-US"/>
                              </w:rPr>
                              <w:t>.</w:t>
                            </w:r>
                          </w:p>
                          <w:p w:rsidR="00FF1270" w:rsidRPr="00BF2C14" w:rsidRDefault="00FF1270" w:rsidP="00BF2C14">
                            <w:pPr>
                              <w:pStyle w:val="ListParagraph"/>
                              <w:rPr>
                                <w:b/>
                                <w:i/>
                                <w:color w:val="000000"/>
                                <w:sz w:val="24"/>
                                <w:szCs w:val="24"/>
                                <w:lang w:val="en-US"/>
                              </w:rPr>
                            </w:pPr>
                          </w:p>
                          <w:p w:rsidR="00FF1270" w:rsidRPr="008351FC" w:rsidRDefault="00FF1270" w:rsidP="00BF2C14">
                            <w:pPr>
                              <w:pStyle w:val="ListParagraph"/>
                              <w:ind w:left="360"/>
                              <w:rPr>
                                <w:sz w:val="24"/>
                                <w:szCs w:val="24"/>
                                <w:lang w:val="en-US"/>
                              </w:rPr>
                            </w:pPr>
                          </w:p>
                          <w:p w:rsidR="00FF1270" w:rsidRPr="008351FC" w:rsidRDefault="00FF1270" w:rsidP="00BF2C14">
                            <w:pPr>
                              <w:pStyle w:val="ListParagraph"/>
                              <w:ind w:left="360"/>
                              <w:rPr>
                                <w:b/>
                                <w:sz w:val="24"/>
                                <w:szCs w:val="24"/>
                                <w:lang w:val="en-US"/>
                              </w:rPr>
                            </w:pPr>
                            <w:r w:rsidRPr="008351FC">
                              <w:rPr>
                                <w:b/>
                                <w:sz w:val="24"/>
                                <w:szCs w:val="24"/>
                                <w:lang w:val="en-US"/>
                              </w:rPr>
                              <w:t>This means in particular:</w:t>
                            </w:r>
                          </w:p>
                          <w:p w:rsidR="00FF1270" w:rsidRPr="008351FC" w:rsidRDefault="00FF1270" w:rsidP="00BF2C14">
                            <w:pPr>
                              <w:pStyle w:val="ListParagraph"/>
                              <w:rPr>
                                <w:b/>
                                <w:sz w:val="24"/>
                                <w:szCs w:val="24"/>
                                <w:lang w:val="en-US"/>
                              </w:rPr>
                            </w:pPr>
                          </w:p>
                          <w:p w:rsidR="00FF1270" w:rsidRDefault="00FF1270" w:rsidP="00BF097C">
                            <w:pPr>
                              <w:pStyle w:val="ListParagraph"/>
                              <w:numPr>
                                <w:ilvl w:val="0"/>
                                <w:numId w:val="38"/>
                              </w:numPr>
                              <w:rPr>
                                <w:sz w:val="24"/>
                                <w:szCs w:val="24"/>
                                <w:lang w:val="en-US"/>
                              </w:rPr>
                            </w:pPr>
                            <w:r w:rsidRPr="001675E3">
                              <w:rPr>
                                <w:b/>
                                <w:sz w:val="24"/>
                                <w:szCs w:val="24"/>
                                <w:lang w:val="en-US"/>
                              </w:rPr>
                              <w:t xml:space="preserve">Seconded </w:t>
                            </w:r>
                            <w:r>
                              <w:rPr>
                                <w:b/>
                                <w:sz w:val="24"/>
                                <w:szCs w:val="24"/>
                                <w:lang w:val="en-US"/>
                              </w:rPr>
                              <w:t>staff members</w:t>
                            </w:r>
                            <w:r>
                              <w:rPr>
                                <w:sz w:val="24"/>
                                <w:szCs w:val="24"/>
                                <w:lang w:val="en-US"/>
                              </w:rPr>
                              <w:t xml:space="preserve"> may finalise their secondment on 31 August 2021 at the latest.</w:t>
                            </w:r>
                          </w:p>
                          <w:p w:rsidR="00FF1270" w:rsidRPr="00FF3932" w:rsidRDefault="00FF1270" w:rsidP="00461468">
                            <w:pPr>
                              <w:pStyle w:val="ListParagraph"/>
                              <w:rPr>
                                <w:b/>
                                <w:sz w:val="24"/>
                                <w:szCs w:val="24"/>
                                <w:lang w:val="en-US"/>
                              </w:rPr>
                            </w:pPr>
                            <w:r w:rsidRPr="00FF3932">
                              <w:rPr>
                                <w:sz w:val="24"/>
                                <w:szCs w:val="24"/>
                                <w:lang w:val="en-US"/>
                              </w:rPr>
                              <w:t>The</w:t>
                            </w:r>
                            <w:r>
                              <w:rPr>
                                <w:sz w:val="24"/>
                                <w:szCs w:val="24"/>
                                <w:lang w:val="en-US"/>
                              </w:rPr>
                              <w:t xml:space="preserve"> basis of their</w:t>
                            </w:r>
                            <w:r w:rsidRPr="00FF3932">
                              <w:rPr>
                                <w:sz w:val="24"/>
                                <w:szCs w:val="24"/>
                                <w:lang w:val="en-US"/>
                              </w:rPr>
                              <w:t xml:space="preserve"> legal residence in the hosting Member State </w:t>
                            </w:r>
                            <w:r w:rsidRPr="00F22431">
                              <w:rPr>
                                <w:b/>
                                <w:sz w:val="24"/>
                                <w:szCs w:val="24"/>
                                <w:lang w:val="en-US"/>
                              </w:rPr>
                              <w:t>during their secondment</w:t>
                            </w:r>
                            <w:r>
                              <w:rPr>
                                <w:sz w:val="24"/>
                                <w:szCs w:val="24"/>
                                <w:lang w:val="en-US"/>
                              </w:rPr>
                              <w:t xml:space="preserve"> is provided in the Seat Agreements between the Board of Governors and the hosting Member States (see for the details Annex VI).</w:t>
                            </w:r>
                            <w:r w:rsidRPr="00FF3932">
                              <w:rPr>
                                <w:sz w:val="24"/>
                                <w:szCs w:val="24"/>
                                <w:lang w:val="en-US"/>
                              </w:rPr>
                              <w:t xml:space="preserve"> </w:t>
                            </w:r>
                          </w:p>
                          <w:p w:rsidR="00FF1270" w:rsidRPr="001675E3" w:rsidRDefault="00FF1270" w:rsidP="001675E3">
                            <w:pPr>
                              <w:rPr>
                                <w:sz w:val="24"/>
                                <w:szCs w:val="24"/>
                                <w:lang w:val="en-US"/>
                              </w:rPr>
                            </w:pPr>
                          </w:p>
                          <w:p w:rsidR="00FF1270" w:rsidRPr="00854D70" w:rsidRDefault="00FF1270" w:rsidP="00BF097C">
                            <w:pPr>
                              <w:pStyle w:val="ListParagraph"/>
                              <w:numPr>
                                <w:ilvl w:val="0"/>
                                <w:numId w:val="38"/>
                              </w:numPr>
                              <w:rPr>
                                <w:b/>
                                <w:sz w:val="24"/>
                                <w:szCs w:val="24"/>
                                <w:lang w:val="en-US"/>
                              </w:rPr>
                            </w:pPr>
                            <w:r w:rsidRPr="001675E3">
                              <w:rPr>
                                <w:b/>
                                <w:sz w:val="24"/>
                                <w:szCs w:val="24"/>
                                <w:lang w:val="en-US"/>
                              </w:rPr>
                              <w:t>Locally Recruited Teachers (LRT) and Administrative and Ancillary Staff (AAS)</w:t>
                            </w:r>
                            <w:r>
                              <w:rPr>
                                <w:sz w:val="24"/>
                                <w:szCs w:val="24"/>
                                <w:lang w:val="en-US"/>
                              </w:rPr>
                              <w:t xml:space="preserve"> are in principle considered as workers within the meaning of Article 45 TFEU and are therefore protected by the provisions of the Withdrawal Agreement.</w:t>
                            </w:r>
                          </w:p>
                          <w:p w:rsidR="00FF1270" w:rsidRPr="00854D70" w:rsidRDefault="00FF1270" w:rsidP="00854D70">
                            <w:pPr>
                              <w:rPr>
                                <w:b/>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08D8B" id="_x0000_s1027" type="#_x0000_t202" style="position:absolute;margin-left:.5pt;margin-top:-68.5pt;width:445.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">
                <v:textbox style="mso-fit-shape-to-text:t">
                  <w:txbxContent>
                    <w:p w:rsidR="00FF1270" w:rsidRDefault="00FF1270" w:rsidP="00BF2C14">
                      <w:pPr>
                        <w:rPr>
                          <w:b/>
                          <w:sz w:val="24"/>
                          <w:szCs w:val="24"/>
                          <w:u w:val="single"/>
                          <w:lang w:val="en-US"/>
                        </w:rPr>
                      </w:pPr>
                      <w:r w:rsidRPr="00BC3D6A">
                        <w:rPr>
                          <w:b/>
                          <w:sz w:val="24"/>
                          <w:szCs w:val="24"/>
                          <w:u w:val="single"/>
                          <w:lang w:val="en-US"/>
                        </w:rPr>
                        <w:t xml:space="preserve">Main consequences of </w:t>
                      </w:r>
                      <w:r>
                        <w:rPr>
                          <w:b/>
                          <w:sz w:val="24"/>
                          <w:szCs w:val="24"/>
                          <w:u w:val="single"/>
                          <w:lang w:val="en-US"/>
                        </w:rPr>
                        <w:t>the BREXIT</w:t>
                      </w:r>
                      <w:r w:rsidRPr="00CD7256">
                        <w:rPr>
                          <w:b/>
                          <w:sz w:val="24"/>
                          <w:szCs w:val="24"/>
                          <w:lang w:val="en-US"/>
                        </w:rPr>
                        <w:t xml:space="preserve"> with the </w:t>
                      </w:r>
                      <w:r w:rsidRPr="008351FC">
                        <w:rPr>
                          <w:b/>
                          <w:sz w:val="24"/>
                          <w:szCs w:val="24"/>
                          <w:lang w:val="en-US"/>
                        </w:rPr>
                        <w:t xml:space="preserve">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FF1270" w:rsidRPr="008351FC" w:rsidRDefault="00FF1270" w:rsidP="00BF2C14">
                      <w:pPr>
                        <w:rPr>
                          <w:b/>
                          <w:sz w:val="24"/>
                          <w:szCs w:val="24"/>
                          <w:lang w:val="en-US"/>
                        </w:rPr>
                      </w:pPr>
                    </w:p>
                    <w:p w:rsidR="00FF1270" w:rsidRPr="00BF2C14" w:rsidRDefault="00FF1270" w:rsidP="00BF097C">
                      <w:pPr>
                        <w:pStyle w:val="ListParagraph"/>
                        <w:numPr>
                          <w:ilvl w:val="0"/>
                          <w:numId w:val="37"/>
                        </w:numPr>
                        <w:rPr>
                          <w:sz w:val="24"/>
                          <w:szCs w:val="24"/>
                          <w:lang w:val="en-US"/>
                        </w:rPr>
                      </w:pPr>
                      <w:r w:rsidRPr="00BF2C14">
                        <w:rPr>
                          <w:b/>
                          <w:color w:val="000000"/>
                          <w:sz w:val="24"/>
                          <w:szCs w:val="24"/>
                          <w:lang w:val="en-US"/>
                        </w:rPr>
                        <w:t>The United Kingdom will be a third country as of</w:t>
                      </w:r>
                      <w:r>
                        <w:rPr>
                          <w:b/>
                          <w:color w:val="000000"/>
                          <w:sz w:val="24"/>
                          <w:szCs w:val="24"/>
                          <w:lang w:val="en-US"/>
                        </w:rPr>
                        <w:t xml:space="preserve"> the withdrawal date</w:t>
                      </w:r>
                      <w:r w:rsidRPr="00BF2C14">
                        <w:rPr>
                          <w:b/>
                          <w:color w:val="000000"/>
                          <w:sz w:val="24"/>
                          <w:szCs w:val="24"/>
                          <w:lang w:val="en-US"/>
                        </w:rPr>
                        <w:t>.</w:t>
                      </w:r>
                    </w:p>
                    <w:p w:rsidR="00FF1270" w:rsidRPr="00BF2C14" w:rsidRDefault="00FF1270" w:rsidP="00BF2C14">
                      <w:pPr>
                        <w:pStyle w:val="ListParagraph"/>
                        <w:ind w:left="360"/>
                        <w:rPr>
                          <w:sz w:val="24"/>
                          <w:szCs w:val="24"/>
                          <w:lang w:val="en-US"/>
                        </w:rPr>
                      </w:pPr>
                    </w:p>
                    <w:p w:rsidR="00FF1270" w:rsidRPr="00BF2C14" w:rsidRDefault="00FF1270" w:rsidP="00BF097C">
                      <w:pPr>
                        <w:pStyle w:val="ListParagraph"/>
                        <w:numPr>
                          <w:ilvl w:val="0"/>
                          <w:numId w:val="37"/>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the withdrawal date</w:t>
                      </w:r>
                      <w:r w:rsidRPr="00BF2C14">
                        <w:rPr>
                          <w:b/>
                          <w:color w:val="000000"/>
                          <w:sz w:val="24"/>
                          <w:szCs w:val="24"/>
                          <w:lang w:val="en-US"/>
                        </w:rPr>
                        <w:t>.</w:t>
                      </w:r>
                    </w:p>
                    <w:p w:rsidR="00FF1270" w:rsidRPr="00BF2C14" w:rsidRDefault="00FF1270" w:rsidP="00BF2C14">
                      <w:pPr>
                        <w:pStyle w:val="ListParagraph"/>
                        <w:rPr>
                          <w:b/>
                          <w:i/>
                          <w:color w:val="000000"/>
                          <w:sz w:val="24"/>
                          <w:szCs w:val="24"/>
                          <w:lang w:val="en-US"/>
                        </w:rPr>
                      </w:pPr>
                    </w:p>
                    <w:p w:rsidR="00FF1270" w:rsidRPr="008351FC" w:rsidRDefault="00FF1270" w:rsidP="00BF2C14">
                      <w:pPr>
                        <w:pStyle w:val="ListParagraph"/>
                        <w:ind w:left="360"/>
                        <w:rPr>
                          <w:sz w:val="24"/>
                          <w:szCs w:val="24"/>
                          <w:lang w:val="en-US"/>
                        </w:rPr>
                      </w:pPr>
                    </w:p>
                    <w:p w:rsidR="00FF1270" w:rsidRPr="008351FC" w:rsidRDefault="00FF1270" w:rsidP="00BF2C14">
                      <w:pPr>
                        <w:pStyle w:val="ListParagraph"/>
                        <w:ind w:left="360"/>
                        <w:rPr>
                          <w:b/>
                          <w:sz w:val="24"/>
                          <w:szCs w:val="24"/>
                          <w:lang w:val="en-US"/>
                        </w:rPr>
                      </w:pPr>
                      <w:r w:rsidRPr="008351FC">
                        <w:rPr>
                          <w:b/>
                          <w:sz w:val="24"/>
                          <w:szCs w:val="24"/>
                          <w:lang w:val="en-US"/>
                        </w:rPr>
                        <w:t>This means in particular:</w:t>
                      </w:r>
                    </w:p>
                    <w:p w:rsidR="00FF1270" w:rsidRPr="008351FC" w:rsidRDefault="00FF1270" w:rsidP="00BF2C14">
                      <w:pPr>
                        <w:pStyle w:val="ListParagraph"/>
                        <w:rPr>
                          <w:b/>
                          <w:sz w:val="24"/>
                          <w:szCs w:val="24"/>
                          <w:lang w:val="en-US"/>
                        </w:rPr>
                      </w:pPr>
                    </w:p>
                    <w:p w:rsidR="00FF1270" w:rsidRDefault="00FF1270" w:rsidP="00BF097C">
                      <w:pPr>
                        <w:pStyle w:val="ListParagraph"/>
                        <w:numPr>
                          <w:ilvl w:val="0"/>
                          <w:numId w:val="38"/>
                        </w:numPr>
                        <w:rPr>
                          <w:sz w:val="24"/>
                          <w:szCs w:val="24"/>
                          <w:lang w:val="en-US"/>
                        </w:rPr>
                      </w:pPr>
                      <w:r w:rsidRPr="001675E3">
                        <w:rPr>
                          <w:b/>
                          <w:sz w:val="24"/>
                          <w:szCs w:val="24"/>
                          <w:lang w:val="en-US"/>
                        </w:rPr>
                        <w:t xml:space="preserve">Seconded </w:t>
                      </w:r>
                      <w:r>
                        <w:rPr>
                          <w:b/>
                          <w:sz w:val="24"/>
                          <w:szCs w:val="24"/>
                          <w:lang w:val="en-US"/>
                        </w:rPr>
                        <w:t>staff members</w:t>
                      </w:r>
                      <w:r>
                        <w:rPr>
                          <w:sz w:val="24"/>
                          <w:szCs w:val="24"/>
                          <w:lang w:val="en-US"/>
                        </w:rPr>
                        <w:t xml:space="preserve"> may finalise their secondment on 31 August 2021 at the latest.</w:t>
                      </w:r>
                    </w:p>
                    <w:p w:rsidR="00FF1270" w:rsidRPr="00FF3932" w:rsidRDefault="00FF1270" w:rsidP="00461468">
                      <w:pPr>
                        <w:pStyle w:val="ListParagraph"/>
                        <w:rPr>
                          <w:b/>
                          <w:sz w:val="24"/>
                          <w:szCs w:val="24"/>
                          <w:lang w:val="en-US"/>
                        </w:rPr>
                      </w:pPr>
                      <w:r w:rsidRPr="00FF3932">
                        <w:rPr>
                          <w:sz w:val="24"/>
                          <w:szCs w:val="24"/>
                          <w:lang w:val="en-US"/>
                        </w:rPr>
                        <w:t>The</w:t>
                      </w:r>
                      <w:r>
                        <w:rPr>
                          <w:sz w:val="24"/>
                          <w:szCs w:val="24"/>
                          <w:lang w:val="en-US"/>
                        </w:rPr>
                        <w:t xml:space="preserve"> basis of their</w:t>
                      </w:r>
                      <w:r w:rsidRPr="00FF3932">
                        <w:rPr>
                          <w:sz w:val="24"/>
                          <w:szCs w:val="24"/>
                          <w:lang w:val="en-US"/>
                        </w:rPr>
                        <w:t xml:space="preserve"> legal residence in the hosting Member State </w:t>
                      </w:r>
                      <w:r w:rsidRPr="00F22431">
                        <w:rPr>
                          <w:b/>
                          <w:sz w:val="24"/>
                          <w:szCs w:val="24"/>
                          <w:lang w:val="en-US"/>
                        </w:rPr>
                        <w:t>during their secondment</w:t>
                      </w:r>
                      <w:r>
                        <w:rPr>
                          <w:sz w:val="24"/>
                          <w:szCs w:val="24"/>
                          <w:lang w:val="en-US"/>
                        </w:rPr>
                        <w:t xml:space="preserve"> is provided in the Seat Agreements between the Board of Governors and the hosting Member States (see for the details Annex VI).</w:t>
                      </w:r>
                      <w:r w:rsidRPr="00FF3932">
                        <w:rPr>
                          <w:sz w:val="24"/>
                          <w:szCs w:val="24"/>
                          <w:lang w:val="en-US"/>
                        </w:rPr>
                        <w:t xml:space="preserve"> </w:t>
                      </w:r>
                    </w:p>
                    <w:p w:rsidR="00FF1270" w:rsidRPr="001675E3" w:rsidRDefault="00FF1270" w:rsidP="001675E3">
                      <w:pPr>
                        <w:rPr>
                          <w:sz w:val="24"/>
                          <w:szCs w:val="24"/>
                          <w:lang w:val="en-US"/>
                        </w:rPr>
                      </w:pPr>
                    </w:p>
                    <w:p w:rsidR="00FF1270" w:rsidRPr="00854D70" w:rsidRDefault="00FF1270" w:rsidP="00BF097C">
                      <w:pPr>
                        <w:pStyle w:val="ListParagraph"/>
                        <w:numPr>
                          <w:ilvl w:val="0"/>
                          <w:numId w:val="38"/>
                        </w:numPr>
                        <w:rPr>
                          <w:b/>
                          <w:sz w:val="24"/>
                          <w:szCs w:val="24"/>
                          <w:lang w:val="en-US"/>
                        </w:rPr>
                      </w:pPr>
                      <w:r w:rsidRPr="001675E3">
                        <w:rPr>
                          <w:b/>
                          <w:sz w:val="24"/>
                          <w:szCs w:val="24"/>
                          <w:lang w:val="en-US"/>
                        </w:rPr>
                        <w:t>Locally Recruited Teachers (LRT) and Administrative and Ancillary Staff (AAS)</w:t>
                      </w:r>
                      <w:r>
                        <w:rPr>
                          <w:sz w:val="24"/>
                          <w:szCs w:val="24"/>
                          <w:lang w:val="en-US"/>
                        </w:rPr>
                        <w:t xml:space="preserve"> are in principle considered as workers within the meaning of Article 45 TFEU and are therefore protected by the provisions of the Withdrawal Agreement.</w:t>
                      </w:r>
                    </w:p>
                    <w:p w:rsidR="00FF1270" w:rsidRPr="00854D70" w:rsidRDefault="00FF1270" w:rsidP="00854D70">
                      <w:pPr>
                        <w:rPr>
                          <w:b/>
                          <w:sz w:val="24"/>
                          <w:szCs w:val="24"/>
                          <w:lang w:val="en-US"/>
                        </w:rPr>
                      </w:pPr>
                    </w:p>
                  </w:txbxContent>
                </v:textbox>
                <w10:wrap type="square"/>
              </v:shape>
            </w:pict>
          </mc:Fallback>
        </mc:AlternateContent>
      </w:r>
      <w:r w:rsidRPr="002E0280">
        <w:rPr>
          <w:rFonts w:cs="Arial"/>
          <w:color w:val="000000"/>
          <w:sz w:val="24"/>
          <w:szCs w:val="24"/>
          <w:lang w:val="en-GB"/>
        </w:rPr>
        <w:br w:type="page"/>
      </w:r>
    </w:p>
    <w:p w:rsidR="004158F7" w:rsidRPr="002E0280" w:rsidRDefault="004158F7" w:rsidP="004C4872">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highlight w:val="yellow"/>
          <w:lang w:val="en-GB"/>
        </w:rPr>
      </w:pPr>
    </w:p>
    <w:p w:rsidR="001D0E7E" w:rsidRPr="00CD7256" w:rsidRDefault="001D0E7E" w:rsidP="00CD7256">
      <w:pPr>
        <w:pStyle w:val="ListParagraph"/>
        <w:numPr>
          <w:ilvl w:val="0"/>
          <w:numId w:val="23"/>
        </w:numPr>
        <w:rPr>
          <w:b/>
          <w:bCs/>
          <w:color w:val="000000"/>
          <w:sz w:val="24"/>
          <w:szCs w:val="24"/>
          <w:lang w:val="en-GB"/>
        </w:rPr>
      </w:pPr>
      <w:r w:rsidRPr="00CD7256">
        <w:rPr>
          <w:b/>
          <w:bCs/>
          <w:color w:val="000000"/>
          <w:sz w:val="24"/>
          <w:szCs w:val="24"/>
          <w:lang w:val="en-GB"/>
        </w:rPr>
        <w:t>Situation with respect to the national inspectors and UK experts and external examiners</w:t>
      </w:r>
    </w:p>
    <w:p w:rsidR="001D0E7E" w:rsidRPr="002E0280" w:rsidRDefault="001D0E7E" w:rsidP="001D0E7E">
      <w:pPr>
        <w:rPr>
          <w:b/>
          <w:bCs/>
          <w:color w:val="000000"/>
          <w:sz w:val="24"/>
          <w:szCs w:val="24"/>
          <w:lang w:val="en-GB"/>
        </w:rPr>
      </w:pPr>
    </w:p>
    <w:p w:rsidR="001D0E7E" w:rsidRPr="002E0280" w:rsidRDefault="001D0E7E" w:rsidP="001D0E7E">
      <w:pPr>
        <w:rPr>
          <w:color w:val="000000"/>
          <w:sz w:val="24"/>
          <w:szCs w:val="24"/>
          <w:lang w:val="en-GB"/>
        </w:rPr>
      </w:pPr>
      <w:r w:rsidRPr="002E0280">
        <w:rPr>
          <w:color w:val="000000"/>
          <w:sz w:val="24"/>
          <w:szCs w:val="24"/>
          <w:lang w:val="en-GB"/>
        </w:rPr>
        <w:t>The European Schools are supported by two national inspectors, nominated by the UK delegation. They carry responsibility for the evaluation of seconded teachers, for curriculum development as it relates to English and for related teacher professional development</w:t>
      </w:r>
      <w:r w:rsidRPr="002E0280">
        <w:rPr>
          <w:sz w:val="24"/>
          <w:szCs w:val="24"/>
          <w:lang w:val="en-GB"/>
        </w:rPr>
        <w:t xml:space="preserve">.  In addition, the </w:t>
      </w:r>
      <w:r w:rsidRPr="002E0280">
        <w:rPr>
          <w:color w:val="000000"/>
          <w:sz w:val="24"/>
          <w:szCs w:val="24"/>
          <w:lang w:val="en-GB"/>
        </w:rPr>
        <w:t xml:space="preserve">UK secondary inspector has overall responsibility for the quality assurance of European Baccalaureate English examinations, both written and oral which are offered at six levels: L1; L1A; L11; L11A; L111 and LIV. </w:t>
      </w:r>
    </w:p>
    <w:p w:rsidR="001D0E7E" w:rsidRPr="002E0280" w:rsidRDefault="001D0E7E" w:rsidP="001D0E7E">
      <w:pPr>
        <w:rPr>
          <w:color w:val="000000"/>
          <w:sz w:val="24"/>
          <w:szCs w:val="24"/>
          <w:lang w:val="en-GB"/>
        </w:rPr>
      </w:pPr>
    </w:p>
    <w:p w:rsidR="001D0E7E" w:rsidRPr="002E0280" w:rsidRDefault="001D0E7E" w:rsidP="001D0E7E">
      <w:pPr>
        <w:autoSpaceDE w:val="0"/>
        <w:autoSpaceDN w:val="0"/>
        <w:rPr>
          <w:color w:val="000000"/>
          <w:sz w:val="24"/>
          <w:szCs w:val="24"/>
          <w:lang w:val="en-GB"/>
        </w:rPr>
      </w:pPr>
      <w:r w:rsidRPr="002E0280">
        <w:rPr>
          <w:color w:val="000000"/>
          <w:sz w:val="24"/>
          <w:szCs w:val="24"/>
          <w:lang w:val="en-GB"/>
        </w:rPr>
        <w:t xml:space="preserve">Experts play a key role in relation to the European Baccalaureate. Under the guidance of the national inspector, they are involved in the evaluation of </w:t>
      </w:r>
      <w:r w:rsidRPr="002E0280">
        <w:rPr>
          <w:sz w:val="24"/>
          <w:szCs w:val="24"/>
          <w:lang w:val="en-GB"/>
        </w:rPr>
        <w:t>examination</w:t>
      </w:r>
      <w:r w:rsidRPr="002E0280">
        <w:rPr>
          <w:color w:val="1F497D"/>
          <w:sz w:val="24"/>
          <w:szCs w:val="24"/>
          <w:lang w:val="en-GB"/>
        </w:rPr>
        <w:t xml:space="preserve"> </w:t>
      </w:r>
      <w:r w:rsidRPr="002E0280">
        <w:rPr>
          <w:color w:val="000000"/>
          <w:sz w:val="24"/>
          <w:szCs w:val="24"/>
          <w:lang w:val="en-GB"/>
        </w:rPr>
        <w:t xml:space="preserve">proposals, the </w:t>
      </w:r>
      <w:r w:rsidRPr="002E0280">
        <w:rPr>
          <w:sz w:val="24"/>
          <w:szCs w:val="24"/>
          <w:lang w:val="en-GB"/>
        </w:rPr>
        <w:t xml:space="preserve">elaboration of the written examination papers, </w:t>
      </w:r>
      <w:r w:rsidRPr="002E0280">
        <w:rPr>
          <w:color w:val="000000"/>
          <w:sz w:val="24"/>
          <w:szCs w:val="24"/>
          <w:lang w:val="en-GB"/>
        </w:rPr>
        <w:t xml:space="preserve">the selection of examination material, the quality assurance of oral examination proposals and </w:t>
      </w:r>
      <w:r w:rsidRPr="002E0280">
        <w:rPr>
          <w:sz w:val="24"/>
          <w:szCs w:val="24"/>
          <w:lang w:val="en-GB"/>
        </w:rPr>
        <w:t>English language versions of papers in other subjects</w:t>
      </w:r>
      <w:r w:rsidRPr="002E0280">
        <w:rPr>
          <w:color w:val="000000"/>
          <w:sz w:val="24"/>
          <w:szCs w:val="24"/>
          <w:lang w:val="en-GB"/>
        </w:rPr>
        <w:t xml:space="preserve">. </w:t>
      </w:r>
    </w:p>
    <w:p w:rsidR="00561C27" w:rsidRPr="002E0280" w:rsidRDefault="00561C27" w:rsidP="00561C27">
      <w:pPr>
        <w:autoSpaceDE w:val="0"/>
        <w:autoSpaceDN w:val="0"/>
        <w:rPr>
          <w:color w:val="000000"/>
          <w:sz w:val="24"/>
          <w:szCs w:val="24"/>
          <w:lang w:val="en-GB"/>
        </w:rPr>
      </w:pPr>
      <w:r w:rsidRPr="002E0280">
        <w:rPr>
          <w:color w:val="000000"/>
          <w:sz w:val="24"/>
          <w:szCs w:val="24"/>
          <w:lang w:val="en-GB"/>
        </w:rPr>
        <w:t xml:space="preserve">Currently, there are 11 experts of UK nationality involved in the European Baccalaureate; 6 of these are involved in English and 5 in other subjects. </w:t>
      </w:r>
    </w:p>
    <w:p w:rsidR="00561C27" w:rsidRPr="002E0280" w:rsidRDefault="00561C27" w:rsidP="00561C27">
      <w:pPr>
        <w:autoSpaceDE w:val="0"/>
        <w:autoSpaceDN w:val="0"/>
        <w:rPr>
          <w:color w:val="000000"/>
          <w:sz w:val="24"/>
          <w:szCs w:val="24"/>
          <w:lang w:val="en-GB"/>
        </w:rPr>
      </w:pPr>
      <w:r w:rsidRPr="002E0280">
        <w:rPr>
          <w:color w:val="000000"/>
          <w:sz w:val="24"/>
          <w:szCs w:val="24"/>
          <w:lang w:val="en-GB"/>
        </w:rPr>
        <w:t>In 2019, the European Baccalaureate generally also involved approximately 80 external correctors with UK nationality (50 for the written examinations and 30 for the oral examinations). The recruitment and approval of these correctors is also undertaken by the UK secondary inspector.</w:t>
      </w:r>
    </w:p>
    <w:p w:rsidR="001D0E7E" w:rsidRPr="002E0280" w:rsidRDefault="001D0E7E" w:rsidP="001D0E7E">
      <w:pPr>
        <w:rPr>
          <w:color w:val="000000"/>
          <w:sz w:val="24"/>
          <w:szCs w:val="24"/>
          <w:lang w:val="en-GB"/>
        </w:rPr>
      </w:pPr>
      <w:r w:rsidRPr="002E0280">
        <w:rPr>
          <w:color w:val="000000"/>
          <w:sz w:val="24"/>
          <w:szCs w:val="24"/>
          <w:lang w:val="en-GB"/>
        </w:rPr>
        <w:t>The number of candidates who sat the English language examinations in</w:t>
      </w:r>
      <w:r w:rsidR="00561C27" w:rsidRPr="002E0280">
        <w:rPr>
          <w:color w:val="000000"/>
          <w:sz w:val="24"/>
          <w:szCs w:val="24"/>
          <w:lang w:val="en-GB"/>
        </w:rPr>
        <w:t xml:space="preserve"> the European Baccalaureate 2019</w:t>
      </w:r>
      <w:r w:rsidRPr="002E0280">
        <w:rPr>
          <w:color w:val="000000"/>
          <w:sz w:val="24"/>
          <w:szCs w:val="24"/>
          <w:lang w:val="en-GB"/>
        </w:rPr>
        <w:t xml:space="preserve"> indicate the scale of the undertaking:</w:t>
      </w:r>
    </w:p>
    <w:p w:rsidR="001D0E7E" w:rsidRPr="002E0280" w:rsidRDefault="001D0E7E" w:rsidP="001D0E7E">
      <w:pPr>
        <w:rPr>
          <w:color w:val="000000"/>
          <w:sz w:val="24"/>
          <w:szCs w:val="24"/>
          <w:lang w:val="en-GB"/>
        </w:rPr>
      </w:pPr>
    </w:p>
    <w:tbl>
      <w:tblPr>
        <w:tblW w:w="0" w:type="auto"/>
        <w:tblInd w:w="1127" w:type="dxa"/>
        <w:tblCellMar>
          <w:left w:w="0" w:type="dxa"/>
          <w:right w:w="0" w:type="dxa"/>
        </w:tblCellMar>
        <w:tblLook w:val="04A0" w:firstRow="1" w:lastRow="0" w:firstColumn="1" w:lastColumn="0" w:noHBand="0" w:noVBand="1"/>
      </w:tblPr>
      <w:tblGrid>
        <w:gridCol w:w="2245"/>
        <w:gridCol w:w="2242"/>
        <w:gridCol w:w="1971"/>
      </w:tblGrid>
      <w:tr w:rsidR="001D0E7E" w:rsidRPr="002E0280" w:rsidTr="00AE31FC">
        <w:tc>
          <w:tcPr>
            <w:tcW w:w="2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0E7E" w:rsidRPr="002E0280" w:rsidRDefault="001D0E7E" w:rsidP="00AE31FC">
            <w:pPr>
              <w:rPr>
                <w:b/>
                <w:bCs/>
                <w:color w:val="000000"/>
                <w:sz w:val="24"/>
                <w:szCs w:val="24"/>
                <w:lang w:val="en-GB"/>
              </w:rPr>
            </w:pPr>
            <w:r w:rsidRPr="002E0280">
              <w:rPr>
                <w:b/>
                <w:bCs/>
                <w:color w:val="000000"/>
                <w:sz w:val="24"/>
                <w:szCs w:val="24"/>
                <w:lang w:val="en-GB"/>
              </w:rPr>
              <w:t>Level</w:t>
            </w:r>
          </w:p>
        </w:tc>
        <w:tc>
          <w:tcPr>
            <w:tcW w:w="2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0E7E" w:rsidRPr="002E0280" w:rsidRDefault="001D0E7E" w:rsidP="00AE31FC">
            <w:pPr>
              <w:rPr>
                <w:b/>
                <w:bCs/>
                <w:color w:val="000000"/>
                <w:sz w:val="24"/>
                <w:szCs w:val="24"/>
                <w:lang w:val="en-GB"/>
              </w:rPr>
            </w:pPr>
            <w:r w:rsidRPr="002E0280">
              <w:rPr>
                <w:b/>
                <w:bCs/>
                <w:color w:val="000000"/>
                <w:sz w:val="24"/>
                <w:szCs w:val="24"/>
                <w:lang w:val="en-GB"/>
              </w:rPr>
              <w:t>Candidates: Written</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0E7E" w:rsidRPr="002E0280" w:rsidRDefault="001D0E7E" w:rsidP="00AE31FC">
            <w:pPr>
              <w:rPr>
                <w:b/>
                <w:bCs/>
                <w:color w:val="000000"/>
                <w:sz w:val="24"/>
                <w:szCs w:val="24"/>
                <w:lang w:val="en-GB"/>
              </w:rPr>
            </w:pPr>
            <w:r w:rsidRPr="002E0280">
              <w:rPr>
                <w:b/>
                <w:bCs/>
                <w:color w:val="000000"/>
                <w:sz w:val="24"/>
                <w:szCs w:val="24"/>
                <w:lang w:val="en-GB"/>
              </w:rPr>
              <w:t>Candidates: Oral</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color w:val="000000"/>
                <w:sz w:val="24"/>
                <w:szCs w:val="24"/>
                <w:lang w:val="en-GB"/>
              </w:rPr>
            </w:pPr>
            <w:r w:rsidRPr="002E0280">
              <w:rPr>
                <w:color w:val="000000"/>
                <w:sz w:val="24"/>
                <w:szCs w:val="24"/>
                <w:lang w:val="en-GB"/>
              </w:rPr>
              <w:t>L1</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rFonts w:ascii="Calibri" w:hAnsi="Calibri"/>
                <w:sz w:val="24"/>
                <w:szCs w:val="24"/>
                <w:lang w:val="en-GB"/>
              </w:rPr>
            </w:pPr>
            <w:r w:rsidRPr="002E0280">
              <w:rPr>
                <w:sz w:val="24"/>
                <w:szCs w:val="24"/>
                <w:lang w:val="en-GB"/>
              </w:rPr>
              <w:t>353</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353</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color w:val="000000"/>
                <w:sz w:val="24"/>
                <w:szCs w:val="24"/>
                <w:lang w:val="en-GB"/>
              </w:rPr>
            </w:pPr>
            <w:r w:rsidRPr="002E0280">
              <w:rPr>
                <w:color w:val="000000"/>
                <w:sz w:val="24"/>
                <w:szCs w:val="24"/>
                <w:lang w:val="en-GB"/>
              </w:rPr>
              <w:t>L1A</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54</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54</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color w:val="000000"/>
                <w:sz w:val="24"/>
                <w:szCs w:val="24"/>
                <w:lang w:val="en-GB"/>
              </w:rPr>
            </w:pPr>
            <w:r w:rsidRPr="002E0280">
              <w:rPr>
                <w:color w:val="000000"/>
                <w:sz w:val="24"/>
                <w:szCs w:val="24"/>
                <w:lang w:val="en-GB"/>
              </w:rPr>
              <w:t>L2</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1227</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910</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color w:val="000000"/>
                <w:sz w:val="24"/>
                <w:szCs w:val="24"/>
                <w:lang w:val="en-GB"/>
              </w:rPr>
            </w:pPr>
            <w:r w:rsidRPr="002E0280">
              <w:rPr>
                <w:color w:val="000000"/>
                <w:sz w:val="24"/>
                <w:szCs w:val="24"/>
                <w:lang w:val="en-GB"/>
              </w:rPr>
              <w:t>L2A</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164</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140</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color w:val="000000"/>
                <w:sz w:val="24"/>
                <w:szCs w:val="24"/>
                <w:lang w:val="en-GB"/>
              </w:rPr>
            </w:pPr>
            <w:r w:rsidRPr="002E0280">
              <w:rPr>
                <w:color w:val="000000"/>
                <w:sz w:val="24"/>
                <w:szCs w:val="24"/>
                <w:lang w:val="en-GB"/>
              </w:rPr>
              <w:t>L3</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232</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68</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color w:val="000000"/>
                <w:sz w:val="24"/>
                <w:szCs w:val="24"/>
                <w:lang w:val="en-GB"/>
              </w:rPr>
            </w:pPr>
            <w:r w:rsidRPr="002E0280">
              <w:rPr>
                <w:color w:val="000000"/>
                <w:sz w:val="24"/>
                <w:szCs w:val="24"/>
                <w:lang w:val="en-GB"/>
              </w:rPr>
              <w:t>L4</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0</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b/>
                <w:bCs/>
                <w:color w:val="000000"/>
                <w:sz w:val="24"/>
                <w:szCs w:val="24"/>
                <w:lang w:val="en-GB"/>
              </w:rPr>
            </w:pPr>
            <w:r w:rsidRPr="002E0280">
              <w:rPr>
                <w:b/>
                <w:bCs/>
                <w:color w:val="000000"/>
                <w:sz w:val="24"/>
                <w:szCs w:val="24"/>
                <w:lang w:val="en-GB"/>
              </w:rPr>
              <w:t>TOTAL</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b/>
                <w:bCs/>
                <w:sz w:val="24"/>
                <w:szCs w:val="24"/>
                <w:lang w:val="en-GB"/>
              </w:rPr>
            </w:pPr>
            <w:r w:rsidRPr="002E0280">
              <w:rPr>
                <w:b/>
                <w:bCs/>
                <w:sz w:val="24"/>
                <w:szCs w:val="24"/>
                <w:lang w:val="en-GB"/>
              </w:rPr>
              <w:t>2030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b/>
                <w:bCs/>
                <w:sz w:val="24"/>
                <w:szCs w:val="24"/>
                <w:lang w:val="en-GB"/>
              </w:rPr>
            </w:pPr>
            <w:r w:rsidRPr="002E0280">
              <w:rPr>
                <w:b/>
                <w:bCs/>
                <w:sz w:val="24"/>
                <w:szCs w:val="24"/>
                <w:lang w:val="en-GB"/>
              </w:rPr>
              <w:t>1525</w:t>
            </w:r>
          </w:p>
        </w:tc>
      </w:tr>
    </w:tbl>
    <w:p w:rsidR="001D0E7E" w:rsidRPr="002E0280" w:rsidRDefault="001D0E7E" w:rsidP="001D0E7E">
      <w:pPr>
        <w:rPr>
          <w:rFonts w:cs="Arial"/>
          <w:color w:val="000000"/>
          <w:sz w:val="24"/>
          <w:szCs w:val="24"/>
          <w:lang w:val="en-GB"/>
        </w:rPr>
      </w:pPr>
    </w:p>
    <w:p w:rsidR="004E40E5" w:rsidRPr="002E0280" w:rsidRDefault="00CD7256" w:rsidP="004E40E5">
      <w:pPr>
        <w:spacing w:before="0" w:after="0"/>
        <w:rPr>
          <w:color w:val="000000"/>
          <w:sz w:val="24"/>
          <w:szCs w:val="24"/>
          <w:lang w:val="en-GB"/>
        </w:rPr>
      </w:pPr>
      <w:r>
        <w:rPr>
          <w:color w:val="000000"/>
          <w:sz w:val="24"/>
          <w:szCs w:val="24"/>
          <w:lang w:val="en-GB"/>
        </w:rPr>
        <w:t>T</w:t>
      </w:r>
      <w:r w:rsidR="004E40E5" w:rsidRPr="002E0280">
        <w:rPr>
          <w:color w:val="000000"/>
          <w:sz w:val="24"/>
          <w:szCs w:val="24"/>
          <w:lang w:val="en-GB"/>
        </w:rPr>
        <w:t>he cooperation with the national inspectors, which is based on the Convention of the European Schools, will end by the end of the 2020/21</w:t>
      </w:r>
      <w:r>
        <w:rPr>
          <w:color w:val="000000"/>
          <w:sz w:val="24"/>
          <w:szCs w:val="24"/>
          <w:lang w:val="en-GB"/>
        </w:rPr>
        <w:t xml:space="preserve"> school year</w:t>
      </w:r>
      <w:r w:rsidR="004E40E5" w:rsidRPr="002E0280">
        <w:rPr>
          <w:color w:val="000000"/>
          <w:sz w:val="24"/>
          <w:szCs w:val="24"/>
          <w:lang w:val="en-GB"/>
        </w:rPr>
        <w:t xml:space="preserve">.  </w:t>
      </w:r>
    </w:p>
    <w:p w:rsidR="004E40E5" w:rsidRPr="002E0280" w:rsidRDefault="004E40E5" w:rsidP="004E40E5">
      <w:pPr>
        <w:spacing w:before="0" w:after="0"/>
        <w:rPr>
          <w:color w:val="000000"/>
          <w:sz w:val="24"/>
          <w:szCs w:val="24"/>
          <w:lang w:val="en-GB"/>
        </w:rPr>
      </w:pPr>
    </w:p>
    <w:p w:rsidR="004E40E5" w:rsidRPr="002E0280" w:rsidRDefault="004E40E5" w:rsidP="004E40E5">
      <w:pPr>
        <w:spacing w:before="0" w:after="0"/>
        <w:rPr>
          <w:color w:val="000000"/>
          <w:sz w:val="24"/>
          <w:szCs w:val="24"/>
          <w:lang w:val="en-GB"/>
        </w:rPr>
      </w:pPr>
      <w:r w:rsidRPr="002E0280">
        <w:rPr>
          <w:color w:val="000000"/>
          <w:sz w:val="24"/>
          <w:szCs w:val="24"/>
          <w:lang w:val="en-GB"/>
        </w:rPr>
        <w:lastRenderedPageBreak/>
        <w:t xml:space="preserve">The possibility to continue to the cooperation with the UK authorities after this transition period </w:t>
      </w:r>
      <w:r w:rsidR="000750BC" w:rsidRPr="002E0280">
        <w:rPr>
          <w:color w:val="000000"/>
          <w:sz w:val="24"/>
          <w:szCs w:val="24"/>
          <w:lang w:val="en-GB"/>
        </w:rPr>
        <w:t>and also the possibility to buy in external expertise</w:t>
      </w:r>
      <w:r w:rsidR="00E47513" w:rsidRPr="002E0280">
        <w:rPr>
          <w:color w:val="000000"/>
          <w:sz w:val="24"/>
          <w:szCs w:val="24"/>
          <w:lang w:val="en-GB"/>
        </w:rPr>
        <w:t xml:space="preserve"> may only </w:t>
      </w:r>
      <w:r w:rsidR="00561C27" w:rsidRPr="002E0280">
        <w:rPr>
          <w:color w:val="000000"/>
          <w:sz w:val="24"/>
          <w:szCs w:val="24"/>
          <w:lang w:val="en-GB"/>
        </w:rPr>
        <w:t xml:space="preserve">be </w:t>
      </w:r>
      <w:r w:rsidRPr="002E0280">
        <w:rPr>
          <w:color w:val="000000"/>
          <w:sz w:val="24"/>
          <w:szCs w:val="24"/>
          <w:lang w:val="en-GB"/>
        </w:rPr>
        <w:t>explored</w:t>
      </w:r>
      <w:r w:rsidR="00561C27" w:rsidRPr="002E0280">
        <w:rPr>
          <w:color w:val="000000"/>
          <w:sz w:val="24"/>
          <w:szCs w:val="24"/>
          <w:lang w:val="en-GB"/>
        </w:rPr>
        <w:t xml:space="preserve"> further</w:t>
      </w:r>
      <w:r w:rsidR="000750BC" w:rsidRPr="002E0280">
        <w:rPr>
          <w:color w:val="000000"/>
          <w:sz w:val="24"/>
          <w:szCs w:val="24"/>
          <w:lang w:val="en-GB"/>
        </w:rPr>
        <w:t xml:space="preserve"> </w:t>
      </w:r>
      <w:r w:rsidR="00E47513" w:rsidRPr="002E0280">
        <w:rPr>
          <w:color w:val="000000"/>
          <w:sz w:val="24"/>
          <w:szCs w:val="24"/>
          <w:lang w:val="en-GB"/>
        </w:rPr>
        <w:t xml:space="preserve">at a later stage depending on the legal situation that will prevail and therefore needs to be addressed accordingly </w:t>
      </w:r>
      <w:r w:rsidR="000750BC" w:rsidRPr="002E0280">
        <w:rPr>
          <w:color w:val="000000"/>
          <w:sz w:val="24"/>
          <w:szCs w:val="24"/>
          <w:lang w:val="en-GB"/>
        </w:rPr>
        <w:t>in future reports of the BREXIT Working Group</w:t>
      </w:r>
      <w:r w:rsidRPr="002E0280">
        <w:rPr>
          <w:color w:val="000000"/>
          <w:sz w:val="24"/>
          <w:szCs w:val="24"/>
          <w:lang w:val="en-GB"/>
        </w:rPr>
        <w:t>.</w:t>
      </w:r>
    </w:p>
    <w:p w:rsidR="00BC3D6A" w:rsidRDefault="00BC3D6A">
      <w:pPr>
        <w:spacing w:before="0" w:after="0"/>
        <w:jc w:val="left"/>
        <w:rPr>
          <w:color w:val="000000"/>
          <w:sz w:val="24"/>
          <w:szCs w:val="24"/>
          <w:lang w:val="en-GB"/>
        </w:rPr>
      </w:pPr>
    </w:p>
    <w:p w:rsidR="00E872E4" w:rsidRPr="002E0280" w:rsidRDefault="00E872E4">
      <w:pPr>
        <w:spacing w:before="0" w:after="0"/>
        <w:jc w:val="left"/>
        <w:rPr>
          <w:color w:val="000000"/>
          <w:sz w:val="24"/>
          <w:szCs w:val="24"/>
          <w:lang w:val="en-GB"/>
        </w:rPr>
      </w:pPr>
    </w:p>
    <w:p w:rsidR="00687981" w:rsidRPr="002E0280" w:rsidRDefault="00687981">
      <w:pPr>
        <w:spacing w:before="0" w:after="0"/>
        <w:jc w:val="left"/>
        <w:rPr>
          <w:color w:val="000000"/>
          <w:sz w:val="24"/>
          <w:szCs w:val="24"/>
          <w:lang w:val="en-GB"/>
        </w:rPr>
      </w:pPr>
    </w:p>
    <w:p w:rsidR="00687981" w:rsidRDefault="009802A4" w:rsidP="00CD7256">
      <w:pPr>
        <w:pStyle w:val="ListParagraph"/>
        <w:numPr>
          <w:ilvl w:val="0"/>
          <w:numId w:val="23"/>
        </w:numPr>
        <w:spacing w:before="0" w:after="0"/>
        <w:jc w:val="left"/>
        <w:rPr>
          <w:b/>
          <w:color w:val="000000"/>
          <w:sz w:val="24"/>
          <w:szCs w:val="24"/>
          <w:lang w:val="en-GB"/>
        </w:rPr>
      </w:pPr>
      <w:r>
        <w:rPr>
          <w:b/>
          <w:color w:val="000000"/>
          <w:sz w:val="24"/>
          <w:szCs w:val="24"/>
          <w:lang w:val="en-GB"/>
        </w:rPr>
        <w:t>Potential</w:t>
      </w:r>
      <w:r w:rsidR="00315672">
        <w:rPr>
          <w:b/>
          <w:color w:val="000000"/>
          <w:sz w:val="24"/>
          <w:szCs w:val="24"/>
          <w:lang w:val="en-GB"/>
        </w:rPr>
        <w:t xml:space="preserve"> areas and </w:t>
      </w:r>
      <w:r>
        <w:rPr>
          <w:b/>
          <w:color w:val="000000"/>
          <w:sz w:val="24"/>
          <w:szCs w:val="24"/>
          <w:lang w:val="en-GB"/>
        </w:rPr>
        <w:t xml:space="preserve">measures to </w:t>
      </w:r>
      <w:r w:rsidR="00785AE2">
        <w:rPr>
          <w:b/>
          <w:color w:val="000000"/>
          <w:sz w:val="24"/>
          <w:szCs w:val="24"/>
          <w:lang w:val="en-GB"/>
        </w:rPr>
        <w:t xml:space="preserve">mitigate the risks linked to the BREXIT </w:t>
      </w:r>
      <w:r>
        <w:rPr>
          <w:b/>
          <w:color w:val="000000"/>
          <w:sz w:val="24"/>
          <w:szCs w:val="24"/>
          <w:lang w:val="en-GB"/>
        </w:rPr>
        <w:t>after 31 August 2021</w:t>
      </w:r>
    </w:p>
    <w:p w:rsidR="009802A4" w:rsidRPr="009802A4" w:rsidRDefault="009802A4" w:rsidP="009802A4">
      <w:pPr>
        <w:spacing w:before="0" w:after="0"/>
        <w:jc w:val="left"/>
        <w:rPr>
          <w:b/>
          <w:color w:val="000000"/>
          <w:sz w:val="24"/>
          <w:szCs w:val="24"/>
          <w:lang w:val="en-GB"/>
        </w:rPr>
      </w:pPr>
    </w:p>
    <w:p w:rsidR="00F0703B" w:rsidRDefault="00E872E4" w:rsidP="003C4F2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 xml:space="preserve">Before addressing potential </w:t>
      </w:r>
      <w:r w:rsidR="00315672">
        <w:rPr>
          <w:color w:val="000000"/>
          <w:sz w:val="24"/>
          <w:szCs w:val="24"/>
          <w:lang w:val="en-GB"/>
        </w:rPr>
        <w:t xml:space="preserve">areas and </w:t>
      </w:r>
      <w:r>
        <w:rPr>
          <w:color w:val="000000"/>
          <w:sz w:val="24"/>
          <w:szCs w:val="24"/>
          <w:lang w:val="en-GB"/>
        </w:rPr>
        <w:t xml:space="preserve">measures to </w:t>
      </w:r>
      <w:r w:rsidR="00785AE2">
        <w:rPr>
          <w:color w:val="000000"/>
          <w:sz w:val="24"/>
          <w:szCs w:val="24"/>
          <w:lang w:val="en-GB"/>
        </w:rPr>
        <w:t xml:space="preserve">mitigate the risks linked to BREXIT and to </w:t>
      </w:r>
      <w:r>
        <w:rPr>
          <w:color w:val="000000"/>
          <w:sz w:val="24"/>
          <w:szCs w:val="24"/>
          <w:lang w:val="en-GB"/>
        </w:rPr>
        <w:t>ensure high quality teaching and learning after 31 August 2021</w:t>
      </w:r>
      <w:r w:rsidR="00B45C16">
        <w:rPr>
          <w:color w:val="000000"/>
          <w:sz w:val="24"/>
          <w:szCs w:val="24"/>
          <w:lang w:val="en-GB"/>
        </w:rPr>
        <w:t>,</w:t>
      </w:r>
      <w:r>
        <w:rPr>
          <w:color w:val="000000"/>
          <w:sz w:val="24"/>
          <w:szCs w:val="24"/>
          <w:lang w:val="en-GB"/>
        </w:rPr>
        <w:t xml:space="preserve"> Article </w:t>
      </w:r>
      <w:r w:rsidR="00F0703B">
        <w:rPr>
          <w:color w:val="000000"/>
          <w:sz w:val="24"/>
          <w:szCs w:val="24"/>
          <w:lang w:val="en-GB"/>
        </w:rPr>
        <w:t>31</w:t>
      </w:r>
      <w:r>
        <w:rPr>
          <w:color w:val="000000"/>
          <w:sz w:val="24"/>
          <w:szCs w:val="24"/>
          <w:lang w:val="en-GB"/>
        </w:rPr>
        <w:t xml:space="preserve"> of the Convention of the European </w:t>
      </w:r>
      <w:r w:rsidR="00F0703B">
        <w:rPr>
          <w:color w:val="000000"/>
          <w:sz w:val="24"/>
          <w:szCs w:val="24"/>
          <w:lang w:val="en-GB"/>
        </w:rPr>
        <w:t>S</w:t>
      </w:r>
      <w:r>
        <w:rPr>
          <w:color w:val="000000"/>
          <w:sz w:val="24"/>
          <w:szCs w:val="24"/>
          <w:lang w:val="en-GB"/>
        </w:rPr>
        <w:t>chools</w:t>
      </w:r>
      <w:r w:rsidR="00F0703B">
        <w:rPr>
          <w:color w:val="000000"/>
          <w:sz w:val="24"/>
          <w:szCs w:val="24"/>
          <w:lang w:val="en-GB"/>
        </w:rPr>
        <w:t>, which deal</w:t>
      </w:r>
      <w:r w:rsidR="00785AE2">
        <w:rPr>
          <w:color w:val="000000"/>
          <w:sz w:val="24"/>
          <w:szCs w:val="24"/>
          <w:lang w:val="en-GB"/>
        </w:rPr>
        <w:t>s with the denouncement of the C</w:t>
      </w:r>
      <w:r w:rsidR="00F0703B">
        <w:rPr>
          <w:color w:val="000000"/>
          <w:sz w:val="24"/>
          <w:szCs w:val="24"/>
          <w:lang w:val="en-GB"/>
        </w:rPr>
        <w:t xml:space="preserve">onvention by a contracting party, and in particular its paragraph 2 </w:t>
      </w:r>
      <w:r>
        <w:rPr>
          <w:color w:val="000000"/>
          <w:sz w:val="24"/>
          <w:szCs w:val="24"/>
          <w:lang w:val="en-GB"/>
        </w:rPr>
        <w:t>should be recalled</w:t>
      </w:r>
      <w:r w:rsidR="00F0703B">
        <w:rPr>
          <w:color w:val="000000"/>
          <w:sz w:val="24"/>
          <w:szCs w:val="24"/>
          <w:lang w:val="en-GB"/>
        </w:rPr>
        <w:t xml:space="preserve">. </w:t>
      </w:r>
    </w:p>
    <w:p w:rsidR="00F0703B" w:rsidRDefault="00F0703B" w:rsidP="003C4F2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 xml:space="preserve">Article 31 </w:t>
      </w:r>
      <w:r w:rsidR="00315672">
        <w:rPr>
          <w:color w:val="000000"/>
          <w:sz w:val="24"/>
          <w:szCs w:val="24"/>
          <w:lang w:val="en-GB"/>
        </w:rPr>
        <w:t xml:space="preserve">paragraph 1 and 2 </w:t>
      </w:r>
      <w:r>
        <w:rPr>
          <w:color w:val="000000"/>
          <w:sz w:val="24"/>
          <w:szCs w:val="24"/>
          <w:lang w:val="en-GB"/>
        </w:rPr>
        <w:t>of the C</w:t>
      </w:r>
      <w:r w:rsidR="00315672">
        <w:rPr>
          <w:color w:val="000000"/>
          <w:sz w:val="24"/>
          <w:szCs w:val="24"/>
          <w:lang w:val="en-GB"/>
        </w:rPr>
        <w:t>onvention read</w:t>
      </w:r>
      <w:r>
        <w:rPr>
          <w:color w:val="000000"/>
          <w:sz w:val="24"/>
          <w:szCs w:val="24"/>
          <w:lang w:val="en-GB"/>
        </w:rPr>
        <w:t xml:space="preserve"> as follows:</w:t>
      </w:r>
    </w:p>
    <w:p w:rsidR="00E872E4" w:rsidRDefault="00E872E4" w:rsidP="003C4F2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F0703B" w:rsidRPr="00315672" w:rsidRDefault="00F0703B" w:rsidP="00F0703B">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r w:rsidRPr="00315672">
        <w:rPr>
          <w:b/>
          <w:color w:val="000000"/>
          <w:sz w:val="24"/>
          <w:szCs w:val="24"/>
          <w:lang w:val="en-GB"/>
        </w:rPr>
        <w:t>Article 31</w:t>
      </w:r>
    </w:p>
    <w:p w:rsidR="00F0703B" w:rsidRPr="00F0703B" w:rsidRDefault="00F0703B" w:rsidP="00F0703B">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F0703B">
        <w:rPr>
          <w:color w:val="000000"/>
          <w:sz w:val="24"/>
          <w:szCs w:val="24"/>
          <w:lang w:val="en-GB"/>
        </w:rPr>
        <w:t xml:space="preserve">1. Any Contracting Party may denounce this Convention by written notification to the Luxembourg Government; the latter shall inform the other Contracting Parties upon receipt of the notification. Denunciation shall be notified by 1 September of any year in order to take effect on 1 September the following year. </w:t>
      </w:r>
    </w:p>
    <w:p w:rsidR="00F0703B" w:rsidRDefault="00F0703B" w:rsidP="00F0703B">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F0703B">
        <w:rPr>
          <w:color w:val="000000"/>
          <w:sz w:val="24"/>
          <w:szCs w:val="24"/>
          <w:lang w:val="en-GB"/>
        </w:rPr>
        <w:t xml:space="preserve">2. A Contracting Party which denounces this Convention shall abandon any share in the assets of the Schools. </w:t>
      </w:r>
      <w:r w:rsidRPr="00315672">
        <w:rPr>
          <w:b/>
          <w:color w:val="000000"/>
          <w:sz w:val="24"/>
          <w:szCs w:val="24"/>
          <w:lang w:val="en-GB"/>
        </w:rPr>
        <w:t>The Board of Governors shall decide which organizational measures, including staff measures, are to be taken as a result of denunciation by any of the Contracting Parties.</w:t>
      </w:r>
      <w:r w:rsidRPr="00F0703B">
        <w:rPr>
          <w:color w:val="000000"/>
          <w:sz w:val="24"/>
          <w:szCs w:val="24"/>
          <w:lang w:val="en-GB"/>
        </w:rPr>
        <w:t xml:space="preserve"> </w:t>
      </w:r>
    </w:p>
    <w:p w:rsidR="00315672" w:rsidRDefault="00315672" w:rsidP="00F0703B">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315672" w:rsidRDefault="00315672" w:rsidP="00F0703B">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 xml:space="preserve">The second sentence </w:t>
      </w:r>
      <w:r w:rsidR="00B45C16">
        <w:rPr>
          <w:color w:val="000000"/>
          <w:sz w:val="24"/>
          <w:szCs w:val="24"/>
          <w:lang w:val="en-GB"/>
        </w:rPr>
        <w:t>of</w:t>
      </w:r>
      <w:r>
        <w:rPr>
          <w:color w:val="000000"/>
          <w:sz w:val="24"/>
          <w:szCs w:val="24"/>
          <w:lang w:val="en-GB"/>
        </w:rPr>
        <w:t xml:space="preserve"> Article 31.2 of the Convention of the European Schools can be considered as a legal basis for potential decisions of the Board of Governors on organizational measures, including staff measures, in order to deal with the impact of the BREXIT on the system of the European Schools.</w:t>
      </w:r>
    </w:p>
    <w:p w:rsidR="00315672" w:rsidRDefault="00315672" w:rsidP="00F0703B">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B45C16" w:rsidRDefault="00B45C16" w:rsidP="00F0703B">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315672" w:rsidRDefault="00315672" w:rsidP="00F0703B">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r w:rsidRPr="00BC4B00">
        <w:rPr>
          <w:b/>
          <w:color w:val="000000"/>
          <w:sz w:val="24"/>
          <w:szCs w:val="24"/>
          <w:lang w:val="en-GB"/>
        </w:rPr>
        <w:t>a) Areas to be tackled</w:t>
      </w:r>
    </w:p>
    <w:p w:rsidR="00BC4B00" w:rsidRPr="00B45C16" w:rsidRDefault="00BC4B00" w:rsidP="00F0703B">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BC4B00" w:rsidRDefault="00BC4B00" w:rsidP="00F0703B">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 xml:space="preserve">Areas to be tackled </w:t>
      </w:r>
      <w:r w:rsidR="00B45C16">
        <w:rPr>
          <w:color w:val="000000"/>
          <w:sz w:val="24"/>
          <w:szCs w:val="24"/>
          <w:lang w:val="en-GB"/>
        </w:rPr>
        <w:t xml:space="preserve">by such organizational measures </w:t>
      </w:r>
      <w:r>
        <w:rPr>
          <w:color w:val="000000"/>
          <w:sz w:val="24"/>
          <w:szCs w:val="24"/>
          <w:lang w:val="en-GB"/>
        </w:rPr>
        <w:t xml:space="preserve">are </w:t>
      </w:r>
      <w:r w:rsidR="00B45C16">
        <w:rPr>
          <w:color w:val="000000"/>
          <w:sz w:val="24"/>
          <w:szCs w:val="24"/>
          <w:lang w:val="en-GB"/>
        </w:rPr>
        <w:t xml:space="preserve">the future </w:t>
      </w:r>
    </w:p>
    <w:p w:rsidR="00BC4B00" w:rsidRDefault="00BC4B00" w:rsidP="00BC4B00">
      <w:pPr>
        <w:pStyle w:val="ListParagraph"/>
        <w:numPr>
          <w:ilvl w:val="0"/>
          <w:numId w:val="60"/>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staffing of the European Schools with highly qualified EN native teachers,</w:t>
      </w:r>
    </w:p>
    <w:p w:rsidR="00BC4B00" w:rsidRDefault="00AD450F" w:rsidP="00BC4B00">
      <w:pPr>
        <w:pStyle w:val="ListParagraph"/>
        <w:numPr>
          <w:ilvl w:val="0"/>
          <w:numId w:val="60"/>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 xml:space="preserve">replacing the UK inspectors and </w:t>
      </w:r>
      <w:r w:rsidR="00BC4B00">
        <w:rPr>
          <w:color w:val="000000"/>
          <w:sz w:val="24"/>
          <w:szCs w:val="24"/>
          <w:lang w:val="en-GB"/>
        </w:rPr>
        <w:t>support</w:t>
      </w:r>
      <w:r>
        <w:rPr>
          <w:color w:val="000000"/>
          <w:sz w:val="24"/>
          <w:szCs w:val="24"/>
          <w:lang w:val="en-GB"/>
        </w:rPr>
        <w:t>ing</w:t>
      </w:r>
      <w:r w:rsidR="00BC4B00">
        <w:rPr>
          <w:color w:val="000000"/>
          <w:sz w:val="24"/>
          <w:szCs w:val="24"/>
          <w:lang w:val="en-GB"/>
        </w:rPr>
        <w:t xml:space="preserve"> the remaining Irish inspectors,</w:t>
      </w:r>
    </w:p>
    <w:p w:rsidR="00BC4B00" w:rsidRDefault="00BC4B00" w:rsidP="00BC4B00">
      <w:pPr>
        <w:pStyle w:val="ListParagraph"/>
        <w:numPr>
          <w:ilvl w:val="0"/>
          <w:numId w:val="60"/>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continuation of the cooperation with UK experts,</w:t>
      </w:r>
    </w:p>
    <w:p w:rsidR="00BC4B00" w:rsidRDefault="00BC4B00" w:rsidP="00BC4B00">
      <w:pPr>
        <w:pStyle w:val="ListParagraph"/>
        <w:numPr>
          <w:ilvl w:val="0"/>
          <w:numId w:val="60"/>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recognition of the European BAC</w:t>
      </w:r>
      <w:r w:rsidR="00B751FA">
        <w:rPr>
          <w:color w:val="000000"/>
          <w:sz w:val="24"/>
          <w:szCs w:val="24"/>
          <w:lang w:val="en-GB"/>
        </w:rPr>
        <w:t xml:space="preserve"> beyond the legal </w:t>
      </w:r>
      <w:r w:rsidR="00EE44CD">
        <w:rPr>
          <w:color w:val="000000"/>
          <w:sz w:val="24"/>
          <w:szCs w:val="24"/>
          <w:lang w:val="en-GB"/>
        </w:rPr>
        <w:t xml:space="preserve">obligation laid down </w:t>
      </w:r>
      <w:r w:rsidR="00B751FA">
        <w:rPr>
          <w:color w:val="000000"/>
          <w:sz w:val="24"/>
          <w:szCs w:val="24"/>
          <w:lang w:val="en-GB"/>
        </w:rPr>
        <w:t>in Article 125 of the Withdrawal Agreement.</w:t>
      </w:r>
    </w:p>
    <w:p w:rsidR="00BC4B00" w:rsidRDefault="00BC4B00" w:rsidP="00BC4B00">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B45C16" w:rsidRDefault="00B45C16">
      <w:pPr>
        <w:spacing w:before="0" w:after="0"/>
        <w:jc w:val="left"/>
        <w:rPr>
          <w:color w:val="000000"/>
          <w:sz w:val="24"/>
          <w:szCs w:val="24"/>
          <w:lang w:val="en-GB"/>
        </w:rPr>
      </w:pPr>
      <w:r>
        <w:rPr>
          <w:color w:val="000000"/>
          <w:sz w:val="24"/>
          <w:szCs w:val="24"/>
          <w:lang w:val="en-GB"/>
        </w:rPr>
        <w:br w:type="page"/>
      </w:r>
    </w:p>
    <w:p w:rsidR="00BC4B00" w:rsidRDefault="00BC4B00" w:rsidP="00BC4B00">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BC4B00" w:rsidRDefault="00BC4B00" w:rsidP="00BC4B00">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r w:rsidRPr="00BC4B00">
        <w:rPr>
          <w:b/>
          <w:color w:val="000000"/>
          <w:sz w:val="24"/>
          <w:szCs w:val="24"/>
          <w:lang w:val="en-GB"/>
        </w:rPr>
        <w:t>b) Potential measures</w:t>
      </w:r>
    </w:p>
    <w:p w:rsidR="00BC4B00" w:rsidRPr="00B45C16" w:rsidRDefault="00BC4B00" w:rsidP="00BC4B00">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EE44CD" w:rsidRDefault="00EE44CD" w:rsidP="00BC4B00">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 xml:space="preserve">The importance of the Anglophone sections to the European Schools and the relevance of the English language are obvious, and therefore measures to ensure a continuity of service and to mitigate the risks after the </w:t>
      </w:r>
      <w:r w:rsidR="00E112D3">
        <w:rPr>
          <w:color w:val="000000"/>
          <w:sz w:val="24"/>
          <w:szCs w:val="24"/>
          <w:lang w:val="en-GB"/>
        </w:rPr>
        <w:t>end of the transitory period have to be explored.</w:t>
      </w:r>
    </w:p>
    <w:p w:rsidR="00C21979" w:rsidRDefault="00C21979" w:rsidP="00BC4B00">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 xml:space="preserve">The European Schools hope that </w:t>
      </w:r>
      <w:r w:rsidR="00E112D3">
        <w:rPr>
          <w:color w:val="000000"/>
          <w:sz w:val="24"/>
          <w:szCs w:val="24"/>
          <w:lang w:val="en-GB"/>
        </w:rPr>
        <w:t xml:space="preserve">a constructive </w:t>
      </w:r>
      <w:r>
        <w:rPr>
          <w:color w:val="000000"/>
          <w:sz w:val="24"/>
          <w:szCs w:val="24"/>
          <w:lang w:val="en-GB"/>
        </w:rPr>
        <w:t>collaboration with the UK will continue in the future, but f</w:t>
      </w:r>
      <w:r w:rsidR="006D634A">
        <w:rPr>
          <w:color w:val="000000"/>
          <w:sz w:val="24"/>
          <w:szCs w:val="24"/>
          <w:lang w:val="en-GB"/>
        </w:rPr>
        <w:t>or the time being, it is not clear to which extent the Europe</w:t>
      </w:r>
      <w:r>
        <w:rPr>
          <w:color w:val="000000"/>
          <w:sz w:val="24"/>
          <w:szCs w:val="24"/>
          <w:lang w:val="en-GB"/>
        </w:rPr>
        <w:t>a</w:t>
      </w:r>
      <w:r w:rsidR="006D634A">
        <w:rPr>
          <w:color w:val="000000"/>
          <w:sz w:val="24"/>
          <w:szCs w:val="24"/>
          <w:lang w:val="en-GB"/>
        </w:rPr>
        <w:t xml:space="preserve">n Schools may rely on </w:t>
      </w:r>
      <w:r>
        <w:rPr>
          <w:color w:val="000000"/>
          <w:sz w:val="24"/>
          <w:szCs w:val="24"/>
          <w:lang w:val="en-GB"/>
        </w:rPr>
        <w:t>a future cooperation with UK authorities after the transitory period will have expired.</w:t>
      </w:r>
    </w:p>
    <w:p w:rsidR="00C21979" w:rsidRDefault="00C21979" w:rsidP="00BC4B00">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Therefore, the members of the BREXIT Working Group agreed that potential resources to mitigate the risks linked to the BREXIT should be found first within the EU without excluding a potential cooperation with the UK government after 31 August 2021.</w:t>
      </w:r>
    </w:p>
    <w:p w:rsidR="00BC4B00" w:rsidRDefault="00BC4B00" w:rsidP="00BC4B00">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BC4B00">
        <w:rPr>
          <w:color w:val="000000"/>
          <w:sz w:val="24"/>
          <w:szCs w:val="24"/>
          <w:lang w:val="en-GB"/>
        </w:rPr>
        <w:t>Con</w:t>
      </w:r>
      <w:r w:rsidR="00C21979">
        <w:rPr>
          <w:color w:val="000000"/>
          <w:sz w:val="24"/>
          <w:szCs w:val="24"/>
          <w:lang w:val="en-GB"/>
        </w:rPr>
        <w:t xml:space="preserve">sequently, </w:t>
      </w:r>
      <w:r>
        <w:rPr>
          <w:color w:val="000000"/>
          <w:sz w:val="24"/>
          <w:szCs w:val="24"/>
          <w:lang w:val="en-GB"/>
        </w:rPr>
        <w:t xml:space="preserve">a distinction should be made between measures </w:t>
      </w:r>
      <w:r w:rsidR="0002211D">
        <w:rPr>
          <w:color w:val="000000"/>
          <w:sz w:val="24"/>
          <w:szCs w:val="24"/>
          <w:lang w:val="en-GB"/>
        </w:rPr>
        <w:t xml:space="preserve">which would not require any future governmental UK commitment and measures </w:t>
      </w:r>
      <w:r>
        <w:rPr>
          <w:color w:val="000000"/>
          <w:sz w:val="24"/>
          <w:szCs w:val="24"/>
          <w:lang w:val="en-GB"/>
        </w:rPr>
        <w:t>involving also in future the UK government.</w:t>
      </w:r>
    </w:p>
    <w:p w:rsidR="00BC4B00" w:rsidRDefault="00BC4B00" w:rsidP="00BC4B00">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7E1220" w:rsidRPr="00E112D3" w:rsidRDefault="00E112D3" w:rsidP="00BC4B00">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r w:rsidRPr="00E112D3">
        <w:rPr>
          <w:b/>
          <w:color w:val="000000"/>
          <w:sz w:val="24"/>
          <w:szCs w:val="24"/>
          <w:lang w:val="en-US"/>
        </w:rPr>
        <w:t>aa</w:t>
      </w:r>
      <w:r w:rsidR="007E1220" w:rsidRPr="00E112D3">
        <w:rPr>
          <w:b/>
          <w:color w:val="000000"/>
          <w:sz w:val="24"/>
          <w:szCs w:val="24"/>
          <w:lang w:val="en-US"/>
        </w:rPr>
        <w:t xml:space="preserve">) </w:t>
      </w:r>
      <w:r w:rsidRPr="00E112D3">
        <w:rPr>
          <w:b/>
          <w:color w:val="000000"/>
          <w:sz w:val="24"/>
          <w:szCs w:val="24"/>
          <w:lang w:val="en-US"/>
        </w:rPr>
        <w:t xml:space="preserve">EU internal </w:t>
      </w:r>
      <w:r w:rsidR="007E1220" w:rsidRPr="00E112D3">
        <w:rPr>
          <w:b/>
          <w:color w:val="000000"/>
          <w:sz w:val="24"/>
          <w:szCs w:val="24"/>
          <w:lang w:val="en-US"/>
        </w:rPr>
        <w:t>measures</w:t>
      </w:r>
    </w:p>
    <w:p w:rsidR="00272665" w:rsidRPr="00272665" w:rsidRDefault="00E112D3" w:rsidP="00BC4B00">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 xml:space="preserve">EU internal measures </w:t>
      </w:r>
      <w:r w:rsidR="00272665">
        <w:rPr>
          <w:color w:val="000000"/>
          <w:sz w:val="24"/>
          <w:szCs w:val="24"/>
          <w:lang w:val="en-GB"/>
        </w:rPr>
        <w:t>could be:</w:t>
      </w:r>
    </w:p>
    <w:p w:rsidR="007E1220" w:rsidRDefault="007E1220" w:rsidP="007E1220">
      <w:pPr>
        <w:pStyle w:val="ListParagraph"/>
        <w:numPr>
          <w:ilvl w:val="0"/>
          <w:numId w:val="61"/>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incentives for other Member States for seconding English native speakers;</w:t>
      </w:r>
    </w:p>
    <w:p w:rsidR="007E1220" w:rsidRDefault="00272665" w:rsidP="007E1220">
      <w:pPr>
        <w:pStyle w:val="ListParagraph"/>
        <w:numPr>
          <w:ilvl w:val="0"/>
          <w:numId w:val="61"/>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 xml:space="preserve">a </w:t>
      </w:r>
      <w:r w:rsidR="007E1220">
        <w:rPr>
          <w:color w:val="000000"/>
          <w:sz w:val="24"/>
          <w:szCs w:val="24"/>
          <w:lang w:val="en-GB"/>
        </w:rPr>
        <w:t>reinforcement of the Irish inspectors;</w:t>
      </w:r>
    </w:p>
    <w:p w:rsidR="007E1220" w:rsidRDefault="00272665" w:rsidP="007E1220">
      <w:pPr>
        <w:pStyle w:val="ListParagraph"/>
        <w:numPr>
          <w:ilvl w:val="0"/>
          <w:numId w:val="61"/>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 xml:space="preserve">a </w:t>
      </w:r>
      <w:r w:rsidR="006E6C94">
        <w:rPr>
          <w:color w:val="000000"/>
          <w:sz w:val="24"/>
          <w:szCs w:val="24"/>
          <w:lang w:val="en-GB"/>
        </w:rPr>
        <w:t xml:space="preserve">temporary or </w:t>
      </w:r>
      <w:r w:rsidR="007E1220">
        <w:rPr>
          <w:color w:val="000000"/>
          <w:sz w:val="24"/>
          <w:szCs w:val="24"/>
          <w:lang w:val="en-GB"/>
        </w:rPr>
        <w:t>permanent recruitment of expert</w:t>
      </w:r>
      <w:r>
        <w:rPr>
          <w:color w:val="000000"/>
          <w:sz w:val="24"/>
          <w:szCs w:val="24"/>
          <w:lang w:val="en-GB"/>
        </w:rPr>
        <w:t>(</w:t>
      </w:r>
      <w:r w:rsidR="007E1220">
        <w:rPr>
          <w:color w:val="000000"/>
          <w:sz w:val="24"/>
          <w:szCs w:val="24"/>
          <w:lang w:val="en-GB"/>
        </w:rPr>
        <w:t>s</w:t>
      </w:r>
      <w:r>
        <w:rPr>
          <w:color w:val="000000"/>
          <w:sz w:val="24"/>
          <w:szCs w:val="24"/>
          <w:lang w:val="en-GB"/>
        </w:rPr>
        <w:t>)</w:t>
      </w:r>
      <w:r w:rsidR="007E1220">
        <w:rPr>
          <w:color w:val="000000"/>
          <w:sz w:val="24"/>
          <w:szCs w:val="24"/>
          <w:lang w:val="en-GB"/>
        </w:rPr>
        <w:t xml:space="preserve"> </w:t>
      </w:r>
      <w:r w:rsidR="00EE44CD">
        <w:rPr>
          <w:color w:val="000000"/>
          <w:sz w:val="24"/>
          <w:szCs w:val="24"/>
          <w:lang w:val="en-GB"/>
        </w:rPr>
        <w:t>taking over a coordinating role in the Office of the Secretary-General (potential tasks:</w:t>
      </w:r>
      <w:r w:rsidR="007E1220">
        <w:rPr>
          <w:color w:val="000000"/>
          <w:sz w:val="24"/>
          <w:szCs w:val="24"/>
          <w:lang w:val="en-GB"/>
        </w:rPr>
        <w:t xml:space="preserve"> </w:t>
      </w:r>
      <w:r w:rsidR="00E3544B">
        <w:rPr>
          <w:color w:val="000000"/>
          <w:sz w:val="24"/>
          <w:szCs w:val="24"/>
          <w:lang w:val="en-GB"/>
        </w:rPr>
        <w:t>involv</w:t>
      </w:r>
      <w:r w:rsidR="00EE44CD">
        <w:rPr>
          <w:color w:val="000000"/>
          <w:sz w:val="24"/>
          <w:szCs w:val="24"/>
          <w:lang w:val="en-GB"/>
        </w:rPr>
        <w:t>ement</w:t>
      </w:r>
      <w:r w:rsidR="00E3544B">
        <w:rPr>
          <w:color w:val="000000"/>
          <w:sz w:val="24"/>
          <w:szCs w:val="24"/>
          <w:lang w:val="en-GB"/>
        </w:rPr>
        <w:t xml:space="preserve"> in the recruitment of English native teachers and experts, </w:t>
      </w:r>
      <w:r w:rsidR="007E1220">
        <w:rPr>
          <w:color w:val="000000"/>
          <w:sz w:val="24"/>
          <w:szCs w:val="24"/>
          <w:lang w:val="en-GB"/>
        </w:rPr>
        <w:t>supporting the existing inspectors</w:t>
      </w:r>
      <w:r w:rsidR="00E3544B">
        <w:rPr>
          <w:color w:val="000000"/>
          <w:sz w:val="24"/>
          <w:szCs w:val="24"/>
          <w:lang w:val="en-GB"/>
        </w:rPr>
        <w:t>)</w:t>
      </w:r>
      <w:r w:rsidR="00EE44CD">
        <w:rPr>
          <w:color w:val="000000"/>
          <w:sz w:val="24"/>
          <w:szCs w:val="24"/>
          <w:lang w:val="en-GB"/>
        </w:rPr>
        <w:t>.</w:t>
      </w:r>
      <w:r w:rsidR="00E3544B">
        <w:rPr>
          <w:color w:val="000000"/>
          <w:sz w:val="24"/>
          <w:szCs w:val="24"/>
          <w:lang w:val="en-GB"/>
        </w:rPr>
        <w:t xml:space="preserve"> </w:t>
      </w:r>
    </w:p>
    <w:p w:rsidR="0070584B" w:rsidRDefault="0070584B" w:rsidP="00AD450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AD450F" w:rsidRDefault="00AD450F" w:rsidP="00AD450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 xml:space="preserve">This list of potential measures is not exclusive; other measures could be foreseen </w:t>
      </w:r>
      <w:r w:rsidR="0070584B">
        <w:rPr>
          <w:color w:val="000000"/>
          <w:sz w:val="24"/>
          <w:szCs w:val="24"/>
          <w:lang w:val="en-GB"/>
        </w:rPr>
        <w:t xml:space="preserve">depending on further discussions in the Board of Governors and its preparatory </w:t>
      </w:r>
      <w:r w:rsidR="00754032">
        <w:rPr>
          <w:color w:val="000000"/>
          <w:sz w:val="24"/>
          <w:szCs w:val="24"/>
          <w:lang w:val="en-GB"/>
        </w:rPr>
        <w:t>bodies</w:t>
      </w:r>
      <w:r w:rsidR="0070584B">
        <w:rPr>
          <w:color w:val="000000"/>
          <w:sz w:val="24"/>
          <w:szCs w:val="24"/>
          <w:lang w:val="en-GB"/>
        </w:rPr>
        <w:t>.</w:t>
      </w:r>
      <w:r>
        <w:rPr>
          <w:color w:val="000000"/>
          <w:sz w:val="24"/>
          <w:szCs w:val="24"/>
          <w:lang w:val="en-GB"/>
        </w:rPr>
        <w:t xml:space="preserve"> </w:t>
      </w:r>
    </w:p>
    <w:p w:rsidR="0070584B" w:rsidRDefault="0070584B" w:rsidP="00AD450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E112D3" w:rsidRDefault="00E112D3" w:rsidP="00E112D3">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r>
        <w:rPr>
          <w:b/>
          <w:color w:val="000000"/>
          <w:sz w:val="24"/>
          <w:szCs w:val="24"/>
          <w:lang w:val="en-GB"/>
        </w:rPr>
        <w:t>bb</w:t>
      </w:r>
      <w:r w:rsidRPr="00BC4B00">
        <w:rPr>
          <w:b/>
          <w:color w:val="000000"/>
          <w:sz w:val="24"/>
          <w:szCs w:val="24"/>
          <w:lang w:val="en-GB"/>
        </w:rPr>
        <w:t>) Potential future cooperation with the UK</w:t>
      </w:r>
    </w:p>
    <w:p w:rsidR="00E112D3" w:rsidRDefault="00E112D3" w:rsidP="00E112D3">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It should be further explored whether the UK is interested in a continuation of the cooperation beyond 31 August 2021 which is supposed to be beneficial for both parties.</w:t>
      </w:r>
    </w:p>
    <w:p w:rsidR="00E112D3" w:rsidRDefault="00B5129D" w:rsidP="00E112D3">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Ideally, s</w:t>
      </w:r>
      <w:r w:rsidR="00E112D3">
        <w:rPr>
          <w:color w:val="000000"/>
          <w:sz w:val="24"/>
          <w:szCs w:val="24"/>
          <w:lang w:val="en-GB"/>
        </w:rPr>
        <w:t xml:space="preserve">uch a potential future cooperation with the UK government beyond 31 August 2021 </w:t>
      </w:r>
      <w:r>
        <w:rPr>
          <w:color w:val="000000"/>
          <w:sz w:val="24"/>
          <w:szCs w:val="24"/>
          <w:lang w:val="en-GB"/>
        </w:rPr>
        <w:t xml:space="preserve">should be addressed in the negotiations </w:t>
      </w:r>
      <w:r w:rsidR="00FF1270">
        <w:rPr>
          <w:color w:val="000000"/>
          <w:sz w:val="24"/>
          <w:szCs w:val="24"/>
          <w:lang w:val="en-GB"/>
        </w:rPr>
        <w:t xml:space="preserve">on the future relationship </w:t>
      </w:r>
      <w:r>
        <w:rPr>
          <w:color w:val="000000"/>
          <w:sz w:val="24"/>
          <w:szCs w:val="24"/>
          <w:lang w:val="en-GB"/>
        </w:rPr>
        <w:t xml:space="preserve">between the EU 27 and the UK. Whether such a cooperation </w:t>
      </w:r>
      <w:r w:rsidR="00E112D3">
        <w:rPr>
          <w:color w:val="000000"/>
          <w:sz w:val="24"/>
          <w:szCs w:val="24"/>
          <w:lang w:val="en-GB"/>
        </w:rPr>
        <w:t xml:space="preserve">could </w:t>
      </w:r>
      <w:r>
        <w:rPr>
          <w:color w:val="000000"/>
          <w:sz w:val="24"/>
          <w:szCs w:val="24"/>
          <w:lang w:val="en-GB"/>
        </w:rPr>
        <w:t xml:space="preserve">also </w:t>
      </w:r>
      <w:r w:rsidR="00E112D3">
        <w:rPr>
          <w:color w:val="000000"/>
          <w:sz w:val="24"/>
          <w:szCs w:val="24"/>
          <w:lang w:val="en-GB"/>
        </w:rPr>
        <w:t xml:space="preserve">be based </w:t>
      </w:r>
      <w:r w:rsidR="00E112D3">
        <w:rPr>
          <w:color w:val="000000"/>
          <w:sz w:val="24"/>
          <w:szCs w:val="24"/>
          <w:lang w:val="en-GB"/>
        </w:rPr>
        <w:lastRenderedPageBreak/>
        <w:t xml:space="preserve">on an </w:t>
      </w:r>
      <w:r w:rsidR="00C31CB3">
        <w:rPr>
          <w:color w:val="000000"/>
          <w:sz w:val="24"/>
          <w:szCs w:val="24"/>
          <w:lang w:val="en-GB"/>
        </w:rPr>
        <w:t>agreement between</w:t>
      </w:r>
      <w:r w:rsidR="00E112D3">
        <w:rPr>
          <w:color w:val="000000"/>
          <w:sz w:val="24"/>
          <w:szCs w:val="24"/>
          <w:lang w:val="en-GB"/>
        </w:rPr>
        <w:t xml:space="preserve"> the UK government and the Board of Governors</w:t>
      </w:r>
      <w:r w:rsidR="00FF1270">
        <w:rPr>
          <w:rStyle w:val="FootnoteReference"/>
          <w:color w:val="000000"/>
          <w:sz w:val="24"/>
          <w:szCs w:val="24"/>
          <w:lang w:val="en-GB"/>
        </w:rPr>
        <w:footnoteReference w:id="8"/>
      </w:r>
      <w:r w:rsidR="00FF1270">
        <w:rPr>
          <w:color w:val="000000"/>
          <w:sz w:val="24"/>
          <w:szCs w:val="24"/>
          <w:lang w:val="en-GB"/>
        </w:rPr>
        <w:t xml:space="preserve"> </w:t>
      </w:r>
      <w:r>
        <w:rPr>
          <w:color w:val="000000"/>
          <w:sz w:val="24"/>
          <w:szCs w:val="24"/>
          <w:lang w:val="en-GB"/>
        </w:rPr>
        <w:t xml:space="preserve"> needs further legal analysis</w:t>
      </w:r>
      <w:r w:rsidR="00E112D3">
        <w:rPr>
          <w:color w:val="000000"/>
          <w:sz w:val="24"/>
          <w:szCs w:val="24"/>
          <w:lang w:val="en-GB"/>
        </w:rPr>
        <w:t xml:space="preserve">. </w:t>
      </w:r>
    </w:p>
    <w:p w:rsidR="00E112D3" w:rsidRPr="00AD450F" w:rsidRDefault="00E112D3" w:rsidP="00E112D3">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AD450F">
        <w:rPr>
          <w:color w:val="000000"/>
          <w:sz w:val="24"/>
          <w:szCs w:val="24"/>
          <w:lang w:val="en-GB"/>
        </w:rPr>
        <w:t>In this context it should be recalled that also the European Council has reconfirmed in its Conclusions of 13 December 2019</w:t>
      </w:r>
      <w:r w:rsidRPr="00AD450F">
        <w:rPr>
          <w:rStyle w:val="FootnoteReference"/>
          <w:color w:val="000000"/>
          <w:sz w:val="24"/>
          <w:szCs w:val="24"/>
          <w:lang w:val="en-GB"/>
        </w:rPr>
        <w:footnoteReference w:id="9"/>
      </w:r>
      <w:r w:rsidRPr="00AD450F">
        <w:rPr>
          <w:color w:val="000000"/>
          <w:sz w:val="24"/>
          <w:szCs w:val="24"/>
          <w:lang w:val="en-GB"/>
        </w:rPr>
        <w:t xml:space="preserve"> “</w:t>
      </w:r>
      <w:r w:rsidRPr="00AD450F">
        <w:rPr>
          <w:i/>
          <w:color w:val="000000"/>
          <w:sz w:val="24"/>
          <w:szCs w:val="24"/>
          <w:lang w:val="en-GB"/>
        </w:rPr>
        <w:t>its desire to establish as close as possible a future relationship with the UK”</w:t>
      </w:r>
      <w:r w:rsidRPr="00AD450F">
        <w:rPr>
          <w:color w:val="000000"/>
          <w:sz w:val="24"/>
          <w:szCs w:val="24"/>
          <w:lang w:val="en-GB"/>
        </w:rPr>
        <w:t>.</w:t>
      </w:r>
    </w:p>
    <w:p w:rsidR="00E112D3" w:rsidRDefault="0002211D" w:rsidP="00E112D3">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I</w:t>
      </w:r>
      <w:r w:rsidR="00B5129D">
        <w:rPr>
          <w:color w:val="000000"/>
          <w:sz w:val="24"/>
          <w:szCs w:val="24"/>
          <w:lang w:val="en-GB"/>
        </w:rPr>
        <w:t xml:space="preserve">deally, the negotiations between the EU 27 and the UK </w:t>
      </w:r>
      <w:r w:rsidR="00C31CB3">
        <w:rPr>
          <w:color w:val="000000"/>
          <w:sz w:val="24"/>
          <w:szCs w:val="24"/>
          <w:lang w:val="en-GB"/>
        </w:rPr>
        <w:t>should address</w:t>
      </w:r>
      <w:r w:rsidR="00E112D3">
        <w:rPr>
          <w:color w:val="000000"/>
          <w:sz w:val="24"/>
          <w:szCs w:val="24"/>
          <w:lang w:val="en-GB"/>
        </w:rPr>
        <w:t xml:space="preserve"> areas </w:t>
      </w:r>
      <w:r w:rsidR="00875935">
        <w:rPr>
          <w:color w:val="000000"/>
          <w:sz w:val="24"/>
          <w:szCs w:val="24"/>
          <w:lang w:val="en-GB"/>
        </w:rPr>
        <w:t xml:space="preserve">already </w:t>
      </w:r>
      <w:r w:rsidR="00E112D3">
        <w:rPr>
          <w:color w:val="000000"/>
          <w:sz w:val="24"/>
          <w:szCs w:val="24"/>
          <w:lang w:val="en-GB"/>
        </w:rPr>
        <w:t>mentioned above:</w:t>
      </w:r>
    </w:p>
    <w:p w:rsidR="00E112D3" w:rsidRDefault="00E112D3" w:rsidP="00E112D3">
      <w:pPr>
        <w:pStyle w:val="ListParagraph"/>
        <w:numPr>
          <w:ilvl w:val="0"/>
          <w:numId w:val="60"/>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support in the recruitment of highly qualified EN native teachers,</w:t>
      </w:r>
    </w:p>
    <w:p w:rsidR="00E112D3" w:rsidRPr="00E112D3" w:rsidRDefault="00E112D3" w:rsidP="00E112D3">
      <w:pPr>
        <w:pStyle w:val="ListParagraph"/>
        <w:numPr>
          <w:ilvl w:val="0"/>
          <w:numId w:val="60"/>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support in the search of EN native experts,</w:t>
      </w:r>
    </w:p>
    <w:p w:rsidR="00E112D3" w:rsidRDefault="00E112D3" w:rsidP="00E112D3">
      <w:pPr>
        <w:pStyle w:val="ListParagraph"/>
        <w:numPr>
          <w:ilvl w:val="0"/>
          <w:numId w:val="60"/>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recognition of the European BAC beyond the legal obligation laid down in Article 125 of the Withdrawal Agreement.</w:t>
      </w:r>
    </w:p>
    <w:p w:rsidR="00E112D3" w:rsidRDefault="00E112D3" w:rsidP="00E112D3">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E112D3" w:rsidRDefault="00E112D3" w:rsidP="00AD450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E112D3" w:rsidRPr="00F11815" w:rsidRDefault="00F11815" w:rsidP="00AD450F">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r w:rsidRPr="00F11815">
        <w:rPr>
          <w:b/>
          <w:color w:val="000000"/>
          <w:sz w:val="24"/>
          <w:szCs w:val="24"/>
          <w:lang w:val="en-GB"/>
        </w:rPr>
        <w:t>cc) Summary</w:t>
      </w:r>
    </w:p>
    <w:p w:rsidR="0070584B" w:rsidRDefault="0070584B" w:rsidP="00AD450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In order to progress in this direction</w:t>
      </w:r>
      <w:r w:rsidR="00F11815">
        <w:rPr>
          <w:color w:val="000000"/>
          <w:sz w:val="24"/>
          <w:szCs w:val="24"/>
          <w:lang w:val="en-GB"/>
        </w:rPr>
        <w:t xml:space="preserve"> and to explore EU internal measures as well as possibilities of a continuation of the cooperation with the UK</w:t>
      </w:r>
      <w:r>
        <w:rPr>
          <w:color w:val="000000"/>
          <w:sz w:val="24"/>
          <w:szCs w:val="24"/>
          <w:lang w:val="en-GB"/>
        </w:rPr>
        <w:t>, the Board of Governors should provide the Secretary-General and the BREXIT Working Group with a comprehensive mandate.</w:t>
      </w:r>
    </w:p>
    <w:p w:rsidR="0070584B" w:rsidRPr="00AD450F" w:rsidRDefault="0070584B" w:rsidP="00AD450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 xml:space="preserve">A proposal for such a mandate is provided in Annex I of this document. </w:t>
      </w:r>
    </w:p>
    <w:p w:rsidR="007E1220" w:rsidRDefault="007E1220" w:rsidP="007E1220">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70584B" w:rsidRPr="007E1220" w:rsidRDefault="0070584B" w:rsidP="007E1220">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B5129D" w:rsidRDefault="00B5129D"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r>
        <w:rPr>
          <w:b/>
          <w:color w:val="000000"/>
          <w:sz w:val="24"/>
          <w:szCs w:val="24"/>
          <w:lang w:val="en-GB"/>
        </w:rPr>
        <w:t>Conclusions of the Budgetary Committee</w:t>
      </w:r>
    </w:p>
    <w:p w:rsidR="00B5129D" w:rsidRDefault="00B5129D" w:rsidP="00C31CB3">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p>
    <w:p w:rsidR="0041159E" w:rsidRPr="00C31CB3" w:rsidRDefault="0041159E" w:rsidP="00C31CB3">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41159E">
        <w:rPr>
          <w:color w:val="000000"/>
          <w:sz w:val="24"/>
          <w:szCs w:val="24"/>
          <w:lang w:val="en-GB"/>
        </w:rPr>
        <w:t>The Budgetary Committee expressed a favourable opinion on the Working Group's Report and requested that issues concerning the European Schools might be included in the agreement on the future relationship between the EU and the UK.</w:t>
      </w:r>
    </w:p>
    <w:p w:rsidR="00C31CB3" w:rsidRPr="00C31CB3" w:rsidRDefault="00C31CB3" w:rsidP="00C31CB3">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p>
    <w:p w:rsidR="00C31CB3" w:rsidRPr="00C31CB3" w:rsidRDefault="00C31CB3" w:rsidP="00C31CB3">
      <w:p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p>
    <w:p w:rsidR="00677C41" w:rsidRPr="002E0280" w:rsidRDefault="00E67199"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r w:rsidRPr="002E0280">
        <w:rPr>
          <w:b/>
          <w:color w:val="000000"/>
          <w:sz w:val="24"/>
          <w:szCs w:val="24"/>
          <w:lang w:val="en-GB"/>
        </w:rPr>
        <w:t>Proposal</w:t>
      </w:r>
    </w:p>
    <w:p w:rsidR="00601E08" w:rsidRPr="002E0280" w:rsidRDefault="00601E08"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FF1270" w:rsidRDefault="00575D25" w:rsidP="00677C41">
      <w:pPr>
        <w:tabs>
          <w:tab w:val="left" w:pos="360"/>
          <w:tab w:val="left" w:pos="1440"/>
          <w:tab w:val="left" w:pos="4320"/>
          <w:tab w:val="left" w:pos="6652"/>
          <w:tab w:val="left" w:pos="360"/>
          <w:tab w:val="left" w:pos="1440"/>
          <w:tab w:val="left" w:pos="360"/>
          <w:tab w:val="left" w:pos="1440"/>
          <w:tab w:val="left" w:pos="360"/>
          <w:tab w:val="left" w:pos="1440"/>
        </w:tabs>
        <w:rPr>
          <w:i/>
          <w:color w:val="000000"/>
          <w:sz w:val="24"/>
          <w:szCs w:val="24"/>
          <w:lang w:val="en-GB"/>
        </w:rPr>
      </w:pPr>
      <w:r w:rsidRPr="002E0280">
        <w:rPr>
          <w:color w:val="000000"/>
          <w:sz w:val="24"/>
          <w:szCs w:val="24"/>
          <w:lang w:val="en-GB"/>
        </w:rPr>
        <w:t xml:space="preserve">The members of the </w:t>
      </w:r>
      <w:r w:rsidR="009802A4">
        <w:rPr>
          <w:color w:val="000000"/>
          <w:sz w:val="24"/>
          <w:szCs w:val="24"/>
          <w:lang w:val="en-GB"/>
        </w:rPr>
        <w:t>B</w:t>
      </w:r>
      <w:r w:rsidR="00B5129D">
        <w:rPr>
          <w:color w:val="000000"/>
          <w:sz w:val="24"/>
          <w:szCs w:val="24"/>
          <w:lang w:val="en-GB"/>
        </w:rPr>
        <w:t xml:space="preserve">oard of Governors </w:t>
      </w:r>
      <w:r w:rsidR="006E6C94">
        <w:rPr>
          <w:color w:val="000000"/>
          <w:sz w:val="24"/>
          <w:szCs w:val="24"/>
          <w:lang w:val="en-GB"/>
        </w:rPr>
        <w:t xml:space="preserve">are invited </w:t>
      </w:r>
      <w:r w:rsidR="002E0280">
        <w:rPr>
          <w:color w:val="000000"/>
          <w:sz w:val="24"/>
          <w:szCs w:val="24"/>
          <w:lang w:val="en-GB"/>
        </w:rPr>
        <w:t xml:space="preserve">to </w:t>
      </w:r>
      <w:r w:rsidR="00FF1270">
        <w:rPr>
          <w:color w:val="000000"/>
          <w:sz w:val="24"/>
          <w:szCs w:val="24"/>
          <w:lang w:val="en-GB"/>
        </w:rPr>
        <w:t xml:space="preserve">take </w:t>
      </w:r>
      <w:r w:rsidR="00C31CB3">
        <w:rPr>
          <w:color w:val="000000"/>
          <w:sz w:val="24"/>
          <w:szCs w:val="24"/>
          <w:lang w:val="en-GB"/>
        </w:rPr>
        <w:t>note of</w:t>
      </w:r>
      <w:r w:rsidR="009802A4">
        <w:rPr>
          <w:color w:val="000000"/>
          <w:sz w:val="24"/>
          <w:szCs w:val="24"/>
          <w:lang w:val="en-GB"/>
        </w:rPr>
        <w:t xml:space="preserve"> the </w:t>
      </w:r>
      <w:r w:rsidR="00A84065" w:rsidRPr="002E0280">
        <w:rPr>
          <w:color w:val="000000"/>
          <w:sz w:val="24"/>
          <w:szCs w:val="24"/>
          <w:lang w:val="en-GB"/>
        </w:rPr>
        <w:t>‘</w:t>
      </w:r>
      <w:r w:rsidR="009802A4">
        <w:rPr>
          <w:color w:val="000000"/>
          <w:sz w:val="24"/>
          <w:szCs w:val="24"/>
          <w:lang w:val="en-GB"/>
        </w:rPr>
        <w:t>Sixth</w:t>
      </w:r>
      <w:r w:rsidR="00A84065" w:rsidRPr="002E0280">
        <w:rPr>
          <w:i/>
          <w:color w:val="000000"/>
          <w:sz w:val="24"/>
          <w:szCs w:val="24"/>
          <w:lang w:val="en-GB"/>
        </w:rPr>
        <w:t xml:space="preserve"> </w:t>
      </w:r>
      <w:r w:rsidR="00BB05A4" w:rsidRPr="002E0280">
        <w:rPr>
          <w:i/>
          <w:color w:val="000000"/>
          <w:sz w:val="24"/>
          <w:szCs w:val="24"/>
          <w:lang w:val="en-GB"/>
        </w:rPr>
        <w:t>R</w:t>
      </w:r>
      <w:r w:rsidR="00A84065" w:rsidRPr="002E0280">
        <w:rPr>
          <w:i/>
          <w:color w:val="000000"/>
          <w:sz w:val="24"/>
          <w:szCs w:val="24"/>
          <w:lang w:val="en-GB"/>
        </w:rPr>
        <w:t>eport of the BREXIT Working Group’</w:t>
      </w:r>
      <w:r w:rsidR="00FF1270">
        <w:rPr>
          <w:color w:val="000000"/>
          <w:sz w:val="24"/>
          <w:szCs w:val="24"/>
          <w:lang w:val="en-GB"/>
        </w:rPr>
        <w:t xml:space="preserve">; </w:t>
      </w:r>
      <w:r w:rsidR="006E6C94">
        <w:rPr>
          <w:i/>
          <w:color w:val="000000"/>
          <w:sz w:val="24"/>
          <w:szCs w:val="24"/>
          <w:lang w:val="en-GB"/>
        </w:rPr>
        <w:t xml:space="preserve"> </w:t>
      </w:r>
    </w:p>
    <w:p w:rsidR="00FF1270" w:rsidRDefault="00FF1270"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Moreover, the members of the Board of Governors are invited to support the proposal to address a potential cooperation between the EU 27 and the UK in the negotiations on the future relationship between the EU 27 and the UK.</w:t>
      </w:r>
    </w:p>
    <w:p w:rsidR="00F81F90" w:rsidRPr="00C31CB3" w:rsidRDefault="00FF1270" w:rsidP="00C31CB3">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Finally, the Board of Governors is invited to approve</w:t>
      </w:r>
      <w:r w:rsidR="00DE5702">
        <w:rPr>
          <w:color w:val="000000"/>
          <w:sz w:val="24"/>
          <w:szCs w:val="24"/>
          <w:lang w:val="en-GB"/>
        </w:rPr>
        <w:t xml:space="preserve"> </w:t>
      </w:r>
      <w:r w:rsidR="006E6C94" w:rsidRPr="006E6C94">
        <w:rPr>
          <w:color w:val="000000"/>
          <w:sz w:val="24"/>
          <w:szCs w:val="24"/>
          <w:lang w:val="en-GB"/>
        </w:rPr>
        <w:t>the draft mandate</w:t>
      </w:r>
      <w:r>
        <w:rPr>
          <w:color w:val="000000"/>
          <w:sz w:val="24"/>
          <w:szCs w:val="24"/>
          <w:lang w:val="en-GB"/>
        </w:rPr>
        <w:t xml:space="preserve"> provided in Annex I of the </w:t>
      </w:r>
      <w:r w:rsidRPr="00FF1270">
        <w:rPr>
          <w:color w:val="000000"/>
          <w:sz w:val="24"/>
          <w:szCs w:val="24"/>
          <w:lang w:val="en-GB"/>
        </w:rPr>
        <w:t>‘Sixth Report of the BREXIT Working Group</w:t>
      </w:r>
      <w:r w:rsidR="00C31CB3" w:rsidRPr="00FF1270">
        <w:rPr>
          <w:color w:val="000000"/>
          <w:sz w:val="24"/>
          <w:szCs w:val="24"/>
          <w:lang w:val="en-GB"/>
        </w:rPr>
        <w:t>’</w:t>
      </w:r>
      <w:r w:rsidR="00C31CB3">
        <w:rPr>
          <w:color w:val="000000"/>
          <w:sz w:val="24"/>
          <w:szCs w:val="24"/>
          <w:lang w:val="en-GB"/>
        </w:rPr>
        <w:t>.</w:t>
      </w:r>
      <w:bookmarkStart w:id="1" w:name="_GoBack"/>
      <w:bookmarkEnd w:id="1"/>
    </w:p>
    <w:p w:rsidR="00162C13" w:rsidRPr="002E0280" w:rsidRDefault="00162C13"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754032" w:rsidRDefault="00754032"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r>
        <w:rPr>
          <w:b/>
          <w:color w:val="000000"/>
          <w:sz w:val="24"/>
          <w:szCs w:val="24"/>
          <w:lang w:val="en-GB"/>
        </w:rPr>
        <w:t>Annex I</w:t>
      </w:r>
    </w:p>
    <w:p w:rsidR="00754032" w:rsidRDefault="00754032"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p>
    <w:p w:rsidR="00754032" w:rsidRDefault="00754032" w:rsidP="00754032">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r>
        <w:rPr>
          <w:b/>
          <w:color w:val="000000"/>
          <w:sz w:val="24"/>
          <w:szCs w:val="24"/>
          <w:lang w:val="en-GB"/>
        </w:rPr>
        <w:t xml:space="preserve">Proposal for a </w:t>
      </w:r>
    </w:p>
    <w:p w:rsidR="00754032" w:rsidRDefault="00754032" w:rsidP="00754032">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r>
        <w:rPr>
          <w:b/>
          <w:color w:val="000000"/>
          <w:sz w:val="24"/>
          <w:szCs w:val="24"/>
          <w:lang w:val="en-GB"/>
        </w:rPr>
        <w:t>‘Draft Mandate of the Secretary-General and the BREXIT Working Group’</w:t>
      </w:r>
    </w:p>
    <w:p w:rsidR="00754032" w:rsidRDefault="00754032" w:rsidP="00754032">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p>
    <w:p w:rsidR="00754032" w:rsidRDefault="00754032" w:rsidP="00754032">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p>
    <w:p w:rsidR="00E37428" w:rsidRDefault="00E37428" w:rsidP="0075403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Pr>
          <w:color w:val="000000"/>
          <w:sz w:val="24"/>
          <w:szCs w:val="24"/>
          <w:lang w:val="en-GB"/>
        </w:rPr>
        <w:t>The Board of Governors of the European Schools</w:t>
      </w:r>
      <w:r w:rsidR="00644E9F">
        <w:rPr>
          <w:color w:val="000000"/>
          <w:sz w:val="24"/>
          <w:szCs w:val="24"/>
          <w:lang w:val="en-GB"/>
        </w:rPr>
        <w:t>,</w:t>
      </w:r>
    </w:p>
    <w:p w:rsidR="00E37428" w:rsidRDefault="00E37428" w:rsidP="0075403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p w:rsidR="00E37428" w:rsidRDefault="00E37428" w:rsidP="00E37428">
      <w:pPr>
        <w:pStyle w:val="ListParagraph"/>
        <w:numPr>
          <w:ilvl w:val="0"/>
          <w:numId w:val="62"/>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Pr>
          <w:color w:val="000000"/>
          <w:sz w:val="24"/>
          <w:szCs w:val="24"/>
          <w:lang w:val="en-GB"/>
        </w:rPr>
        <w:t>recognizing that the United Kingdom will no longer be bound by the Convention defining the Statute of the European Schools as of 1 September 2021,</w:t>
      </w:r>
    </w:p>
    <w:p w:rsidR="00E37428" w:rsidRPr="00E37428" w:rsidRDefault="00E37428" w:rsidP="00E37428">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p w:rsidR="00754032" w:rsidRDefault="00E37428" w:rsidP="00E37428">
      <w:pPr>
        <w:pStyle w:val="ListParagraph"/>
        <w:numPr>
          <w:ilvl w:val="0"/>
          <w:numId w:val="62"/>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Pr>
          <w:color w:val="000000"/>
          <w:sz w:val="24"/>
          <w:szCs w:val="24"/>
          <w:lang w:val="en-GB"/>
        </w:rPr>
        <w:t>acknowledging the</w:t>
      </w:r>
      <w:r w:rsidRPr="00E37428">
        <w:rPr>
          <w:color w:val="000000"/>
          <w:sz w:val="24"/>
          <w:szCs w:val="24"/>
          <w:lang w:val="en-GB"/>
        </w:rPr>
        <w:t xml:space="preserve"> </w:t>
      </w:r>
      <w:r w:rsidR="001914A2" w:rsidRPr="00E37428">
        <w:rPr>
          <w:color w:val="000000"/>
          <w:sz w:val="24"/>
          <w:szCs w:val="24"/>
          <w:lang w:val="en-GB"/>
        </w:rPr>
        <w:t>impact,</w:t>
      </w:r>
      <w:r w:rsidRPr="00E37428">
        <w:rPr>
          <w:color w:val="000000"/>
          <w:sz w:val="24"/>
          <w:szCs w:val="24"/>
          <w:lang w:val="en-GB"/>
        </w:rPr>
        <w:t xml:space="preserve"> the BREXIT will have on the system of the European Schools</w:t>
      </w:r>
      <w:r>
        <w:rPr>
          <w:color w:val="000000"/>
          <w:sz w:val="24"/>
          <w:szCs w:val="24"/>
          <w:lang w:val="en-GB"/>
        </w:rPr>
        <w:t xml:space="preserve"> as of the 2021/22 school year,</w:t>
      </w:r>
    </w:p>
    <w:p w:rsidR="00E37428" w:rsidRPr="00E37428" w:rsidRDefault="00E37428" w:rsidP="00E37428">
      <w:pPr>
        <w:pStyle w:val="ListParagraph"/>
        <w:rPr>
          <w:color w:val="000000"/>
          <w:sz w:val="24"/>
          <w:szCs w:val="24"/>
          <w:lang w:val="en-GB"/>
        </w:rPr>
      </w:pPr>
    </w:p>
    <w:p w:rsidR="00E50080" w:rsidRDefault="00644E9F" w:rsidP="00E50080">
      <w:pPr>
        <w:pStyle w:val="ListParagraph"/>
        <w:numPr>
          <w:ilvl w:val="0"/>
          <w:numId w:val="62"/>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Pr>
          <w:color w:val="000000"/>
          <w:sz w:val="24"/>
          <w:szCs w:val="24"/>
          <w:lang w:val="en-GB"/>
        </w:rPr>
        <w:t>confirming its determination to limit the impact of the BREXIT on the system of the European Schools,</w:t>
      </w:r>
    </w:p>
    <w:p w:rsidR="00E50080" w:rsidRPr="00E50080" w:rsidRDefault="00E50080" w:rsidP="00E50080">
      <w:pPr>
        <w:pStyle w:val="ListParagraph"/>
        <w:rPr>
          <w:color w:val="000000"/>
          <w:sz w:val="24"/>
          <w:szCs w:val="24"/>
          <w:lang w:val="en-GB"/>
        </w:rPr>
      </w:pPr>
    </w:p>
    <w:p w:rsidR="00E50080" w:rsidRDefault="00E50080" w:rsidP="00E50080">
      <w:pPr>
        <w:pStyle w:val="ListParagraph"/>
        <w:numPr>
          <w:ilvl w:val="0"/>
          <w:numId w:val="62"/>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Pr>
          <w:color w:val="000000"/>
          <w:sz w:val="24"/>
          <w:szCs w:val="24"/>
          <w:lang w:val="en-GB"/>
        </w:rPr>
        <w:t>confirming its readiness to establish as close as possible a future relationship with the United Kingdom,</w:t>
      </w:r>
    </w:p>
    <w:p w:rsidR="00E37428" w:rsidRPr="00E37428" w:rsidRDefault="00E37428" w:rsidP="00E37428">
      <w:pPr>
        <w:pStyle w:val="ListParagraph"/>
        <w:rPr>
          <w:color w:val="000000"/>
          <w:sz w:val="24"/>
          <w:szCs w:val="24"/>
          <w:lang w:val="en-GB"/>
        </w:rPr>
      </w:pPr>
    </w:p>
    <w:p w:rsidR="007E07DA" w:rsidRDefault="007E07DA" w:rsidP="00E37428">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Pr>
          <w:color w:val="000000"/>
          <w:sz w:val="24"/>
          <w:szCs w:val="24"/>
          <w:lang w:val="en-GB"/>
        </w:rPr>
        <w:t xml:space="preserve">welcomes any efforts to integrate aspects of a future cooperation between the European Schools and the United Kingdom in the negotiations on the future relationship between the EU 27 and the UK and </w:t>
      </w:r>
    </w:p>
    <w:p w:rsidR="00E37428" w:rsidRDefault="00E37428" w:rsidP="00E37428">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Pr>
          <w:color w:val="000000"/>
          <w:sz w:val="24"/>
          <w:szCs w:val="24"/>
          <w:lang w:val="en-GB"/>
        </w:rPr>
        <w:t xml:space="preserve">mandates </w:t>
      </w:r>
    </w:p>
    <w:p w:rsidR="00E37428" w:rsidRDefault="00E37428" w:rsidP="00E37428">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p w:rsidR="006E6C94" w:rsidRDefault="00E37428" w:rsidP="006E6C94">
      <w:pPr>
        <w:pStyle w:val="ListParagraph"/>
        <w:numPr>
          <w:ilvl w:val="0"/>
          <w:numId w:val="63"/>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E37428">
        <w:rPr>
          <w:color w:val="000000"/>
          <w:sz w:val="24"/>
          <w:szCs w:val="24"/>
          <w:lang w:val="en-GB"/>
        </w:rPr>
        <w:t>the</w:t>
      </w:r>
      <w:r w:rsidR="006E6C94">
        <w:rPr>
          <w:color w:val="000000"/>
          <w:sz w:val="24"/>
          <w:szCs w:val="24"/>
          <w:lang w:val="en-GB"/>
        </w:rPr>
        <w:t xml:space="preserve"> BREXIT Working Group to provide proposals for concrete measures to limit the impact of the BREXIT on the system of the European Schools.</w:t>
      </w:r>
    </w:p>
    <w:p w:rsidR="00C359B5" w:rsidRDefault="00C359B5" w:rsidP="00C359B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p w:rsidR="00C359B5" w:rsidRDefault="00C359B5" w:rsidP="00644E9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p w:rsidR="00644E9F" w:rsidRPr="00644E9F" w:rsidRDefault="00644E9F" w:rsidP="00644E9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Pr>
          <w:color w:val="000000"/>
          <w:sz w:val="24"/>
          <w:szCs w:val="24"/>
          <w:lang w:val="en-GB"/>
        </w:rPr>
        <w:t>Any such proposal shall be submitted to the Board of Governors for approval by December 2020.</w:t>
      </w:r>
    </w:p>
    <w:p w:rsidR="00754032" w:rsidRDefault="00754032">
      <w:pPr>
        <w:spacing w:before="0" w:after="0"/>
        <w:jc w:val="left"/>
        <w:rPr>
          <w:b/>
          <w:color w:val="000000"/>
          <w:sz w:val="24"/>
          <w:szCs w:val="24"/>
          <w:lang w:val="en-GB"/>
        </w:rPr>
      </w:pPr>
      <w:r>
        <w:rPr>
          <w:b/>
          <w:color w:val="000000"/>
          <w:sz w:val="24"/>
          <w:szCs w:val="24"/>
          <w:lang w:val="en-GB"/>
        </w:rPr>
        <w:br w:type="page"/>
      </w:r>
    </w:p>
    <w:p w:rsidR="00754032" w:rsidRDefault="00754032"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p>
    <w:p w:rsidR="00677C41"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r w:rsidRPr="002E0280">
        <w:rPr>
          <w:b/>
          <w:color w:val="000000"/>
          <w:sz w:val="24"/>
          <w:szCs w:val="24"/>
          <w:lang w:val="en-GB"/>
        </w:rPr>
        <w:t xml:space="preserve">Annex </w:t>
      </w:r>
      <w:r w:rsidR="0070584B">
        <w:rPr>
          <w:b/>
          <w:color w:val="000000"/>
          <w:sz w:val="24"/>
          <w:szCs w:val="24"/>
          <w:lang w:val="en-GB"/>
        </w:rPr>
        <w:t>II</w:t>
      </w:r>
    </w:p>
    <w:p w:rsidR="00023966" w:rsidRPr="002E0280"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r w:rsidRPr="002E0280">
        <w:rPr>
          <w:b/>
          <w:color w:val="000000"/>
          <w:sz w:val="24"/>
          <w:szCs w:val="24"/>
          <w:lang w:val="en-GB"/>
        </w:rPr>
        <w:t>Indicative Calendar</w:t>
      </w:r>
      <w:r w:rsidR="00265182" w:rsidRPr="002E0280">
        <w:rPr>
          <w:rStyle w:val="FootnoteReference"/>
          <w:b/>
          <w:color w:val="000000"/>
          <w:sz w:val="24"/>
          <w:szCs w:val="24"/>
          <w:lang w:val="en-GB"/>
        </w:rPr>
        <w:footnoteReference w:id="10"/>
      </w:r>
    </w:p>
    <w:p w:rsidR="00265182"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p>
    <w:tbl>
      <w:tblPr>
        <w:tblStyle w:val="TableGrid"/>
        <w:tblW w:w="0" w:type="auto"/>
        <w:tblLook w:val="04A0" w:firstRow="1" w:lastRow="0" w:firstColumn="1" w:lastColumn="0" w:noHBand="0" w:noVBand="1"/>
      </w:tblPr>
      <w:tblGrid>
        <w:gridCol w:w="2244"/>
        <w:gridCol w:w="3212"/>
        <w:gridCol w:w="3387"/>
      </w:tblGrid>
      <w:tr w:rsidR="00023966" w:rsidRPr="002E0280" w:rsidTr="00AA1132">
        <w:tc>
          <w:tcPr>
            <w:tcW w:w="2244"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Date</w:t>
            </w:r>
          </w:p>
        </w:tc>
        <w:tc>
          <w:tcPr>
            <w:tcW w:w="3212"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r w:rsidRPr="002E0280">
              <w:rPr>
                <w:b/>
                <w:color w:val="000000"/>
                <w:sz w:val="24"/>
                <w:szCs w:val="24"/>
                <w:lang w:val="en-GB"/>
              </w:rPr>
              <w:t>European Schools</w:t>
            </w:r>
          </w:p>
        </w:tc>
        <w:tc>
          <w:tcPr>
            <w:tcW w:w="3387"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r w:rsidRPr="002E0280">
              <w:rPr>
                <w:b/>
                <w:color w:val="000000"/>
                <w:sz w:val="24"/>
                <w:szCs w:val="24"/>
                <w:lang w:val="en-GB"/>
              </w:rPr>
              <w:t xml:space="preserve">EU </w:t>
            </w:r>
            <w:r w:rsidR="007A1119" w:rsidRPr="002E0280">
              <w:rPr>
                <w:b/>
                <w:color w:val="000000"/>
                <w:sz w:val="24"/>
                <w:szCs w:val="24"/>
                <w:lang w:val="en-GB"/>
              </w:rPr>
              <w:t xml:space="preserve">Article 50 </w:t>
            </w:r>
            <w:r w:rsidRPr="002E0280">
              <w:rPr>
                <w:b/>
                <w:color w:val="000000"/>
                <w:sz w:val="24"/>
                <w:szCs w:val="24"/>
                <w:lang w:val="en-GB"/>
              </w:rPr>
              <w:t>Negotiations</w:t>
            </w:r>
          </w:p>
        </w:tc>
      </w:tr>
      <w:tr w:rsidR="00023966" w:rsidRPr="00C31CB3" w:rsidTr="00AA1132">
        <w:tc>
          <w:tcPr>
            <w:tcW w:w="2244"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29 March 2017</w:t>
            </w:r>
          </w:p>
        </w:tc>
        <w:tc>
          <w:tcPr>
            <w:tcW w:w="3212"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Notification of the BREXIT by the UK Government</w:t>
            </w:r>
          </w:p>
        </w:tc>
      </w:tr>
      <w:tr w:rsidR="00023966" w:rsidRPr="00C31CB3" w:rsidTr="00AA1132">
        <w:tc>
          <w:tcPr>
            <w:tcW w:w="2244" w:type="dxa"/>
          </w:tcPr>
          <w:p w:rsidR="00023966"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4 – 7 April 2017</w:t>
            </w:r>
          </w:p>
        </w:tc>
        <w:tc>
          <w:tcPr>
            <w:tcW w:w="3212" w:type="dxa"/>
          </w:tcPr>
          <w:p w:rsidR="00023966" w:rsidRPr="002E0280" w:rsidRDefault="008864F7" w:rsidP="006C5BA8">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Decision of the B</w:t>
            </w:r>
            <w:r w:rsidR="006C5BA8" w:rsidRPr="002E0280">
              <w:rPr>
                <w:color w:val="000000"/>
                <w:sz w:val="24"/>
                <w:szCs w:val="24"/>
                <w:lang w:val="en-GB"/>
              </w:rPr>
              <w:t xml:space="preserve">oard of Governors </w:t>
            </w:r>
            <w:r w:rsidRPr="002E0280">
              <w:rPr>
                <w:color w:val="000000"/>
                <w:sz w:val="24"/>
                <w:szCs w:val="24"/>
                <w:lang w:val="en-GB"/>
              </w:rPr>
              <w:t>to set up a working group dealing with the BREXIT</w:t>
            </w:r>
          </w:p>
        </w:tc>
        <w:tc>
          <w:tcPr>
            <w:tcW w:w="3387"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8864F7" w:rsidRPr="00C31CB3"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29 April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8864F7" w:rsidP="008864F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 Council at EU 27 adopted a set of political guidelines which define the framework for the negotiations</w:t>
            </w:r>
          </w:p>
        </w:tc>
      </w:tr>
      <w:tr w:rsidR="008864F7" w:rsidRPr="00C31CB3"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3 May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 COM recommendations including negotiation guidelines</w:t>
            </w:r>
          </w:p>
        </w:tc>
      </w:tr>
      <w:tr w:rsidR="008864F7" w:rsidRPr="00C31CB3"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10 May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1</w:t>
            </w:r>
            <w:r w:rsidRPr="002E0280">
              <w:rPr>
                <w:color w:val="000000"/>
                <w:sz w:val="24"/>
                <w:szCs w:val="24"/>
                <w:vertAlign w:val="superscript"/>
                <w:lang w:val="en-GB"/>
              </w:rPr>
              <w:t>st</w:t>
            </w:r>
            <w:r w:rsidRPr="002E0280">
              <w:rPr>
                <w:color w:val="000000"/>
                <w:sz w:val="24"/>
                <w:szCs w:val="24"/>
                <w:lang w:val="en-GB"/>
              </w:rPr>
              <w:t xml:space="preserve"> meeting of the BREXIT Working Group</w:t>
            </w:r>
          </w:p>
        </w:tc>
        <w:tc>
          <w:tcPr>
            <w:tcW w:w="3387"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8864F7" w:rsidRPr="00C31CB3"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22 May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5C33AA" w:rsidP="008864F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 Council authoris</w:t>
            </w:r>
            <w:r w:rsidR="008864F7" w:rsidRPr="002E0280">
              <w:rPr>
                <w:color w:val="000000"/>
                <w:sz w:val="24"/>
                <w:szCs w:val="24"/>
                <w:lang w:val="en-GB"/>
              </w:rPr>
              <w:t xml:space="preserve">ed the opening of the negotiations </w:t>
            </w:r>
          </w:p>
        </w:tc>
      </w:tr>
      <w:tr w:rsidR="008864F7" w:rsidRPr="002E0280"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12 June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8864F7" w:rsidP="00803DF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EU COM Position </w:t>
            </w:r>
            <w:r w:rsidR="00F94B6B" w:rsidRPr="002E0280">
              <w:rPr>
                <w:color w:val="000000"/>
                <w:sz w:val="24"/>
                <w:szCs w:val="24"/>
                <w:lang w:val="en-GB"/>
              </w:rPr>
              <w:t>Paper</w:t>
            </w:r>
            <w:r w:rsidRPr="002E0280">
              <w:rPr>
                <w:color w:val="000000"/>
                <w:sz w:val="24"/>
                <w:szCs w:val="24"/>
                <w:lang w:val="en-GB"/>
              </w:rPr>
              <w:t xml:space="preserve"> “Essential Principles on Financial Settlement”</w:t>
            </w:r>
            <w:r w:rsidR="00803DF6" w:rsidRPr="002E0280">
              <w:rPr>
                <w:color w:val="000000"/>
                <w:sz w:val="24"/>
                <w:szCs w:val="24"/>
                <w:lang w:val="en-GB"/>
              </w:rPr>
              <w:t xml:space="preserve"> mention</w:t>
            </w:r>
            <w:r w:rsidRPr="002E0280">
              <w:rPr>
                <w:color w:val="000000"/>
                <w:sz w:val="24"/>
                <w:szCs w:val="24"/>
                <w:lang w:val="en-GB"/>
              </w:rPr>
              <w:t>ing the ES</w:t>
            </w:r>
          </w:p>
        </w:tc>
      </w:tr>
      <w:tr w:rsidR="008864F7" w:rsidRPr="00C31CB3"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19 June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1</w:t>
            </w:r>
            <w:r w:rsidRPr="002E0280">
              <w:rPr>
                <w:color w:val="000000"/>
                <w:sz w:val="24"/>
                <w:szCs w:val="24"/>
                <w:vertAlign w:val="superscript"/>
                <w:lang w:val="en-GB"/>
              </w:rPr>
              <w:t>st</w:t>
            </w:r>
            <w:r w:rsidRPr="002E0280">
              <w:rPr>
                <w:color w:val="000000"/>
                <w:sz w:val="24"/>
                <w:szCs w:val="24"/>
                <w:lang w:val="en-GB"/>
              </w:rPr>
              <w:t xml:space="preserve"> round of Article 50 negotiations</w:t>
            </w:r>
          </w:p>
          <w:p w:rsidR="008864F7" w:rsidRPr="002E0280" w:rsidRDefault="008864F7" w:rsidP="007F4251">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Publication of terms of reference</w:t>
            </w:r>
          </w:p>
        </w:tc>
      </w:tr>
      <w:tr w:rsidR="008864F7" w:rsidRPr="00C31CB3"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17 </w:t>
            </w:r>
            <w:r w:rsidR="008540ED" w:rsidRPr="002E0280">
              <w:rPr>
                <w:color w:val="000000"/>
                <w:sz w:val="24"/>
                <w:szCs w:val="24"/>
                <w:lang w:val="en-GB"/>
              </w:rPr>
              <w:t xml:space="preserve">– 20 </w:t>
            </w:r>
            <w:r w:rsidRPr="002E0280">
              <w:rPr>
                <w:color w:val="000000"/>
                <w:sz w:val="24"/>
                <w:szCs w:val="24"/>
                <w:lang w:val="en-GB"/>
              </w:rPr>
              <w:t>July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2</w:t>
            </w:r>
            <w:r w:rsidRPr="002E0280">
              <w:rPr>
                <w:color w:val="000000"/>
                <w:sz w:val="24"/>
                <w:szCs w:val="24"/>
                <w:vertAlign w:val="superscript"/>
                <w:lang w:val="en-GB"/>
              </w:rPr>
              <w:t>nd</w:t>
            </w:r>
            <w:r w:rsidRPr="002E0280">
              <w:rPr>
                <w:color w:val="000000"/>
                <w:sz w:val="24"/>
                <w:szCs w:val="24"/>
                <w:lang w:val="en-GB"/>
              </w:rPr>
              <w:t xml:space="preserve"> round of Article 50 negotiations</w:t>
            </w:r>
          </w:p>
        </w:tc>
      </w:tr>
      <w:tr w:rsidR="008864F7" w:rsidRPr="00C31CB3" w:rsidTr="00AA1132">
        <w:tc>
          <w:tcPr>
            <w:tcW w:w="2244" w:type="dxa"/>
          </w:tcPr>
          <w:p w:rsidR="008864F7" w:rsidRPr="002E0280"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28 </w:t>
            </w:r>
            <w:r w:rsidR="00265182" w:rsidRPr="002E0280">
              <w:rPr>
                <w:color w:val="000000"/>
                <w:sz w:val="24"/>
                <w:szCs w:val="24"/>
                <w:lang w:val="en-GB"/>
              </w:rPr>
              <w:t xml:space="preserve">– 31 </w:t>
            </w:r>
            <w:r w:rsidR="006C5BA8" w:rsidRPr="002E0280">
              <w:rPr>
                <w:color w:val="000000"/>
                <w:sz w:val="24"/>
                <w:szCs w:val="24"/>
                <w:lang w:val="en-GB"/>
              </w:rPr>
              <w:t>August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6C5BA8"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3</w:t>
            </w:r>
            <w:r w:rsidRPr="002E0280">
              <w:rPr>
                <w:color w:val="000000"/>
                <w:sz w:val="24"/>
                <w:szCs w:val="24"/>
                <w:vertAlign w:val="superscript"/>
                <w:lang w:val="en-GB"/>
              </w:rPr>
              <w:t>rd</w:t>
            </w:r>
            <w:r w:rsidRPr="002E0280">
              <w:rPr>
                <w:color w:val="000000"/>
                <w:sz w:val="24"/>
                <w:szCs w:val="24"/>
                <w:lang w:val="en-GB"/>
              </w:rPr>
              <w:t xml:space="preserve"> round of </w:t>
            </w:r>
            <w:r w:rsidR="00265182" w:rsidRPr="002E0280">
              <w:rPr>
                <w:color w:val="000000"/>
                <w:sz w:val="24"/>
                <w:szCs w:val="24"/>
                <w:lang w:val="en-GB"/>
              </w:rPr>
              <w:t xml:space="preserve">Article 50 </w:t>
            </w:r>
            <w:r w:rsidRPr="002E0280">
              <w:rPr>
                <w:color w:val="000000"/>
                <w:sz w:val="24"/>
                <w:szCs w:val="24"/>
                <w:lang w:val="en-GB"/>
              </w:rPr>
              <w:t xml:space="preserve"> negotiations</w:t>
            </w:r>
          </w:p>
        </w:tc>
      </w:tr>
      <w:tr w:rsidR="006C5BA8" w:rsidRPr="00C31CB3" w:rsidTr="00AA1132">
        <w:tc>
          <w:tcPr>
            <w:tcW w:w="2244"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11 September 2017</w:t>
            </w:r>
          </w:p>
        </w:tc>
        <w:tc>
          <w:tcPr>
            <w:tcW w:w="3212"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2</w:t>
            </w:r>
            <w:r w:rsidRPr="002E0280">
              <w:rPr>
                <w:color w:val="000000"/>
                <w:sz w:val="24"/>
                <w:szCs w:val="24"/>
                <w:vertAlign w:val="superscript"/>
                <w:lang w:val="en-GB"/>
              </w:rPr>
              <w:t>nd</w:t>
            </w:r>
            <w:r w:rsidRPr="002E0280">
              <w:rPr>
                <w:color w:val="000000"/>
                <w:sz w:val="24"/>
                <w:szCs w:val="24"/>
                <w:lang w:val="en-GB"/>
              </w:rPr>
              <w:t xml:space="preserve"> meeting of the BREXIT Working Group</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E338CD" w:rsidRPr="00C31CB3" w:rsidTr="00AA1132">
        <w:tc>
          <w:tcPr>
            <w:tcW w:w="2244" w:type="dxa"/>
          </w:tcPr>
          <w:p w:rsidR="00E338CD"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lastRenderedPageBreak/>
              <w:t>18 - 21 September 2017</w:t>
            </w:r>
          </w:p>
        </w:tc>
        <w:tc>
          <w:tcPr>
            <w:tcW w:w="3212" w:type="dxa"/>
          </w:tcPr>
          <w:p w:rsidR="00E338CD" w:rsidRPr="002E0280"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E338CD" w:rsidRPr="002E0280" w:rsidRDefault="00265182"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4</w:t>
            </w:r>
            <w:r w:rsidRPr="002E0280">
              <w:rPr>
                <w:color w:val="000000"/>
                <w:sz w:val="24"/>
                <w:szCs w:val="24"/>
                <w:vertAlign w:val="superscript"/>
                <w:lang w:val="en-GB"/>
              </w:rPr>
              <w:t>th</w:t>
            </w:r>
            <w:r w:rsidRPr="002E0280">
              <w:rPr>
                <w:color w:val="000000"/>
                <w:sz w:val="24"/>
                <w:szCs w:val="24"/>
                <w:lang w:val="en-GB"/>
              </w:rPr>
              <w:t xml:space="preserve"> round of Article 50 negotiations</w:t>
            </w:r>
          </w:p>
        </w:tc>
      </w:tr>
      <w:tr w:rsidR="00E338CD" w:rsidRPr="00C31CB3" w:rsidTr="00AA1132">
        <w:tc>
          <w:tcPr>
            <w:tcW w:w="2244" w:type="dxa"/>
          </w:tcPr>
          <w:p w:rsidR="00E338CD"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9 – 12 October 2017</w:t>
            </w:r>
          </w:p>
        </w:tc>
        <w:tc>
          <w:tcPr>
            <w:tcW w:w="3212" w:type="dxa"/>
          </w:tcPr>
          <w:p w:rsidR="00E338CD" w:rsidRPr="002E0280"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E338CD" w:rsidRPr="002E0280" w:rsidRDefault="00265182"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5</w:t>
            </w:r>
            <w:r w:rsidRPr="002E0280">
              <w:rPr>
                <w:color w:val="000000"/>
                <w:sz w:val="24"/>
                <w:szCs w:val="24"/>
                <w:vertAlign w:val="superscript"/>
                <w:lang w:val="en-GB"/>
              </w:rPr>
              <w:t>th</w:t>
            </w:r>
            <w:r w:rsidRPr="002E0280">
              <w:rPr>
                <w:color w:val="000000"/>
                <w:sz w:val="24"/>
                <w:szCs w:val="24"/>
                <w:lang w:val="en-GB"/>
              </w:rPr>
              <w:t xml:space="preserve"> round of Article 50 negotiations</w:t>
            </w:r>
          </w:p>
        </w:tc>
      </w:tr>
      <w:tr w:rsidR="008864F7" w:rsidRPr="002E0280" w:rsidTr="00AA1132">
        <w:tc>
          <w:tcPr>
            <w:tcW w:w="2244" w:type="dxa"/>
          </w:tcPr>
          <w:p w:rsidR="008864F7" w:rsidRPr="002E0280" w:rsidRDefault="00E338CD"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7 – 8 November 2017</w:t>
            </w:r>
          </w:p>
        </w:tc>
        <w:tc>
          <w:tcPr>
            <w:tcW w:w="3212" w:type="dxa"/>
          </w:tcPr>
          <w:p w:rsidR="008864F7" w:rsidRPr="002E0280"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Budgetary Committee</w:t>
            </w:r>
          </w:p>
        </w:tc>
        <w:tc>
          <w:tcPr>
            <w:tcW w:w="3387"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9761E0" w:rsidRPr="002E0280" w:rsidTr="00AA1132">
        <w:tc>
          <w:tcPr>
            <w:tcW w:w="2244" w:type="dxa"/>
          </w:tcPr>
          <w:p w:rsidR="009761E0" w:rsidRPr="002E0280" w:rsidRDefault="009761E0"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9761E0" w:rsidRPr="002E0280" w:rsidRDefault="009761E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9761E0" w:rsidRPr="002E0280" w:rsidRDefault="009761E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9761E0" w:rsidRPr="00C31CB3" w:rsidTr="00AA1132">
        <w:tc>
          <w:tcPr>
            <w:tcW w:w="2244" w:type="dxa"/>
          </w:tcPr>
          <w:p w:rsidR="009761E0" w:rsidRPr="002E028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9 – 10 November 2017</w:t>
            </w:r>
          </w:p>
        </w:tc>
        <w:tc>
          <w:tcPr>
            <w:tcW w:w="3212" w:type="dxa"/>
          </w:tcPr>
          <w:p w:rsidR="009761E0" w:rsidRPr="002E028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9761E0" w:rsidRPr="002E028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6</w:t>
            </w:r>
            <w:r w:rsidRPr="002E0280">
              <w:rPr>
                <w:color w:val="000000"/>
                <w:sz w:val="24"/>
                <w:szCs w:val="24"/>
                <w:vertAlign w:val="superscript"/>
                <w:lang w:val="en-GB"/>
              </w:rPr>
              <w:t>th</w:t>
            </w:r>
            <w:r w:rsidRPr="002E0280">
              <w:rPr>
                <w:color w:val="000000"/>
                <w:sz w:val="24"/>
                <w:szCs w:val="24"/>
                <w:lang w:val="en-GB"/>
              </w:rPr>
              <w:t xml:space="preserve">  round of Article 50 negotiations</w:t>
            </w:r>
          </w:p>
        </w:tc>
      </w:tr>
      <w:tr w:rsidR="00E338CD" w:rsidRPr="00C31CB3" w:rsidTr="00AA1132">
        <w:tc>
          <w:tcPr>
            <w:tcW w:w="2244" w:type="dxa"/>
          </w:tcPr>
          <w:p w:rsidR="00E338CD" w:rsidRPr="002E0280" w:rsidRDefault="00AA1132"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13 November 2017</w:t>
            </w:r>
          </w:p>
        </w:tc>
        <w:tc>
          <w:tcPr>
            <w:tcW w:w="3212" w:type="dxa"/>
          </w:tcPr>
          <w:p w:rsidR="00E338CD" w:rsidRPr="002E0280"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3</w:t>
            </w:r>
            <w:r w:rsidRPr="002E0280">
              <w:rPr>
                <w:color w:val="000000"/>
                <w:sz w:val="24"/>
                <w:szCs w:val="24"/>
                <w:vertAlign w:val="superscript"/>
                <w:lang w:val="en-GB"/>
              </w:rPr>
              <w:t>rd</w:t>
            </w:r>
            <w:r w:rsidRPr="002E0280">
              <w:rPr>
                <w:color w:val="000000"/>
                <w:sz w:val="24"/>
                <w:szCs w:val="24"/>
                <w:lang w:val="en-GB"/>
              </w:rPr>
              <w:t xml:space="preserve"> Meeting of the BREXIT Working Group</w:t>
            </w:r>
          </w:p>
        </w:tc>
        <w:tc>
          <w:tcPr>
            <w:tcW w:w="3387" w:type="dxa"/>
          </w:tcPr>
          <w:p w:rsidR="00E338CD" w:rsidRPr="002E0280"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9761E0" w:rsidRPr="00C31CB3" w:rsidTr="00AA1132">
        <w:tc>
          <w:tcPr>
            <w:tcW w:w="2244" w:type="dxa"/>
          </w:tcPr>
          <w:p w:rsidR="009761E0" w:rsidRPr="002E0280" w:rsidRDefault="009761E0"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9761E0" w:rsidRPr="002E0280" w:rsidRDefault="009761E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9761E0" w:rsidRPr="002E0280" w:rsidRDefault="009761E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C31CB3" w:rsidTr="00AA1132">
        <w:tc>
          <w:tcPr>
            <w:tcW w:w="2244"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5 – 7 December 2017</w:t>
            </w:r>
          </w:p>
        </w:tc>
        <w:tc>
          <w:tcPr>
            <w:tcW w:w="3212"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1</w:t>
            </w:r>
            <w:r w:rsidRPr="002E0280">
              <w:rPr>
                <w:b/>
                <w:color w:val="000000"/>
                <w:sz w:val="24"/>
                <w:szCs w:val="24"/>
                <w:vertAlign w:val="superscript"/>
                <w:lang w:val="en-GB"/>
              </w:rPr>
              <w:t>st</w:t>
            </w:r>
            <w:r w:rsidR="007A1119" w:rsidRPr="002E0280">
              <w:rPr>
                <w:b/>
                <w:color w:val="000000"/>
                <w:sz w:val="24"/>
                <w:szCs w:val="24"/>
                <w:lang w:val="en-GB"/>
              </w:rPr>
              <w:t xml:space="preserve"> R</w:t>
            </w:r>
            <w:r w:rsidRPr="002E0280">
              <w:rPr>
                <w:b/>
                <w:color w:val="000000"/>
                <w:sz w:val="24"/>
                <w:szCs w:val="24"/>
                <w:lang w:val="en-GB"/>
              </w:rPr>
              <w:t>eport to be presented to the Board of Governors</w:t>
            </w:r>
          </w:p>
          <w:p w:rsidR="00DF5F82" w:rsidRPr="002E0280" w:rsidRDefault="00DF5F82" w:rsidP="007F4251">
            <w:pPr>
              <w:pStyle w:val="ListParagraph"/>
              <w:numPr>
                <w:ilvl w:val="0"/>
                <w:numId w:val="33"/>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Prolongation of the accreditation of ES Europa until the end of 2018/19 school year</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C20440" w:rsidRPr="00C31CB3" w:rsidTr="00AA1132">
        <w:tc>
          <w:tcPr>
            <w:tcW w:w="2244"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c>
          <w:tcPr>
            <w:tcW w:w="3387"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8A6F19" w:rsidRPr="002E0280" w:rsidTr="00AA1132">
        <w:tc>
          <w:tcPr>
            <w:tcW w:w="2244" w:type="dxa"/>
          </w:tcPr>
          <w:p w:rsidR="008A6F19" w:rsidRPr="002E0280"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15 December 2017</w:t>
            </w:r>
          </w:p>
        </w:tc>
        <w:tc>
          <w:tcPr>
            <w:tcW w:w="3212" w:type="dxa"/>
          </w:tcPr>
          <w:p w:rsidR="008A6F19" w:rsidRPr="002E0280"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c>
          <w:tcPr>
            <w:tcW w:w="3387" w:type="dxa"/>
          </w:tcPr>
          <w:p w:rsidR="008A6F19" w:rsidRPr="002E0280" w:rsidRDefault="00AD0AC5" w:rsidP="00AD0AC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Article 50 </w:t>
            </w:r>
            <w:r w:rsidR="008A6F19" w:rsidRPr="002E0280">
              <w:rPr>
                <w:color w:val="000000"/>
                <w:sz w:val="24"/>
                <w:szCs w:val="24"/>
                <w:lang w:val="en-GB"/>
              </w:rPr>
              <w:t xml:space="preserve">Council </w:t>
            </w:r>
            <w:r w:rsidRPr="002E0280">
              <w:rPr>
                <w:color w:val="000000"/>
                <w:sz w:val="24"/>
                <w:szCs w:val="24"/>
                <w:lang w:val="en-GB"/>
              </w:rPr>
              <w:t xml:space="preserve">Negotiation </w:t>
            </w:r>
            <w:r w:rsidR="008A6F19" w:rsidRPr="002E0280">
              <w:rPr>
                <w:color w:val="000000"/>
                <w:sz w:val="24"/>
                <w:szCs w:val="24"/>
                <w:lang w:val="en-GB"/>
              </w:rPr>
              <w:t xml:space="preserve">Guidelines  </w:t>
            </w:r>
          </w:p>
        </w:tc>
      </w:tr>
      <w:tr w:rsidR="008A6F19" w:rsidRPr="00C31CB3" w:rsidTr="00AA1132">
        <w:tc>
          <w:tcPr>
            <w:tcW w:w="2244" w:type="dxa"/>
          </w:tcPr>
          <w:p w:rsidR="008A6F19" w:rsidRPr="002E0280"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29 January 2018</w:t>
            </w:r>
          </w:p>
        </w:tc>
        <w:tc>
          <w:tcPr>
            <w:tcW w:w="3212" w:type="dxa"/>
          </w:tcPr>
          <w:p w:rsidR="008A6F19" w:rsidRPr="002E0280"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c>
          <w:tcPr>
            <w:tcW w:w="3387" w:type="dxa"/>
          </w:tcPr>
          <w:p w:rsidR="008A6F19" w:rsidRPr="002E0280" w:rsidRDefault="00AD0AC5"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Article 50 </w:t>
            </w:r>
            <w:r w:rsidR="004D6052" w:rsidRPr="002E0280">
              <w:rPr>
                <w:color w:val="000000"/>
                <w:sz w:val="24"/>
                <w:szCs w:val="24"/>
                <w:lang w:val="en-GB"/>
              </w:rPr>
              <w:t xml:space="preserve">Council </w:t>
            </w:r>
            <w:r w:rsidR="008A6F19" w:rsidRPr="002E0280">
              <w:rPr>
                <w:color w:val="000000"/>
                <w:sz w:val="24"/>
                <w:szCs w:val="24"/>
                <w:lang w:val="en-GB"/>
              </w:rPr>
              <w:t>Decision with supplementary negotiation directives</w:t>
            </w:r>
          </w:p>
        </w:tc>
      </w:tr>
      <w:tr w:rsidR="008A6F19" w:rsidRPr="00C31CB3" w:rsidTr="00AA1132">
        <w:tc>
          <w:tcPr>
            <w:tcW w:w="2244" w:type="dxa"/>
          </w:tcPr>
          <w:p w:rsidR="008A6F19" w:rsidRPr="002E0280"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7 February 2018</w:t>
            </w:r>
          </w:p>
        </w:tc>
        <w:tc>
          <w:tcPr>
            <w:tcW w:w="3212" w:type="dxa"/>
          </w:tcPr>
          <w:p w:rsidR="008A6F19" w:rsidRPr="002E0280"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c>
          <w:tcPr>
            <w:tcW w:w="3387" w:type="dxa"/>
          </w:tcPr>
          <w:p w:rsidR="008A6F19" w:rsidRPr="002E0280" w:rsidRDefault="00EF3CD7"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COM position paper on ‘Tr</w:t>
            </w:r>
            <w:r w:rsidR="00611D27" w:rsidRPr="002E0280">
              <w:rPr>
                <w:color w:val="000000"/>
                <w:sz w:val="24"/>
                <w:szCs w:val="24"/>
                <w:lang w:val="en-GB"/>
              </w:rPr>
              <w:t>ansitional arrangements in the Withdrawal A</w:t>
            </w:r>
            <w:r w:rsidRPr="002E0280">
              <w:rPr>
                <w:color w:val="000000"/>
                <w:sz w:val="24"/>
                <w:szCs w:val="24"/>
                <w:lang w:val="en-GB"/>
              </w:rPr>
              <w:t>greement’</w:t>
            </w:r>
          </w:p>
        </w:tc>
      </w:tr>
      <w:tr w:rsidR="00DF5F82" w:rsidRPr="00C31CB3" w:rsidTr="00AA1132">
        <w:tc>
          <w:tcPr>
            <w:tcW w:w="2244" w:type="dxa"/>
          </w:tcPr>
          <w:p w:rsidR="00DF5F82"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21 February 2018</w:t>
            </w:r>
          </w:p>
        </w:tc>
        <w:tc>
          <w:tcPr>
            <w:tcW w:w="3212" w:type="dxa"/>
          </w:tcPr>
          <w:p w:rsidR="00DF5F82"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c>
          <w:tcPr>
            <w:tcW w:w="3387" w:type="dxa"/>
          </w:tcPr>
          <w:p w:rsidR="00DF5F82" w:rsidRPr="002E0280" w:rsidRDefault="00DF5F82"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UK position paper concerning the ‘Implementation Period’</w:t>
            </w:r>
          </w:p>
        </w:tc>
      </w:tr>
      <w:tr w:rsidR="008A6F19" w:rsidRPr="00C31CB3" w:rsidTr="00AA1132">
        <w:tc>
          <w:tcPr>
            <w:tcW w:w="2244" w:type="dxa"/>
          </w:tcPr>
          <w:p w:rsidR="008A6F19" w:rsidRPr="002E0280" w:rsidRDefault="008A6F19"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8A6F19" w:rsidRPr="002E0280" w:rsidRDefault="008A6F1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c>
          <w:tcPr>
            <w:tcW w:w="3387" w:type="dxa"/>
          </w:tcPr>
          <w:p w:rsidR="008A6F19" w:rsidRPr="002E0280" w:rsidRDefault="008A6F1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C31CB3" w:rsidTr="00AA1132">
        <w:tc>
          <w:tcPr>
            <w:tcW w:w="2244" w:type="dxa"/>
          </w:tcPr>
          <w:p w:rsidR="006C5BA8" w:rsidRPr="002E0280" w:rsidRDefault="008A6F19"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22 February</w:t>
            </w:r>
            <w:r w:rsidR="00AA1132" w:rsidRPr="002E0280">
              <w:rPr>
                <w:color w:val="000000"/>
                <w:sz w:val="24"/>
                <w:szCs w:val="24"/>
                <w:lang w:val="en-GB"/>
              </w:rPr>
              <w:t xml:space="preserve"> 2018</w:t>
            </w:r>
          </w:p>
        </w:tc>
        <w:tc>
          <w:tcPr>
            <w:tcW w:w="3212" w:type="dxa"/>
          </w:tcPr>
          <w:p w:rsidR="006C5BA8" w:rsidRPr="002E0280"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4</w:t>
            </w:r>
            <w:r w:rsidRPr="002E0280">
              <w:rPr>
                <w:color w:val="000000"/>
                <w:sz w:val="24"/>
                <w:szCs w:val="24"/>
                <w:vertAlign w:val="superscript"/>
                <w:lang w:val="en-GB"/>
              </w:rPr>
              <w:t>th</w:t>
            </w:r>
            <w:r w:rsidRPr="002E0280">
              <w:rPr>
                <w:color w:val="000000"/>
                <w:sz w:val="24"/>
                <w:szCs w:val="24"/>
                <w:lang w:val="en-GB"/>
              </w:rPr>
              <w:t xml:space="preserve"> Meeting of the BREXIT Working Group</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185090" w:rsidRPr="00C31CB3" w:rsidTr="00AA1132">
        <w:tc>
          <w:tcPr>
            <w:tcW w:w="2244" w:type="dxa"/>
          </w:tcPr>
          <w:p w:rsidR="00185090" w:rsidRPr="002E0280" w:rsidRDefault="00185090"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185090" w:rsidRPr="002E0280" w:rsidRDefault="0018509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185090" w:rsidRPr="002E0280" w:rsidRDefault="0018509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185090" w:rsidRPr="00C31CB3" w:rsidTr="00AA1132">
        <w:tc>
          <w:tcPr>
            <w:tcW w:w="2244" w:type="dxa"/>
          </w:tcPr>
          <w:p w:rsidR="00185090" w:rsidRPr="002E0280" w:rsidRDefault="00185090"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28 February 2018</w:t>
            </w:r>
          </w:p>
        </w:tc>
        <w:tc>
          <w:tcPr>
            <w:tcW w:w="3212" w:type="dxa"/>
          </w:tcPr>
          <w:p w:rsidR="00185090" w:rsidRPr="002E0280"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185090" w:rsidRPr="002E0280"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Publication of the EU COM Draft Withdrawal Agreement</w:t>
            </w:r>
          </w:p>
        </w:tc>
      </w:tr>
      <w:tr w:rsidR="00050339" w:rsidRPr="00C31CB3" w:rsidTr="00AA1132">
        <w:tc>
          <w:tcPr>
            <w:tcW w:w="2244"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2E0280" w:rsidTr="00AA1132">
        <w:tc>
          <w:tcPr>
            <w:tcW w:w="2244" w:type="dxa"/>
          </w:tcPr>
          <w:p w:rsidR="006C5BA8"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lastRenderedPageBreak/>
              <w:t xml:space="preserve">13 – 14 </w:t>
            </w:r>
            <w:r w:rsidR="00265182" w:rsidRPr="002E0280">
              <w:rPr>
                <w:color w:val="000000"/>
                <w:sz w:val="24"/>
                <w:szCs w:val="24"/>
                <w:lang w:val="en-GB"/>
              </w:rPr>
              <w:t>March 2018</w:t>
            </w:r>
          </w:p>
        </w:tc>
        <w:tc>
          <w:tcPr>
            <w:tcW w:w="3212" w:type="dxa"/>
          </w:tcPr>
          <w:p w:rsidR="006C5BA8"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Budgetary Committee</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C20440" w:rsidRPr="002E0280" w:rsidTr="00AA1132">
        <w:tc>
          <w:tcPr>
            <w:tcW w:w="2244"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DF5F82" w:rsidRPr="00C31CB3" w:rsidTr="00AA1132">
        <w:tc>
          <w:tcPr>
            <w:tcW w:w="2244" w:type="dxa"/>
          </w:tcPr>
          <w:p w:rsidR="00DF5F82"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22 – 23 March 2018</w:t>
            </w:r>
          </w:p>
        </w:tc>
        <w:tc>
          <w:tcPr>
            <w:tcW w:w="3212" w:type="dxa"/>
          </w:tcPr>
          <w:p w:rsidR="00DF5F82"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DF5F82"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European Council</w:t>
            </w:r>
          </w:p>
          <w:p w:rsidR="004158F7" w:rsidRPr="002E0280" w:rsidRDefault="004158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Council Guidelines of 23 March 2018</w:t>
            </w:r>
          </w:p>
        </w:tc>
      </w:tr>
      <w:tr w:rsidR="00050339" w:rsidRPr="00C31CB3" w:rsidTr="00AA1132">
        <w:tc>
          <w:tcPr>
            <w:tcW w:w="2244"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C31CB3" w:rsidTr="00AA1132">
        <w:tc>
          <w:tcPr>
            <w:tcW w:w="2244" w:type="dxa"/>
          </w:tcPr>
          <w:p w:rsidR="006C5BA8"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17 – 19 </w:t>
            </w:r>
            <w:r w:rsidR="006C5BA8" w:rsidRPr="002E0280">
              <w:rPr>
                <w:color w:val="000000"/>
                <w:sz w:val="24"/>
                <w:szCs w:val="24"/>
                <w:lang w:val="en-GB"/>
              </w:rPr>
              <w:t>April 2018</w:t>
            </w:r>
          </w:p>
        </w:tc>
        <w:tc>
          <w:tcPr>
            <w:tcW w:w="3212"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2</w:t>
            </w:r>
            <w:r w:rsidRPr="002E0280">
              <w:rPr>
                <w:b/>
                <w:color w:val="000000"/>
                <w:sz w:val="24"/>
                <w:szCs w:val="24"/>
                <w:vertAlign w:val="superscript"/>
                <w:lang w:val="en-GB"/>
              </w:rPr>
              <w:t>nd</w:t>
            </w:r>
            <w:r w:rsidR="007A1119" w:rsidRPr="002E0280">
              <w:rPr>
                <w:b/>
                <w:color w:val="000000"/>
                <w:sz w:val="24"/>
                <w:szCs w:val="24"/>
                <w:lang w:val="en-GB"/>
              </w:rPr>
              <w:t xml:space="preserve"> R</w:t>
            </w:r>
            <w:r w:rsidRPr="002E0280">
              <w:rPr>
                <w:b/>
                <w:color w:val="000000"/>
                <w:sz w:val="24"/>
                <w:szCs w:val="24"/>
                <w:lang w:val="en-GB"/>
              </w:rPr>
              <w:t>eport to be presented to the Board of Governors</w:t>
            </w:r>
          </w:p>
          <w:p w:rsidR="006D757C" w:rsidRPr="002E0280" w:rsidRDefault="00465F8A" w:rsidP="007F4251">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Recommendations with respect to the Article 50 </w:t>
            </w:r>
            <w:r w:rsidR="006D757C" w:rsidRPr="002E0280">
              <w:rPr>
                <w:color w:val="000000"/>
                <w:sz w:val="24"/>
                <w:szCs w:val="24"/>
                <w:lang w:val="en-GB"/>
              </w:rPr>
              <w:t>‘withdrawal agreement’</w:t>
            </w:r>
          </w:p>
          <w:p w:rsidR="006D757C" w:rsidRPr="002E0280" w:rsidRDefault="006D757C" w:rsidP="006D757C">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sz w:val="24"/>
                <w:szCs w:val="24"/>
                <w:lang w:val="en-GB"/>
              </w:rPr>
            </w:pPr>
          </w:p>
          <w:p w:rsidR="00C20440" w:rsidRPr="002E0280" w:rsidRDefault="00C20440" w:rsidP="007F4251">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Proposals to amend the Service Regulations for LRT</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6C5BA8" w:rsidRPr="00C31CB3" w:rsidTr="00AA1132">
        <w:tc>
          <w:tcPr>
            <w:tcW w:w="2244" w:type="dxa"/>
          </w:tcPr>
          <w:p w:rsidR="006C5BA8" w:rsidRPr="002E0280" w:rsidRDefault="006C5BA8"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6C5BA8" w:rsidRPr="002E0280" w:rsidRDefault="006C5BA8"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6C5BA8" w:rsidRPr="002E0280" w:rsidRDefault="006C5BA8"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441425" w:rsidRPr="002E0280" w:rsidTr="00AA1132">
        <w:tc>
          <w:tcPr>
            <w:tcW w:w="2244"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June 2018</w:t>
            </w:r>
          </w:p>
        </w:tc>
        <w:tc>
          <w:tcPr>
            <w:tcW w:w="3212"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European Council</w:t>
            </w:r>
          </w:p>
        </w:tc>
      </w:tr>
      <w:tr w:rsidR="00441425" w:rsidRPr="00C31CB3" w:rsidTr="00AA1132">
        <w:tc>
          <w:tcPr>
            <w:tcW w:w="2244"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19 July 2018</w:t>
            </w:r>
          </w:p>
        </w:tc>
        <w:tc>
          <w:tcPr>
            <w:tcW w:w="3212"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 COM Communication ‘Preparing for the withdrawal of the United Kingdom from the EU on 30 March 2019”</w:t>
            </w:r>
          </w:p>
        </w:tc>
      </w:tr>
      <w:tr w:rsidR="00441425" w:rsidRPr="00C31CB3" w:rsidTr="00AA1132">
        <w:tc>
          <w:tcPr>
            <w:tcW w:w="2244" w:type="dxa"/>
          </w:tcPr>
          <w:p w:rsidR="00441425" w:rsidRPr="002E0280" w:rsidRDefault="00441425"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441425" w:rsidRPr="002E0280" w:rsidRDefault="0044142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441425" w:rsidRPr="002E0280" w:rsidRDefault="0044142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441425" w:rsidRPr="00C31CB3" w:rsidTr="00AA1132">
        <w:tc>
          <w:tcPr>
            <w:tcW w:w="2244"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20 September 2018</w:t>
            </w:r>
          </w:p>
        </w:tc>
        <w:tc>
          <w:tcPr>
            <w:tcW w:w="3212" w:type="dxa"/>
          </w:tcPr>
          <w:p w:rsidR="00441425" w:rsidRPr="002E0280" w:rsidRDefault="0016234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5</w:t>
            </w:r>
            <w:r w:rsidRPr="002E0280">
              <w:rPr>
                <w:color w:val="000000"/>
                <w:sz w:val="24"/>
                <w:szCs w:val="24"/>
                <w:vertAlign w:val="superscript"/>
                <w:lang w:val="en-GB"/>
              </w:rPr>
              <w:t>th</w:t>
            </w:r>
            <w:r w:rsidRPr="002E0280">
              <w:rPr>
                <w:color w:val="000000"/>
                <w:sz w:val="24"/>
                <w:szCs w:val="24"/>
                <w:lang w:val="en-GB"/>
              </w:rPr>
              <w:t xml:space="preserve"> Meeting of the </w:t>
            </w:r>
            <w:r w:rsidR="00441425" w:rsidRPr="002E0280">
              <w:rPr>
                <w:color w:val="000000"/>
                <w:sz w:val="24"/>
                <w:szCs w:val="24"/>
                <w:lang w:val="en-GB"/>
              </w:rPr>
              <w:t>BREXIT Working Group</w:t>
            </w:r>
          </w:p>
        </w:tc>
        <w:tc>
          <w:tcPr>
            <w:tcW w:w="3387"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441425" w:rsidRPr="00C31CB3" w:rsidTr="00AA1132">
        <w:tc>
          <w:tcPr>
            <w:tcW w:w="2244" w:type="dxa"/>
          </w:tcPr>
          <w:p w:rsidR="00441425" w:rsidRPr="002E0280" w:rsidRDefault="00441425"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441425" w:rsidRPr="002E0280" w:rsidRDefault="0044142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441425" w:rsidRPr="002E0280" w:rsidRDefault="0044142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C31CB3" w:rsidTr="00AA1132">
        <w:tc>
          <w:tcPr>
            <w:tcW w:w="2244" w:type="dxa"/>
          </w:tcPr>
          <w:p w:rsidR="006C5BA8" w:rsidRPr="002E0280" w:rsidRDefault="00CB2BAB" w:rsidP="0005033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17 </w:t>
            </w:r>
            <w:r w:rsidR="006C5BA8" w:rsidRPr="002E0280">
              <w:rPr>
                <w:color w:val="000000"/>
                <w:sz w:val="24"/>
                <w:szCs w:val="24"/>
                <w:lang w:val="en-GB"/>
              </w:rPr>
              <w:t>October 2018</w:t>
            </w:r>
          </w:p>
        </w:tc>
        <w:tc>
          <w:tcPr>
            <w:tcW w:w="3212"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050339" w:rsidRPr="002E0280"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European Council</w:t>
            </w:r>
          </w:p>
          <w:p w:rsidR="006C5BA8" w:rsidRPr="002E0280" w:rsidRDefault="00CB2BAB" w:rsidP="00CB2BAB">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No finalization </w:t>
            </w:r>
            <w:r w:rsidR="006C5BA8" w:rsidRPr="002E0280">
              <w:rPr>
                <w:color w:val="000000"/>
                <w:sz w:val="24"/>
                <w:szCs w:val="24"/>
                <w:lang w:val="en-GB"/>
              </w:rPr>
              <w:t xml:space="preserve">of </w:t>
            </w:r>
            <w:r w:rsidRPr="002E0280">
              <w:rPr>
                <w:color w:val="000000"/>
                <w:sz w:val="24"/>
                <w:szCs w:val="24"/>
                <w:lang w:val="en-GB"/>
              </w:rPr>
              <w:t xml:space="preserve">the </w:t>
            </w:r>
            <w:r w:rsidR="006C5BA8" w:rsidRPr="002E0280">
              <w:rPr>
                <w:color w:val="000000"/>
                <w:sz w:val="24"/>
                <w:szCs w:val="24"/>
                <w:lang w:val="en-GB"/>
              </w:rPr>
              <w:t xml:space="preserve">EU </w:t>
            </w:r>
            <w:r w:rsidR="007A1119" w:rsidRPr="002E0280">
              <w:rPr>
                <w:color w:val="000000"/>
                <w:sz w:val="24"/>
                <w:szCs w:val="24"/>
                <w:lang w:val="en-GB"/>
              </w:rPr>
              <w:t xml:space="preserve">Article 50 </w:t>
            </w:r>
            <w:r w:rsidR="006C5BA8" w:rsidRPr="002E0280">
              <w:rPr>
                <w:color w:val="000000"/>
                <w:sz w:val="24"/>
                <w:szCs w:val="24"/>
                <w:lang w:val="en-GB"/>
              </w:rPr>
              <w:t xml:space="preserve">negotiations </w:t>
            </w:r>
          </w:p>
        </w:tc>
      </w:tr>
      <w:tr w:rsidR="00050339" w:rsidRPr="00C31CB3" w:rsidTr="00AA1132">
        <w:tc>
          <w:tcPr>
            <w:tcW w:w="2244"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265182" w:rsidRPr="002E0280" w:rsidTr="00AA1132">
        <w:tc>
          <w:tcPr>
            <w:tcW w:w="2244" w:type="dxa"/>
          </w:tcPr>
          <w:p w:rsidR="00265182"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November 2018</w:t>
            </w:r>
          </w:p>
        </w:tc>
        <w:tc>
          <w:tcPr>
            <w:tcW w:w="3212" w:type="dxa"/>
          </w:tcPr>
          <w:p w:rsidR="00265182"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Budgetary Committee</w:t>
            </w:r>
          </w:p>
        </w:tc>
        <w:tc>
          <w:tcPr>
            <w:tcW w:w="3387" w:type="dxa"/>
          </w:tcPr>
          <w:p w:rsidR="00265182"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611D27" w:rsidRPr="00C31CB3" w:rsidTr="00AA1132">
        <w:tc>
          <w:tcPr>
            <w:tcW w:w="2244" w:type="dxa"/>
          </w:tcPr>
          <w:p w:rsidR="00611D27" w:rsidRPr="002E0280"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25 November 2018</w:t>
            </w:r>
          </w:p>
        </w:tc>
        <w:tc>
          <w:tcPr>
            <w:tcW w:w="3212" w:type="dxa"/>
          </w:tcPr>
          <w:p w:rsidR="00611D27" w:rsidRPr="002E0280"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611D27" w:rsidRPr="002E0280"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Extraordinary European Council</w:t>
            </w:r>
            <w:r w:rsidR="00315DB1" w:rsidRPr="002E0280">
              <w:rPr>
                <w:color w:val="000000"/>
                <w:sz w:val="24"/>
                <w:szCs w:val="24"/>
                <w:lang w:val="en-GB"/>
              </w:rPr>
              <w:t xml:space="preserve"> – Approval of the Withdrawal Agreement</w:t>
            </w:r>
          </w:p>
        </w:tc>
      </w:tr>
      <w:tr w:rsidR="00611D27" w:rsidRPr="00C31CB3" w:rsidTr="00AA1132">
        <w:tc>
          <w:tcPr>
            <w:tcW w:w="2244" w:type="dxa"/>
          </w:tcPr>
          <w:p w:rsidR="00611D27" w:rsidRPr="002E0280" w:rsidRDefault="00611D27"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611D27" w:rsidRPr="002E0280" w:rsidRDefault="00611D27"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611D27" w:rsidRPr="002E0280" w:rsidRDefault="00611D27"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C31CB3" w:rsidTr="00AA1132">
        <w:tc>
          <w:tcPr>
            <w:tcW w:w="2244"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December 2018</w:t>
            </w:r>
          </w:p>
        </w:tc>
        <w:tc>
          <w:tcPr>
            <w:tcW w:w="3212" w:type="dxa"/>
          </w:tcPr>
          <w:p w:rsidR="006C5BA8" w:rsidRPr="00B10392"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3</w:t>
            </w:r>
            <w:r w:rsidRPr="002E0280">
              <w:rPr>
                <w:b/>
                <w:color w:val="000000"/>
                <w:sz w:val="24"/>
                <w:szCs w:val="24"/>
                <w:vertAlign w:val="superscript"/>
                <w:lang w:val="en-GB"/>
              </w:rPr>
              <w:t>rd</w:t>
            </w:r>
            <w:r w:rsidR="007A1119" w:rsidRPr="002E0280">
              <w:rPr>
                <w:b/>
                <w:color w:val="000000"/>
                <w:sz w:val="24"/>
                <w:szCs w:val="24"/>
                <w:lang w:val="en-GB"/>
              </w:rPr>
              <w:t xml:space="preserve"> R</w:t>
            </w:r>
            <w:r w:rsidRPr="002E0280">
              <w:rPr>
                <w:b/>
                <w:color w:val="000000"/>
                <w:sz w:val="24"/>
                <w:szCs w:val="24"/>
                <w:lang w:val="en-GB"/>
              </w:rPr>
              <w:t xml:space="preserve">eport to be presented to the </w:t>
            </w:r>
            <w:r w:rsidR="006C5BA8" w:rsidRPr="002E0280">
              <w:rPr>
                <w:b/>
                <w:color w:val="000000"/>
                <w:sz w:val="24"/>
                <w:szCs w:val="24"/>
                <w:lang w:val="en-GB"/>
              </w:rPr>
              <w:t xml:space="preserve">Board of Governors </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E338CD" w:rsidRPr="00C31CB3" w:rsidTr="00AA1132">
        <w:tc>
          <w:tcPr>
            <w:tcW w:w="2244" w:type="dxa"/>
          </w:tcPr>
          <w:p w:rsidR="00E338CD" w:rsidRPr="002E0280" w:rsidRDefault="00E338CD"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E338CD" w:rsidRPr="002E0280" w:rsidRDefault="00E338CD"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E338CD" w:rsidRPr="002E0280" w:rsidRDefault="00E338CD"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B63AB7" w:rsidRPr="00C31CB3" w:rsidTr="00AA1132">
        <w:tc>
          <w:tcPr>
            <w:tcW w:w="2244" w:type="dxa"/>
          </w:tcPr>
          <w:p w:rsidR="00B63AB7" w:rsidRPr="002E0280"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21 February 2019</w:t>
            </w:r>
          </w:p>
        </w:tc>
        <w:tc>
          <w:tcPr>
            <w:tcW w:w="3212" w:type="dxa"/>
          </w:tcPr>
          <w:p w:rsidR="00B63AB7" w:rsidRPr="002E0280"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6</w:t>
            </w:r>
            <w:r w:rsidRPr="002E0280">
              <w:rPr>
                <w:color w:val="000000"/>
                <w:sz w:val="24"/>
                <w:szCs w:val="24"/>
                <w:vertAlign w:val="superscript"/>
                <w:lang w:val="en-GB"/>
              </w:rPr>
              <w:t>th</w:t>
            </w:r>
            <w:r w:rsidRPr="002E0280">
              <w:rPr>
                <w:color w:val="000000"/>
                <w:sz w:val="24"/>
                <w:szCs w:val="24"/>
                <w:lang w:val="en-GB"/>
              </w:rPr>
              <w:t xml:space="preserve">  Meeting of the BREXIT Working Group</w:t>
            </w:r>
          </w:p>
        </w:tc>
        <w:tc>
          <w:tcPr>
            <w:tcW w:w="3387" w:type="dxa"/>
          </w:tcPr>
          <w:p w:rsidR="00B63AB7" w:rsidRPr="002E0280"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B63AB7" w:rsidRPr="002E0280" w:rsidTr="00AA1132">
        <w:tc>
          <w:tcPr>
            <w:tcW w:w="2244" w:type="dxa"/>
          </w:tcPr>
          <w:p w:rsidR="00B63AB7" w:rsidRPr="002E0280"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5 – 6 March 2019</w:t>
            </w:r>
          </w:p>
        </w:tc>
        <w:tc>
          <w:tcPr>
            <w:tcW w:w="3212" w:type="dxa"/>
          </w:tcPr>
          <w:p w:rsidR="00B63AB7" w:rsidRPr="002E0280"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Budgetary Committee</w:t>
            </w:r>
          </w:p>
        </w:tc>
        <w:tc>
          <w:tcPr>
            <w:tcW w:w="3387" w:type="dxa"/>
          </w:tcPr>
          <w:p w:rsidR="00B63AB7" w:rsidRPr="002E0280"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AB645F" w:rsidRPr="002E0280" w:rsidTr="00AA1132">
        <w:tc>
          <w:tcPr>
            <w:tcW w:w="2244" w:type="dxa"/>
          </w:tcPr>
          <w:p w:rsidR="00AB645F" w:rsidRPr="002E0280" w:rsidRDefault="00AB645F"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AB645F" w:rsidRPr="002E0280" w:rsidRDefault="00AB645F"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AB645F" w:rsidRPr="002E0280" w:rsidRDefault="00AB645F"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AB645F" w:rsidRPr="00C31CB3" w:rsidTr="00AA1132">
        <w:tc>
          <w:tcPr>
            <w:tcW w:w="2244" w:type="dxa"/>
          </w:tcPr>
          <w:p w:rsidR="00AB645F" w:rsidRPr="002E0280"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21</w:t>
            </w:r>
            <w:r w:rsidR="00CC6808" w:rsidRPr="002E0280">
              <w:rPr>
                <w:color w:val="000000"/>
                <w:sz w:val="24"/>
                <w:szCs w:val="24"/>
                <w:lang w:val="en-GB"/>
              </w:rPr>
              <w:t xml:space="preserve"> - </w:t>
            </w:r>
            <w:r w:rsidRPr="002E0280">
              <w:rPr>
                <w:color w:val="000000"/>
                <w:sz w:val="24"/>
                <w:szCs w:val="24"/>
                <w:lang w:val="en-GB"/>
              </w:rPr>
              <w:t>22 March 2019</w:t>
            </w:r>
          </w:p>
        </w:tc>
        <w:tc>
          <w:tcPr>
            <w:tcW w:w="3212" w:type="dxa"/>
          </w:tcPr>
          <w:p w:rsidR="00AB645F" w:rsidRPr="002E0280"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AB645F" w:rsidRPr="002E0280"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European Council</w:t>
            </w:r>
          </w:p>
          <w:p w:rsidR="00B71CA4" w:rsidRPr="002E0280" w:rsidRDefault="00B71CA4"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Decision to postpone the date of BREXIT to 12 April 2019</w:t>
            </w:r>
          </w:p>
        </w:tc>
      </w:tr>
      <w:tr w:rsidR="00B63AB7" w:rsidRPr="00C31CB3" w:rsidTr="00AA1132">
        <w:tc>
          <w:tcPr>
            <w:tcW w:w="2244" w:type="dxa"/>
          </w:tcPr>
          <w:p w:rsidR="00B63AB7" w:rsidRPr="002E0280" w:rsidRDefault="00B63AB7"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B63AB7" w:rsidRPr="002E0280" w:rsidRDefault="00B63AB7"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B63AB7" w:rsidRPr="002E0280" w:rsidRDefault="00B63AB7"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C31CB3" w:rsidTr="00AA1132">
        <w:tc>
          <w:tcPr>
            <w:tcW w:w="2244"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29 March 2019</w:t>
            </w:r>
          </w:p>
        </w:tc>
        <w:tc>
          <w:tcPr>
            <w:tcW w:w="3212" w:type="dxa"/>
          </w:tcPr>
          <w:p w:rsidR="006C5BA8" w:rsidRPr="002E0280" w:rsidRDefault="006C5BA8" w:rsidP="00C4795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6C5BA8" w:rsidRPr="002E0280"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 xml:space="preserve">Originally envisaged date of </w:t>
            </w:r>
            <w:r w:rsidR="006C5BA8" w:rsidRPr="002E0280">
              <w:rPr>
                <w:b/>
                <w:color w:val="000000"/>
                <w:sz w:val="24"/>
                <w:szCs w:val="24"/>
                <w:lang w:val="en-GB"/>
              </w:rPr>
              <w:t>BREXIT</w:t>
            </w:r>
          </w:p>
        </w:tc>
      </w:tr>
      <w:tr w:rsidR="00C20440" w:rsidRPr="00C31CB3" w:rsidTr="00AA1132">
        <w:tc>
          <w:tcPr>
            <w:tcW w:w="2244"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C31CB3" w:rsidTr="00AA1132">
        <w:tc>
          <w:tcPr>
            <w:tcW w:w="2244" w:type="dxa"/>
          </w:tcPr>
          <w:p w:rsidR="006C5BA8" w:rsidRPr="002E0280"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9 – 12 </w:t>
            </w:r>
            <w:r w:rsidR="006C5BA8" w:rsidRPr="002E0280">
              <w:rPr>
                <w:color w:val="000000"/>
                <w:sz w:val="24"/>
                <w:szCs w:val="24"/>
                <w:lang w:val="en-GB"/>
              </w:rPr>
              <w:t>April 2019</w:t>
            </w:r>
          </w:p>
        </w:tc>
        <w:tc>
          <w:tcPr>
            <w:tcW w:w="3212" w:type="dxa"/>
          </w:tcPr>
          <w:p w:rsidR="006C5BA8" w:rsidRPr="002E0280" w:rsidRDefault="007A1119" w:rsidP="007A1119">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4</w:t>
            </w:r>
            <w:r w:rsidRPr="002E0280">
              <w:rPr>
                <w:b/>
                <w:color w:val="000000"/>
                <w:sz w:val="24"/>
                <w:szCs w:val="24"/>
                <w:vertAlign w:val="superscript"/>
                <w:lang w:val="en-GB"/>
              </w:rPr>
              <w:t>th</w:t>
            </w:r>
            <w:r w:rsidRPr="002E0280">
              <w:rPr>
                <w:b/>
                <w:color w:val="000000"/>
                <w:sz w:val="24"/>
                <w:szCs w:val="24"/>
                <w:lang w:val="en-GB"/>
              </w:rPr>
              <w:t xml:space="preserve"> Report to be presented to the </w:t>
            </w:r>
            <w:r w:rsidR="006C5BA8" w:rsidRPr="002E0280">
              <w:rPr>
                <w:b/>
                <w:color w:val="000000"/>
                <w:sz w:val="24"/>
                <w:szCs w:val="24"/>
                <w:lang w:val="en-GB"/>
              </w:rPr>
              <w:t>Board of Governors</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B71CA4" w:rsidRPr="00C31CB3" w:rsidTr="00AA1132">
        <w:tc>
          <w:tcPr>
            <w:tcW w:w="2244" w:type="dxa"/>
          </w:tcPr>
          <w:p w:rsidR="00B71CA4" w:rsidRPr="002E0280" w:rsidRDefault="00B71CA4"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B71CA4" w:rsidRPr="002E0280" w:rsidRDefault="00B71CA4"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c>
          <w:tcPr>
            <w:tcW w:w="3387" w:type="dxa"/>
          </w:tcPr>
          <w:p w:rsidR="00B71CA4" w:rsidRPr="002E0280" w:rsidRDefault="00B71CA4"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B71CA4" w:rsidRPr="00C31CB3" w:rsidTr="00AA1132">
        <w:tc>
          <w:tcPr>
            <w:tcW w:w="2244" w:type="dxa"/>
          </w:tcPr>
          <w:p w:rsidR="00B71CA4" w:rsidRPr="002E0280" w:rsidRDefault="00B71CA4"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11 April 2019</w:t>
            </w:r>
          </w:p>
        </w:tc>
        <w:tc>
          <w:tcPr>
            <w:tcW w:w="3212" w:type="dxa"/>
          </w:tcPr>
          <w:p w:rsidR="00B71CA4" w:rsidRPr="002E0280" w:rsidRDefault="00B71CA4" w:rsidP="007A1119">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c>
          <w:tcPr>
            <w:tcW w:w="3387" w:type="dxa"/>
          </w:tcPr>
          <w:p w:rsidR="00B71CA4" w:rsidRPr="002E0280" w:rsidRDefault="00B71CA4"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European Council</w:t>
            </w:r>
          </w:p>
          <w:p w:rsidR="00B71CA4" w:rsidRPr="002E0280" w:rsidRDefault="00B71CA4"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Decision to postpone the date of BREXIT to 31 October 2019</w:t>
            </w:r>
          </w:p>
        </w:tc>
      </w:tr>
      <w:tr w:rsidR="006C5BA8" w:rsidRPr="00C31CB3" w:rsidTr="00AA1132">
        <w:tc>
          <w:tcPr>
            <w:tcW w:w="2244" w:type="dxa"/>
          </w:tcPr>
          <w:p w:rsidR="006C5BA8" w:rsidRPr="002E0280" w:rsidRDefault="006C5BA8"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6C5BA8" w:rsidRPr="002E0280" w:rsidRDefault="006C5BA8"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6C5BA8" w:rsidRPr="002E0280" w:rsidRDefault="006C5BA8"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7F390C" w:rsidRPr="00C31CB3" w:rsidTr="00AA1132">
        <w:tc>
          <w:tcPr>
            <w:tcW w:w="2244" w:type="dxa"/>
          </w:tcPr>
          <w:p w:rsidR="007F390C" w:rsidRPr="002E0280" w:rsidRDefault="00504CD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12 April 2019</w:t>
            </w:r>
          </w:p>
        </w:tc>
        <w:tc>
          <w:tcPr>
            <w:tcW w:w="3212" w:type="dxa"/>
          </w:tcPr>
          <w:p w:rsidR="007F390C" w:rsidRPr="002E0280"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7F390C" w:rsidRPr="002E0280" w:rsidRDefault="003F467E"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postponed</w:t>
            </w:r>
            <w:r w:rsidR="00504CD5" w:rsidRPr="002E0280">
              <w:rPr>
                <w:b/>
                <w:color w:val="000000"/>
                <w:sz w:val="24"/>
                <w:szCs w:val="24"/>
                <w:lang w:val="en-GB"/>
              </w:rPr>
              <w:t xml:space="preserve"> date of BREXIT in case of ‘no deal’</w:t>
            </w:r>
          </w:p>
        </w:tc>
      </w:tr>
      <w:tr w:rsidR="007F390C" w:rsidRPr="00C31CB3" w:rsidTr="00AA1132">
        <w:tc>
          <w:tcPr>
            <w:tcW w:w="2244" w:type="dxa"/>
          </w:tcPr>
          <w:p w:rsidR="007F390C" w:rsidRPr="002E0280"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22 May 2019</w:t>
            </w:r>
          </w:p>
        </w:tc>
        <w:tc>
          <w:tcPr>
            <w:tcW w:w="3212" w:type="dxa"/>
          </w:tcPr>
          <w:p w:rsidR="007F390C" w:rsidRPr="002E0280"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7F390C" w:rsidRPr="002E0280" w:rsidRDefault="003F467E"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 xml:space="preserve">Postponed </w:t>
            </w:r>
            <w:r w:rsidR="007F390C" w:rsidRPr="002E0280">
              <w:rPr>
                <w:b/>
                <w:color w:val="000000"/>
                <w:sz w:val="24"/>
                <w:szCs w:val="24"/>
                <w:lang w:val="en-GB"/>
              </w:rPr>
              <w:t>date of BREXIT in case of a Withdrawal Agreement</w:t>
            </w:r>
          </w:p>
        </w:tc>
      </w:tr>
      <w:tr w:rsidR="002B18D5" w:rsidRPr="00C31CB3" w:rsidTr="00AA1132">
        <w:tc>
          <w:tcPr>
            <w:tcW w:w="2244" w:type="dxa"/>
          </w:tcPr>
          <w:p w:rsidR="002B18D5" w:rsidRPr="002E0280" w:rsidRDefault="002B18D5"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2B18D5" w:rsidRPr="002E0280" w:rsidRDefault="002B18D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2B18D5" w:rsidRPr="002E0280" w:rsidRDefault="002B18D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2B18D5" w:rsidRPr="00C31CB3" w:rsidTr="00AA1132">
        <w:tc>
          <w:tcPr>
            <w:tcW w:w="2244" w:type="dxa"/>
          </w:tcPr>
          <w:p w:rsidR="002B18D5" w:rsidRPr="002E0280" w:rsidRDefault="002B18D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6 July 2019</w:t>
            </w:r>
          </w:p>
        </w:tc>
        <w:tc>
          <w:tcPr>
            <w:tcW w:w="3212" w:type="dxa"/>
          </w:tcPr>
          <w:p w:rsidR="002B18D5" w:rsidRPr="002E0280" w:rsidRDefault="002B18D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Renewal of the Accreditation and Coo</w:t>
            </w:r>
            <w:r w:rsidR="00EC379B" w:rsidRPr="002E0280">
              <w:rPr>
                <w:color w:val="000000"/>
                <w:sz w:val="24"/>
                <w:szCs w:val="24"/>
                <w:lang w:val="en-GB"/>
              </w:rPr>
              <w:t>peration Agreement with Europa S</w:t>
            </w:r>
            <w:r w:rsidRPr="002E0280">
              <w:rPr>
                <w:color w:val="000000"/>
                <w:sz w:val="24"/>
                <w:szCs w:val="24"/>
                <w:lang w:val="en-GB"/>
              </w:rPr>
              <w:t xml:space="preserve">chool UK, Culham </w:t>
            </w:r>
          </w:p>
        </w:tc>
        <w:tc>
          <w:tcPr>
            <w:tcW w:w="3387" w:type="dxa"/>
          </w:tcPr>
          <w:p w:rsidR="002B18D5" w:rsidRPr="002E0280" w:rsidRDefault="002B18D5"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2B18D5" w:rsidRPr="00C31CB3" w:rsidTr="00AA1132">
        <w:tc>
          <w:tcPr>
            <w:tcW w:w="2244" w:type="dxa"/>
          </w:tcPr>
          <w:p w:rsidR="002B18D5" w:rsidRPr="002E0280" w:rsidRDefault="002B18D5"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2B18D5" w:rsidRPr="002E0280" w:rsidRDefault="002B18D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2B18D5" w:rsidRPr="002E0280" w:rsidRDefault="002B18D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C40E15" w:rsidRPr="002E0280" w:rsidTr="00AA1132">
        <w:tc>
          <w:tcPr>
            <w:tcW w:w="2244" w:type="dxa"/>
          </w:tcPr>
          <w:p w:rsidR="00C40E15" w:rsidRPr="002E0280" w:rsidRDefault="00C40E1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 September 2019</w:t>
            </w:r>
          </w:p>
        </w:tc>
        <w:tc>
          <w:tcPr>
            <w:tcW w:w="3212" w:type="dxa"/>
          </w:tcPr>
          <w:p w:rsidR="00C40E15" w:rsidRPr="002E0280" w:rsidRDefault="00C40E1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Information Directors</w:t>
            </w:r>
          </w:p>
        </w:tc>
        <w:tc>
          <w:tcPr>
            <w:tcW w:w="3387" w:type="dxa"/>
          </w:tcPr>
          <w:p w:rsidR="00C40E15" w:rsidRPr="002E0280" w:rsidRDefault="00C40E15"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C40E15" w:rsidRPr="00C31CB3" w:rsidTr="00AA1132">
        <w:tc>
          <w:tcPr>
            <w:tcW w:w="2244" w:type="dxa"/>
          </w:tcPr>
          <w:p w:rsidR="00C40E15" w:rsidRPr="002E0280" w:rsidRDefault="00C40E1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7 October 2019</w:t>
            </w:r>
          </w:p>
        </w:tc>
        <w:tc>
          <w:tcPr>
            <w:tcW w:w="3212" w:type="dxa"/>
          </w:tcPr>
          <w:p w:rsidR="00C40E15" w:rsidRPr="002E0280" w:rsidRDefault="00C40E1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Information letter to UK staff</w:t>
            </w:r>
          </w:p>
        </w:tc>
        <w:tc>
          <w:tcPr>
            <w:tcW w:w="3387" w:type="dxa"/>
          </w:tcPr>
          <w:p w:rsidR="00C40E15" w:rsidRPr="002E0280" w:rsidRDefault="00C40E15"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C40E15" w:rsidRPr="00C31CB3" w:rsidTr="00AA1132">
        <w:tc>
          <w:tcPr>
            <w:tcW w:w="2244" w:type="dxa"/>
          </w:tcPr>
          <w:p w:rsidR="00C40E15" w:rsidRPr="002E0280" w:rsidRDefault="00C40E15"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C40E15" w:rsidRPr="002E0280" w:rsidRDefault="00C40E1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C40E15" w:rsidRPr="002E0280" w:rsidRDefault="00C40E1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B71CA4" w:rsidRPr="00C31CB3" w:rsidTr="00AA1132">
        <w:tc>
          <w:tcPr>
            <w:tcW w:w="2244" w:type="dxa"/>
          </w:tcPr>
          <w:p w:rsidR="00B71CA4" w:rsidRPr="002E0280" w:rsidRDefault="00B71CA4"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lastRenderedPageBreak/>
              <w:t>28 October 2019</w:t>
            </w:r>
          </w:p>
        </w:tc>
        <w:tc>
          <w:tcPr>
            <w:tcW w:w="3212" w:type="dxa"/>
          </w:tcPr>
          <w:p w:rsidR="00B71CA4" w:rsidRPr="002E0280" w:rsidRDefault="00B71CA4"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B71CA4" w:rsidRPr="002E0280" w:rsidRDefault="00B71CA4" w:rsidP="003F467E">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European Council</w:t>
            </w:r>
          </w:p>
          <w:p w:rsidR="00B71CA4" w:rsidRPr="002E0280" w:rsidRDefault="00B71CA4"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color w:val="000000"/>
                <w:sz w:val="24"/>
                <w:szCs w:val="24"/>
                <w:lang w:val="en-GB"/>
              </w:rPr>
              <w:t>Decision to postpone the date of BREXIT to 31 January 2020</w:t>
            </w:r>
          </w:p>
        </w:tc>
      </w:tr>
      <w:tr w:rsidR="007F390C" w:rsidRPr="002E0280" w:rsidTr="00AA1132">
        <w:tc>
          <w:tcPr>
            <w:tcW w:w="2244" w:type="dxa"/>
          </w:tcPr>
          <w:p w:rsidR="007F390C"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31 October 2019</w:t>
            </w:r>
          </w:p>
        </w:tc>
        <w:tc>
          <w:tcPr>
            <w:tcW w:w="3212" w:type="dxa"/>
          </w:tcPr>
          <w:p w:rsidR="007F390C" w:rsidRPr="002E0280"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7F390C" w:rsidRPr="002E0280" w:rsidRDefault="003F467E"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Postponed date of BREXIT</w:t>
            </w:r>
          </w:p>
        </w:tc>
      </w:tr>
      <w:tr w:rsidR="003F467E" w:rsidRPr="002E0280" w:rsidTr="00AA1132">
        <w:tc>
          <w:tcPr>
            <w:tcW w:w="2244"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3F467E" w:rsidRPr="00C31CB3" w:rsidTr="00AA1132">
        <w:tc>
          <w:tcPr>
            <w:tcW w:w="2244"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18 November 2019</w:t>
            </w:r>
          </w:p>
        </w:tc>
        <w:tc>
          <w:tcPr>
            <w:tcW w:w="3212"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7</w:t>
            </w:r>
            <w:r w:rsidRPr="002E0280">
              <w:rPr>
                <w:color w:val="000000"/>
                <w:sz w:val="24"/>
                <w:szCs w:val="24"/>
                <w:vertAlign w:val="superscript"/>
                <w:lang w:val="en-GB"/>
              </w:rPr>
              <w:t>th</w:t>
            </w:r>
            <w:r w:rsidRPr="002E0280">
              <w:rPr>
                <w:color w:val="000000"/>
                <w:sz w:val="24"/>
                <w:szCs w:val="24"/>
                <w:lang w:val="en-GB"/>
              </w:rPr>
              <w:t xml:space="preserve"> Meeting of the BREXIT Working Group</w:t>
            </w:r>
          </w:p>
        </w:tc>
        <w:tc>
          <w:tcPr>
            <w:tcW w:w="3387"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3F467E" w:rsidRPr="00C31CB3" w:rsidTr="002E0280">
        <w:trPr>
          <w:trHeight w:val="437"/>
        </w:trPr>
        <w:tc>
          <w:tcPr>
            <w:tcW w:w="2244"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3F467E" w:rsidRPr="00C31CB3" w:rsidTr="00AA1132">
        <w:tc>
          <w:tcPr>
            <w:tcW w:w="2244"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3 – 5 December 2019</w:t>
            </w:r>
          </w:p>
        </w:tc>
        <w:tc>
          <w:tcPr>
            <w:tcW w:w="3212"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5</w:t>
            </w:r>
            <w:r w:rsidRPr="002E0280">
              <w:rPr>
                <w:b/>
                <w:color w:val="000000"/>
                <w:sz w:val="24"/>
                <w:szCs w:val="24"/>
                <w:vertAlign w:val="superscript"/>
                <w:lang w:val="en-GB"/>
              </w:rPr>
              <w:t>th</w:t>
            </w:r>
            <w:r w:rsidRPr="002E0280">
              <w:rPr>
                <w:b/>
                <w:color w:val="000000"/>
                <w:sz w:val="24"/>
                <w:szCs w:val="24"/>
                <w:lang w:val="en-GB"/>
              </w:rPr>
              <w:t xml:space="preserve"> Report to be presented to the Board of Governors</w:t>
            </w:r>
          </w:p>
        </w:tc>
        <w:tc>
          <w:tcPr>
            <w:tcW w:w="3387"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3F467E" w:rsidRPr="00C31CB3" w:rsidTr="002E0280">
        <w:trPr>
          <w:trHeight w:val="383"/>
        </w:trPr>
        <w:tc>
          <w:tcPr>
            <w:tcW w:w="2244"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B357BE" w:rsidRPr="00855CC1" w:rsidTr="00AA1132">
        <w:tc>
          <w:tcPr>
            <w:tcW w:w="2244"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31 January 2020</w:t>
            </w:r>
          </w:p>
        </w:tc>
        <w:tc>
          <w:tcPr>
            <w:tcW w:w="3212"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B357BE" w:rsidRPr="002E0280" w:rsidRDefault="00C359B5" w:rsidP="00B357B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Pr>
                <w:b/>
                <w:color w:val="000000"/>
                <w:sz w:val="24"/>
                <w:szCs w:val="24"/>
                <w:lang w:val="en-GB"/>
              </w:rPr>
              <w:t>D</w:t>
            </w:r>
            <w:r w:rsidR="00B357BE" w:rsidRPr="002E0280">
              <w:rPr>
                <w:b/>
                <w:color w:val="000000"/>
                <w:sz w:val="24"/>
                <w:szCs w:val="24"/>
                <w:lang w:val="en-GB"/>
              </w:rPr>
              <w:t>ate of BREXIT</w:t>
            </w:r>
          </w:p>
        </w:tc>
      </w:tr>
      <w:tr w:rsidR="00B357BE" w:rsidRPr="00855CC1" w:rsidTr="00AA1132">
        <w:tc>
          <w:tcPr>
            <w:tcW w:w="2244"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B357BE" w:rsidRPr="00C31CB3" w:rsidTr="00AA1132">
        <w:tc>
          <w:tcPr>
            <w:tcW w:w="2244"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6 February 2020</w:t>
            </w:r>
          </w:p>
        </w:tc>
        <w:tc>
          <w:tcPr>
            <w:tcW w:w="3212"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8</w:t>
            </w:r>
            <w:r w:rsidRPr="002E0280">
              <w:rPr>
                <w:color w:val="000000"/>
                <w:sz w:val="24"/>
                <w:szCs w:val="24"/>
                <w:vertAlign w:val="superscript"/>
                <w:lang w:val="en-GB"/>
              </w:rPr>
              <w:t>th</w:t>
            </w:r>
            <w:r w:rsidRPr="002E0280">
              <w:rPr>
                <w:color w:val="000000"/>
                <w:sz w:val="24"/>
                <w:szCs w:val="24"/>
                <w:lang w:val="en-GB"/>
              </w:rPr>
              <w:t xml:space="preserve"> Meeting of the BREXIT Working Group</w:t>
            </w:r>
          </w:p>
        </w:tc>
        <w:tc>
          <w:tcPr>
            <w:tcW w:w="3387"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C359B5" w:rsidRPr="00855CC1" w:rsidTr="00AA1132">
        <w:tc>
          <w:tcPr>
            <w:tcW w:w="2244" w:type="dxa"/>
          </w:tcPr>
          <w:p w:rsidR="00C359B5" w:rsidRPr="002E0280" w:rsidRDefault="00C359B5" w:rsidP="00B357BE">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10 – 11 March 2020</w:t>
            </w:r>
          </w:p>
        </w:tc>
        <w:tc>
          <w:tcPr>
            <w:tcW w:w="3212" w:type="dxa"/>
          </w:tcPr>
          <w:p w:rsidR="00C359B5" w:rsidRPr="002E0280" w:rsidRDefault="00C359B5" w:rsidP="00B357BE">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Pr>
                <w:color w:val="000000"/>
                <w:sz w:val="24"/>
                <w:szCs w:val="24"/>
                <w:lang w:val="en-GB"/>
              </w:rPr>
              <w:t>Budgetary Committee</w:t>
            </w:r>
          </w:p>
        </w:tc>
        <w:tc>
          <w:tcPr>
            <w:tcW w:w="3387" w:type="dxa"/>
          </w:tcPr>
          <w:p w:rsidR="00C359B5" w:rsidRPr="002E0280" w:rsidRDefault="00C359B5" w:rsidP="00B357B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B357BE" w:rsidRPr="00855CC1" w:rsidTr="00AA1132">
        <w:tc>
          <w:tcPr>
            <w:tcW w:w="2244"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tc>
        <w:tc>
          <w:tcPr>
            <w:tcW w:w="3212"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B357BE" w:rsidRPr="00C31CB3" w:rsidTr="00AA1132">
        <w:tc>
          <w:tcPr>
            <w:tcW w:w="2244"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Pr>
                <w:color w:val="000000"/>
                <w:sz w:val="24"/>
                <w:szCs w:val="24"/>
                <w:lang w:val="en-GB"/>
              </w:rPr>
              <w:t>April 2020</w:t>
            </w:r>
          </w:p>
        </w:tc>
        <w:tc>
          <w:tcPr>
            <w:tcW w:w="3212" w:type="dxa"/>
          </w:tcPr>
          <w:p w:rsidR="00B357BE" w:rsidRPr="00C359B5"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C359B5">
              <w:rPr>
                <w:b/>
                <w:color w:val="000000"/>
                <w:sz w:val="24"/>
                <w:szCs w:val="24"/>
                <w:lang w:val="en-GB"/>
              </w:rPr>
              <w:t>6</w:t>
            </w:r>
            <w:r w:rsidRPr="00C359B5">
              <w:rPr>
                <w:b/>
                <w:color w:val="000000"/>
                <w:sz w:val="24"/>
                <w:szCs w:val="24"/>
                <w:vertAlign w:val="superscript"/>
                <w:lang w:val="en-GB"/>
              </w:rPr>
              <w:t>th</w:t>
            </w:r>
            <w:r w:rsidRPr="00C359B5">
              <w:rPr>
                <w:b/>
                <w:color w:val="000000"/>
                <w:sz w:val="24"/>
                <w:szCs w:val="24"/>
                <w:lang w:val="en-GB"/>
              </w:rPr>
              <w:t xml:space="preserve"> Report to be presented to the Board of Governors </w:t>
            </w:r>
          </w:p>
        </w:tc>
        <w:tc>
          <w:tcPr>
            <w:tcW w:w="3387"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B357BE" w:rsidRPr="00C31CB3" w:rsidTr="002E0280">
        <w:trPr>
          <w:trHeight w:val="338"/>
        </w:trPr>
        <w:tc>
          <w:tcPr>
            <w:tcW w:w="2244"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B357BE" w:rsidRPr="00C31CB3" w:rsidTr="00AA1132">
        <w:tc>
          <w:tcPr>
            <w:tcW w:w="2244"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31 August 2021</w:t>
            </w:r>
            <w:r w:rsidRPr="002E0280">
              <w:rPr>
                <w:rStyle w:val="FootnoteReference"/>
                <w:color w:val="000000"/>
                <w:sz w:val="24"/>
                <w:szCs w:val="24"/>
                <w:lang w:val="en-GB"/>
              </w:rPr>
              <w:footnoteReference w:id="11"/>
            </w:r>
          </w:p>
        </w:tc>
        <w:tc>
          <w:tcPr>
            <w:tcW w:w="3212"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End of transitory period according to Article 125 of the Withdrawal Agreement</w:t>
            </w:r>
          </w:p>
        </w:tc>
        <w:tc>
          <w:tcPr>
            <w:tcW w:w="3387" w:type="dxa"/>
          </w:tcPr>
          <w:p w:rsidR="00B357BE" w:rsidRPr="002E0280" w:rsidRDefault="00B357BE" w:rsidP="00B357BE">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bl>
    <w:p w:rsidR="008A0B1D" w:rsidRPr="00B10392"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16"/>
          <w:szCs w:val="16"/>
          <w:lang w:val="en-GB"/>
        </w:rPr>
      </w:pPr>
    </w:p>
    <w:p w:rsidR="008A0B1D" w:rsidRPr="002E0280" w:rsidRDefault="008A0B1D">
      <w:pPr>
        <w:spacing w:before="0" w:after="0"/>
        <w:jc w:val="left"/>
        <w:rPr>
          <w:b/>
          <w:color w:val="000000"/>
          <w:sz w:val="24"/>
          <w:szCs w:val="24"/>
          <w:lang w:val="en-GB"/>
        </w:rPr>
      </w:pPr>
      <w:r w:rsidRPr="002E0280">
        <w:rPr>
          <w:b/>
          <w:color w:val="000000"/>
          <w:sz w:val="24"/>
          <w:szCs w:val="24"/>
          <w:lang w:val="en-GB"/>
        </w:rPr>
        <w:br w:type="page"/>
      </w:r>
    </w:p>
    <w:p w:rsidR="008A0B1D" w:rsidRPr="002E0280" w:rsidRDefault="008A0B1D">
      <w:pPr>
        <w:spacing w:before="0" w:after="0"/>
        <w:jc w:val="left"/>
        <w:rPr>
          <w:b/>
          <w:color w:val="000000"/>
          <w:sz w:val="24"/>
          <w:szCs w:val="24"/>
          <w:lang w:val="en-GB"/>
        </w:rPr>
      </w:pPr>
    </w:p>
    <w:p w:rsidR="00023966" w:rsidRPr="002E0280" w:rsidRDefault="000110EF" w:rsidP="008A0B1D">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r w:rsidRPr="002E0280">
        <w:rPr>
          <w:b/>
          <w:color w:val="000000"/>
          <w:sz w:val="24"/>
          <w:szCs w:val="24"/>
          <w:lang w:val="en-GB"/>
        </w:rPr>
        <w:t xml:space="preserve">Annex </w:t>
      </w:r>
      <w:r w:rsidR="009802A4">
        <w:rPr>
          <w:b/>
          <w:color w:val="000000"/>
          <w:sz w:val="24"/>
          <w:szCs w:val="24"/>
          <w:lang w:val="en-GB"/>
        </w:rPr>
        <w:t>II</w:t>
      </w:r>
      <w:r w:rsidR="0070584B">
        <w:rPr>
          <w:b/>
          <w:color w:val="000000"/>
          <w:sz w:val="24"/>
          <w:szCs w:val="24"/>
          <w:lang w:val="en-GB"/>
        </w:rPr>
        <w:t>I</w:t>
      </w:r>
    </w:p>
    <w:p w:rsidR="008A0B1D" w:rsidRPr="002E0280"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p>
    <w:p w:rsidR="008A0B1D" w:rsidRPr="002E0280"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r w:rsidRPr="002E0280">
        <w:rPr>
          <w:b/>
          <w:color w:val="000000"/>
          <w:sz w:val="24"/>
          <w:szCs w:val="24"/>
          <w:lang w:val="en-GB"/>
        </w:rPr>
        <w:t>School population</w:t>
      </w:r>
      <w:r w:rsidR="004F1438" w:rsidRPr="002E0280">
        <w:rPr>
          <w:rStyle w:val="FootnoteReference"/>
          <w:b/>
          <w:color w:val="000000"/>
          <w:sz w:val="24"/>
          <w:szCs w:val="24"/>
          <w:lang w:val="en-GB"/>
        </w:rPr>
        <w:footnoteReference w:id="12"/>
      </w:r>
    </w:p>
    <w:p w:rsidR="008A0B1D" w:rsidRPr="002E0280"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p>
    <w:tbl>
      <w:tblPr>
        <w:tblW w:w="7090" w:type="dxa"/>
        <w:tblLook w:val="04A0" w:firstRow="1" w:lastRow="0" w:firstColumn="1" w:lastColumn="0" w:noHBand="0" w:noVBand="1"/>
      </w:tblPr>
      <w:tblGrid>
        <w:gridCol w:w="3108"/>
        <w:gridCol w:w="643"/>
        <w:gridCol w:w="837"/>
        <w:gridCol w:w="837"/>
        <w:gridCol w:w="1398"/>
        <w:gridCol w:w="267"/>
      </w:tblGrid>
      <w:tr w:rsidR="00DC29FE" w:rsidRPr="00C31CB3" w:rsidTr="00F52754">
        <w:trPr>
          <w:trHeight w:val="630"/>
        </w:trPr>
        <w:tc>
          <w:tcPr>
            <w:tcW w:w="7090" w:type="dxa"/>
            <w:gridSpan w:val="6"/>
            <w:tcBorders>
              <w:top w:val="nil"/>
              <w:left w:val="nil"/>
              <w:bottom w:val="nil"/>
              <w:right w:val="nil"/>
            </w:tcBorders>
            <w:shd w:val="clear" w:color="FFFFFF" w:fill="FFFFFF"/>
            <w:vAlign w:val="center"/>
            <w:hideMark/>
          </w:tcPr>
          <w:p w:rsidR="00DC29FE" w:rsidRPr="002E0280" w:rsidRDefault="00FC4523" w:rsidP="00DC29FE">
            <w:pPr>
              <w:spacing w:before="0" w:after="0"/>
              <w:jc w:val="left"/>
              <w:rPr>
                <w:rFonts w:cs="Arial"/>
                <w:color w:val="333333"/>
                <w:sz w:val="20"/>
                <w:u w:val="single"/>
                <w:lang w:val="en-GB" w:eastAsia="en-US"/>
              </w:rPr>
            </w:pPr>
            <w:r w:rsidRPr="002E0280">
              <w:rPr>
                <w:rFonts w:cs="Arial"/>
                <w:sz w:val="20"/>
                <w:u w:val="single"/>
                <w:lang w:val="en-GB" w:eastAsia="en-US"/>
              </w:rPr>
              <w:t>Pupils in English section without any British nationality</w:t>
            </w:r>
          </w:p>
        </w:tc>
      </w:tr>
      <w:tr w:rsidR="00DC29FE" w:rsidRPr="00C31CB3" w:rsidTr="00F52754">
        <w:trPr>
          <w:trHeight w:val="364"/>
        </w:trPr>
        <w:tc>
          <w:tcPr>
            <w:tcW w:w="3108"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643"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83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83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398"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26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480"/>
        </w:trPr>
        <w:tc>
          <w:tcPr>
            <w:tcW w:w="3108"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643" w:type="dxa"/>
            <w:tcBorders>
              <w:top w:val="single" w:sz="4" w:space="0" w:color="3877A6"/>
              <w:left w:val="single" w:sz="4" w:space="0" w:color="3877A6"/>
              <w:bottom w:val="nil"/>
              <w:right w:val="single" w:sz="4" w:space="0" w:color="3877A6"/>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M</w:t>
            </w:r>
          </w:p>
        </w:tc>
        <w:tc>
          <w:tcPr>
            <w:tcW w:w="837" w:type="dxa"/>
            <w:tcBorders>
              <w:top w:val="single" w:sz="4" w:space="0" w:color="3877A6"/>
              <w:left w:val="nil"/>
              <w:bottom w:val="nil"/>
              <w:right w:val="single" w:sz="4" w:space="0" w:color="3877A6"/>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P</w:t>
            </w:r>
          </w:p>
        </w:tc>
        <w:tc>
          <w:tcPr>
            <w:tcW w:w="837" w:type="dxa"/>
            <w:tcBorders>
              <w:top w:val="single" w:sz="4" w:space="0" w:color="3877A6"/>
              <w:left w:val="nil"/>
              <w:bottom w:val="nil"/>
              <w:right w:val="single" w:sz="4" w:space="0" w:color="3877A6"/>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S</w:t>
            </w:r>
          </w:p>
        </w:tc>
        <w:tc>
          <w:tcPr>
            <w:tcW w:w="1398" w:type="dxa"/>
            <w:tcBorders>
              <w:top w:val="single" w:sz="4" w:space="0" w:color="CAC9D9"/>
              <w:left w:val="nil"/>
              <w:bottom w:val="nil"/>
              <w:right w:val="single" w:sz="4" w:space="0" w:color="3877A6"/>
            </w:tcBorders>
            <w:shd w:val="clear" w:color="FFFFFF" w:fill="FFFFFF"/>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Total</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single" w:sz="4" w:space="0" w:color="3877A6"/>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Alicante</w:t>
            </w:r>
          </w:p>
        </w:tc>
        <w:tc>
          <w:tcPr>
            <w:tcW w:w="643" w:type="dxa"/>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spacing w:before="0" w:after="0"/>
              <w:jc w:val="right"/>
              <w:rPr>
                <w:rFonts w:cs="Arial"/>
                <w:sz w:val="18"/>
                <w:szCs w:val="18"/>
                <w:lang w:val="en-GB"/>
              </w:rPr>
            </w:pPr>
            <w:r w:rsidRPr="002E0280">
              <w:rPr>
                <w:rFonts w:cs="Arial"/>
                <w:sz w:val="18"/>
                <w:szCs w:val="18"/>
                <w:lang w:val="en-GB"/>
              </w:rPr>
              <w:t>15</w:t>
            </w:r>
          </w:p>
        </w:tc>
        <w:tc>
          <w:tcPr>
            <w:tcW w:w="837" w:type="dxa"/>
            <w:tcBorders>
              <w:top w:val="single" w:sz="4" w:space="0" w:color="auto"/>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96</w:t>
            </w:r>
          </w:p>
        </w:tc>
        <w:tc>
          <w:tcPr>
            <w:tcW w:w="837" w:type="dxa"/>
            <w:tcBorders>
              <w:top w:val="single" w:sz="4" w:space="0" w:color="auto"/>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128</w:t>
            </w:r>
          </w:p>
        </w:tc>
        <w:tc>
          <w:tcPr>
            <w:tcW w:w="1398" w:type="dxa"/>
            <w:tcBorders>
              <w:top w:val="single" w:sz="4" w:space="0" w:color="auto"/>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239</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Bergen</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18</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98</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127</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243</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15</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103</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191</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309</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 (Berkendael)</w:t>
            </w:r>
          </w:p>
        </w:tc>
        <w:tc>
          <w:tcPr>
            <w:tcW w:w="643" w:type="dxa"/>
            <w:tcBorders>
              <w:top w:val="nil"/>
              <w:left w:val="single" w:sz="4" w:space="0" w:color="auto"/>
              <w:bottom w:val="single" w:sz="4" w:space="0" w:color="auto"/>
              <w:right w:val="single" w:sz="4" w:space="0" w:color="auto"/>
            </w:tcBorders>
            <w:shd w:val="clear" w:color="FFFFFF" w:fill="FCFDFD"/>
            <w:noWrap/>
            <w:vAlign w:val="bottom"/>
          </w:tcPr>
          <w:p w:rsidR="00FC4523" w:rsidRPr="002E0280" w:rsidRDefault="00FC4523" w:rsidP="00FC4523">
            <w:pPr>
              <w:jc w:val="right"/>
              <w:rPr>
                <w:rFonts w:cs="Arial"/>
                <w:sz w:val="18"/>
                <w:szCs w:val="18"/>
                <w:lang w:val="en-GB"/>
              </w:rPr>
            </w:pPr>
            <w:r w:rsidRPr="002E0280">
              <w:rPr>
                <w:rFonts w:cs="Arial"/>
                <w:sz w:val="18"/>
                <w:szCs w:val="18"/>
                <w:lang w:val="en-GB"/>
              </w:rPr>
              <w:t>15</w:t>
            </w:r>
          </w:p>
        </w:tc>
        <w:tc>
          <w:tcPr>
            <w:tcW w:w="837" w:type="dxa"/>
            <w:tcBorders>
              <w:top w:val="nil"/>
              <w:left w:val="nil"/>
              <w:bottom w:val="single" w:sz="4" w:space="0" w:color="auto"/>
              <w:right w:val="single" w:sz="4" w:space="0" w:color="auto"/>
            </w:tcBorders>
            <w:shd w:val="clear" w:color="FFFFFF" w:fill="FCFDFD"/>
            <w:noWrap/>
            <w:vAlign w:val="bottom"/>
          </w:tcPr>
          <w:p w:rsidR="00FC4523" w:rsidRPr="002E0280" w:rsidRDefault="00FC4523" w:rsidP="00FC4523">
            <w:pPr>
              <w:jc w:val="right"/>
              <w:rPr>
                <w:rFonts w:cs="Arial"/>
                <w:sz w:val="18"/>
                <w:szCs w:val="18"/>
                <w:lang w:val="en-GB"/>
              </w:rPr>
            </w:pPr>
            <w:r w:rsidRPr="002E0280">
              <w:rPr>
                <w:rFonts w:cs="Arial"/>
                <w:sz w:val="18"/>
                <w:szCs w:val="18"/>
                <w:lang w:val="en-GB"/>
              </w:rPr>
              <w:t>7</w:t>
            </w:r>
          </w:p>
        </w:tc>
        <w:tc>
          <w:tcPr>
            <w:tcW w:w="837" w:type="dxa"/>
            <w:tcBorders>
              <w:top w:val="nil"/>
              <w:left w:val="nil"/>
              <w:bottom w:val="single" w:sz="4" w:space="0" w:color="auto"/>
              <w:right w:val="single" w:sz="4" w:space="0" w:color="auto"/>
            </w:tcBorders>
            <w:shd w:val="clear" w:color="FFFFFF" w:fill="FCFDFD"/>
            <w:noWrap/>
            <w:vAlign w:val="bottom"/>
          </w:tcPr>
          <w:p w:rsidR="00FC4523" w:rsidRPr="002E0280" w:rsidRDefault="00FC4523" w:rsidP="00FC4523">
            <w:pPr>
              <w:jc w:val="right"/>
              <w:rPr>
                <w:rFonts w:cs="Arial"/>
                <w:sz w:val="18"/>
                <w:szCs w:val="18"/>
                <w:lang w:val="en-GB"/>
              </w:rPr>
            </w:pPr>
            <w:r w:rsidRPr="002E0280">
              <w:rPr>
                <w:rFonts w:cs="Arial"/>
                <w:sz w:val="18"/>
                <w:szCs w:val="18"/>
                <w:lang w:val="en-GB"/>
              </w:rPr>
              <w:t> </w:t>
            </w:r>
          </w:p>
        </w:tc>
        <w:tc>
          <w:tcPr>
            <w:tcW w:w="1398" w:type="dxa"/>
            <w:tcBorders>
              <w:top w:val="nil"/>
              <w:left w:val="nil"/>
              <w:bottom w:val="single" w:sz="4" w:space="0" w:color="auto"/>
              <w:right w:val="single" w:sz="4" w:space="0" w:color="auto"/>
            </w:tcBorders>
            <w:shd w:val="clear" w:color="FFFFFF" w:fill="FFFFFF"/>
            <w:noWrap/>
            <w:vAlign w:val="bottom"/>
          </w:tcPr>
          <w:p w:rsidR="00FC4523" w:rsidRPr="002E0280" w:rsidRDefault="00FC4523" w:rsidP="00FC4523">
            <w:pPr>
              <w:jc w:val="right"/>
              <w:rPr>
                <w:rFonts w:cs="Arial"/>
                <w:b/>
                <w:bCs/>
                <w:sz w:val="18"/>
                <w:szCs w:val="18"/>
                <w:lang w:val="en-GB"/>
              </w:rPr>
            </w:pPr>
            <w:r w:rsidRPr="002E0280">
              <w:rPr>
                <w:rFonts w:cs="Arial"/>
                <w:b/>
                <w:bCs/>
                <w:sz w:val="18"/>
                <w:szCs w:val="18"/>
                <w:lang w:val="en-GB"/>
              </w:rPr>
              <w:t>22</w:t>
            </w:r>
          </w:p>
        </w:tc>
        <w:tc>
          <w:tcPr>
            <w:tcW w:w="267" w:type="dxa"/>
            <w:tcBorders>
              <w:top w:val="nil"/>
              <w:left w:val="nil"/>
              <w:bottom w:val="nil"/>
              <w:right w:val="nil"/>
            </w:tcBorders>
            <w:shd w:val="clear" w:color="FFFFFF" w:fill="FFFFFF"/>
            <w:noWrap/>
            <w:vAlign w:val="bottom"/>
          </w:tcPr>
          <w:p w:rsidR="00FC4523" w:rsidRPr="002E0280" w:rsidRDefault="00FC4523" w:rsidP="00FC4523">
            <w:pPr>
              <w:spacing w:before="0" w:after="0"/>
              <w:jc w:val="left"/>
              <w:rPr>
                <w:rFonts w:cs="Arial"/>
                <w:color w:val="333333"/>
                <w:sz w:val="18"/>
                <w:szCs w:val="18"/>
                <w:lang w:val="en-GB" w:eastAsia="en-US"/>
              </w:rPr>
            </w:pP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II</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17</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106</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151</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274</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III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81</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152</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243</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IV</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28</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168</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290</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486</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Frankfurt</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43</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199</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255</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497</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Karlsruhe</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22</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104</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143</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269</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Luxembourg I</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55</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185</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167</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407</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Luxembourg II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44</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181</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256</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481</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Mol</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18</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84</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155</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257</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München</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18</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64</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113</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195</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Varese</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44</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140</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164</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348</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single" w:sz="4" w:space="0" w:color="CAC9D9"/>
              <w:left w:val="single" w:sz="4" w:space="0" w:color="3877A6"/>
              <w:bottom w:val="single" w:sz="4" w:space="0" w:color="3877A6"/>
              <w:right w:val="nil"/>
            </w:tcBorders>
            <w:shd w:val="clear" w:color="FFFFFF" w:fill="FFFFFF"/>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Total</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362</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1616</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2292</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4270</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DC29FE" w:rsidRPr="002E0280" w:rsidTr="00F52754">
        <w:trPr>
          <w:trHeight w:val="574"/>
        </w:trPr>
        <w:tc>
          <w:tcPr>
            <w:tcW w:w="3108"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643"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83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83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398"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26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bl>
    <w:p w:rsidR="00DC29FE" w:rsidRPr="002E0280"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GB"/>
        </w:rPr>
      </w:pPr>
    </w:p>
    <w:p w:rsidR="00DC29FE" w:rsidRPr="002E0280" w:rsidRDefault="00DC29FE">
      <w:pPr>
        <w:spacing w:before="0" w:after="0"/>
        <w:jc w:val="left"/>
        <w:rPr>
          <w:color w:val="000000"/>
          <w:sz w:val="24"/>
          <w:szCs w:val="24"/>
          <w:lang w:val="en-GB"/>
        </w:rPr>
      </w:pPr>
      <w:r w:rsidRPr="002E0280">
        <w:rPr>
          <w:color w:val="000000"/>
          <w:sz w:val="24"/>
          <w:szCs w:val="24"/>
          <w:lang w:val="en-GB"/>
        </w:rPr>
        <w:br w:type="page"/>
      </w:r>
    </w:p>
    <w:tbl>
      <w:tblPr>
        <w:tblW w:w="8371" w:type="dxa"/>
        <w:tblLook w:val="04A0" w:firstRow="1" w:lastRow="0" w:firstColumn="1" w:lastColumn="0" w:noHBand="0" w:noVBand="1"/>
      </w:tblPr>
      <w:tblGrid>
        <w:gridCol w:w="2380"/>
        <w:gridCol w:w="285"/>
        <w:gridCol w:w="332"/>
        <w:gridCol w:w="1732"/>
        <w:gridCol w:w="3317"/>
        <w:gridCol w:w="325"/>
      </w:tblGrid>
      <w:tr w:rsidR="00DC29FE" w:rsidRPr="002E0280" w:rsidTr="00F52754">
        <w:trPr>
          <w:trHeight w:val="630"/>
        </w:trPr>
        <w:tc>
          <w:tcPr>
            <w:tcW w:w="238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lastRenderedPageBreak/>
              <w:t> </w:t>
            </w:r>
          </w:p>
        </w:tc>
        <w:tc>
          <w:tcPr>
            <w:tcW w:w="285"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5706" w:type="dxa"/>
            <w:gridSpan w:val="4"/>
            <w:tcBorders>
              <w:top w:val="nil"/>
              <w:left w:val="nil"/>
              <w:bottom w:val="nil"/>
              <w:right w:val="nil"/>
            </w:tcBorders>
            <w:shd w:val="clear" w:color="FFFFFF" w:fill="FFFFFF"/>
            <w:noWrap/>
            <w:vAlign w:val="center"/>
            <w:hideMark/>
          </w:tcPr>
          <w:p w:rsidR="00DC29FE" w:rsidRPr="002E0280" w:rsidRDefault="00DC29FE" w:rsidP="00DC29FE">
            <w:pPr>
              <w:spacing w:before="0" w:after="0"/>
              <w:jc w:val="left"/>
              <w:rPr>
                <w:rFonts w:cs="Arial"/>
                <w:color w:val="333333"/>
                <w:sz w:val="32"/>
                <w:szCs w:val="32"/>
                <w:u w:val="single"/>
                <w:lang w:val="en-GB" w:eastAsia="en-US"/>
              </w:rPr>
            </w:pPr>
            <w:r w:rsidRPr="002E0280">
              <w:rPr>
                <w:rFonts w:cs="Arial"/>
                <w:color w:val="333333"/>
                <w:sz w:val="32"/>
                <w:szCs w:val="32"/>
                <w:u w:val="single"/>
                <w:lang w:val="en-GB" w:eastAsia="en-US"/>
              </w:rPr>
              <w:t>Language 2</w:t>
            </w:r>
            <w:r w:rsidR="004F1438" w:rsidRPr="002E0280">
              <w:rPr>
                <w:rStyle w:val="FootnoteReference"/>
                <w:rFonts w:cs="Arial"/>
                <w:color w:val="333333"/>
                <w:sz w:val="32"/>
                <w:szCs w:val="32"/>
                <w:u w:val="single"/>
                <w:lang w:val="en-GB" w:eastAsia="en-US"/>
              </w:rPr>
              <w:footnoteReference w:id="13"/>
            </w:r>
          </w:p>
        </w:tc>
      </w:tr>
      <w:tr w:rsidR="00DC29FE" w:rsidRPr="002E0280" w:rsidTr="00F52754">
        <w:trPr>
          <w:trHeight w:val="364"/>
        </w:trPr>
        <w:tc>
          <w:tcPr>
            <w:tcW w:w="238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285"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332"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732"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331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325"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DC29FE" w:rsidRPr="002E0280" w:rsidTr="00F52754">
        <w:trPr>
          <w:trHeight w:val="480"/>
        </w:trPr>
        <w:tc>
          <w:tcPr>
            <w:tcW w:w="2380" w:type="dxa"/>
            <w:tcBorders>
              <w:top w:val="single" w:sz="4" w:space="0" w:color="3877A6"/>
              <w:left w:val="single" w:sz="4" w:space="0" w:color="3877A6"/>
              <w:bottom w:val="single" w:sz="4" w:space="0" w:color="3877A6"/>
              <w:right w:val="single" w:sz="4" w:space="0" w:color="09558F"/>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617" w:type="dxa"/>
            <w:gridSpan w:val="2"/>
            <w:tcBorders>
              <w:top w:val="single" w:sz="4" w:space="0" w:color="3877A6"/>
              <w:left w:val="single" w:sz="4" w:space="0" w:color="3877A6"/>
              <w:bottom w:val="nil"/>
              <w:right w:val="single" w:sz="4" w:space="0" w:color="3877A6"/>
            </w:tcBorders>
            <w:shd w:val="clear" w:color="FFFFFF" w:fill="FFFFFF"/>
            <w:noWrap/>
            <w:vAlign w:val="bottom"/>
            <w:hideMark/>
          </w:tcPr>
          <w:p w:rsidR="00DC29FE" w:rsidRPr="002E0280" w:rsidRDefault="00DC29FE" w:rsidP="00DC29FE">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P</w:t>
            </w:r>
          </w:p>
        </w:tc>
        <w:tc>
          <w:tcPr>
            <w:tcW w:w="1732" w:type="dxa"/>
            <w:tcBorders>
              <w:top w:val="single" w:sz="4" w:space="0" w:color="3877A6"/>
              <w:left w:val="nil"/>
              <w:bottom w:val="nil"/>
              <w:right w:val="single" w:sz="4" w:space="0" w:color="3877A6"/>
            </w:tcBorders>
            <w:shd w:val="clear" w:color="FFFFFF" w:fill="FFFFFF"/>
            <w:noWrap/>
            <w:vAlign w:val="bottom"/>
            <w:hideMark/>
          </w:tcPr>
          <w:p w:rsidR="00DC29FE" w:rsidRPr="002E0280" w:rsidRDefault="00DC29FE" w:rsidP="00DC29FE">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S</w:t>
            </w:r>
          </w:p>
        </w:tc>
        <w:tc>
          <w:tcPr>
            <w:tcW w:w="3317" w:type="dxa"/>
            <w:tcBorders>
              <w:top w:val="single" w:sz="4" w:space="0" w:color="CAC9D9"/>
              <w:left w:val="nil"/>
              <w:bottom w:val="nil"/>
              <w:right w:val="single" w:sz="4" w:space="0" w:color="3877A6"/>
            </w:tcBorders>
            <w:shd w:val="clear" w:color="FFFFFF" w:fill="FFFFFF"/>
            <w:vAlign w:val="bottom"/>
            <w:hideMark/>
          </w:tcPr>
          <w:p w:rsidR="00DC29FE" w:rsidRPr="002E0280" w:rsidRDefault="00DC29FE" w:rsidP="00DC29FE">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Total</w:t>
            </w:r>
          </w:p>
        </w:tc>
        <w:tc>
          <w:tcPr>
            <w:tcW w:w="325"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Alicante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spacing w:before="0" w:after="0"/>
              <w:jc w:val="right"/>
              <w:rPr>
                <w:rFonts w:cs="Arial"/>
                <w:sz w:val="18"/>
                <w:szCs w:val="18"/>
                <w:lang w:val="en-GB"/>
              </w:rPr>
            </w:pPr>
            <w:r w:rsidRPr="002E0280">
              <w:rPr>
                <w:rFonts w:cs="Arial"/>
                <w:sz w:val="18"/>
                <w:szCs w:val="18"/>
                <w:lang w:val="en-GB"/>
              </w:rPr>
              <w:t>256</w:t>
            </w:r>
          </w:p>
        </w:tc>
        <w:tc>
          <w:tcPr>
            <w:tcW w:w="1732" w:type="dxa"/>
            <w:tcBorders>
              <w:top w:val="single" w:sz="4" w:space="0" w:color="auto"/>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429</w:t>
            </w:r>
          </w:p>
        </w:tc>
        <w:tc>
          <w:tcPr>
            <w:tcW w:w="3317" w:type="dxa"/>
            <w:tcBorders>
              <w:top w:val="single" w:sz="4" w:space="0" w:color="auto"/>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685</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Bergen</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124</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222</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346</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735</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1358</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2093</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 (Berkendael)</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353</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 </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353</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634</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1191</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1825</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669</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1235</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1904</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IV</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650</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1072</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1722</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Frankfurt</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305</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455</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760</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Karlsruhe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168</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194</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362</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Luxembourg 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699</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1029</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1728</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Luxembourg 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599</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897</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1496</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Mol</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106</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217</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323</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München</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287</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603</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890</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Varese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360</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590</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950</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single" w:sz="4" w:space="0" w:color="CAC9D9"/>
              <w:left w:val="single" w:sz="4" w:space="0" w:color="3877A6"/>
              <w:bottom w:val="single" w:sz="4" w:space="0" w:color="3877A6"/>
              <w:right w:val="nil"/>
            </w:tcBorders>
            <w:shd w:val="clear" w:color="FFFFFF" w:fill="FFFFFF"/>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Total</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5945</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9492</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15437</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DC29FE" w:rsidRPr="002E0280" w:rsidTr="00F52754">
        <w:trPr>
          <w:trHeight w:val="574"/>
        </w:trPr>
        <w:tc>
          <w:tcPr>
            <w:tcW w:w="238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285"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332"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732"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331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325"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DC29FE" w:rsidRPr="002E0280" w:rsidTr="00F52754">
        <w:trPr>
          <w:trHeight w:val="255"/>
        </w:trPr>
        <w:tc>
          <w:tcPr>
            <w:tcW w:w="2380" w:type="dxa"/>
            <w:tcBorders>
              <w:top w:val="nil"/>
              <w:left w:val="nil"/>
              <w:bottom w:val="nil"/>
              <w:right w:val="nil"/>
            </w:tcBorders>
            <w:shd w:val="clear" w:color="auto" w:fill="auto"/>
            <w:noWrap/>
            <w:vAlign w:val="bottom"/>
            <w:hideMark/>
          </w:tcPr>
          <w:p w:rsidR="00DC29FE" w:rsidRPr="002E0280" w:rsidRDefault="00DC29FE" w:rsidP="00DC29FE">
            <w:pPr>
              <w:spacing w:before="0" w:after="0"/>
              <w:jc w:val="left"/>
              <w:rPr>
                <w:rFonts w:cs="Arial"/>
                <w:color w:val="333333"/>
                <w:sz w:val="18"/>
                <w:szCs w:val="18"/>
                <w:lang w:val="en-GB" w:eastAsia="en-US"/>
              </w:rPr>
            </w:pPr>
          </w:p>
        </w:tc>
        <w:tc>
          <w:tcPr>
            <w:tcW w:w="285" w:type="dxa"/>
            <w:tcBorders>
              <w:top w:val="nil"/>
              <w:left w:val="nil"/>
              <w:bottom w:val="nil"/>
              <w:right w:val="nil"/>
            </w:tcBorders>
            <w:shd w:val="clear" w:color="auto" w:fill="auto"/>
            <w:noWrap/>
            <w:vAlign w:val="bottom"/>
            <w:hideMark/>
          </w:tcPr>
          <w:p w:rsidR="00DC29FE" w:rsidRPr="002E0280" w:rsidRDefault="00DC29FE" w:rsidP="00DC29FE">
            <w:pPr>
              <w:spacing w:before="0" w:after="0"/>
              <w:jc w:val="left"/>
              <w:rPr>
                <w:rFonts w:ascii="Times New Roman" w:hAnsi="Times New Roman"/>
                <w:sz w:val="20"/>
                <w:lang w:val="en-GB" w:eastAsia="en-US"/>
              </w:rPr>
            </w:pPr>
          </w:p>
        </w:tc>
        <w:tc>
          <w:tcPr>
            <w:tcW w:w="332" w:type="dxa"/>
            <w:tcBorders>
              <w:top w:val="nil"/>
              <w:left w:val="nil"/>
              <w:bottom w:val="nil"/>
              <w:right w:val="nil"/>
            </w:tcBorders>
            <w:shd w:val="clear" w:color="auto" w:fill="auto"/>
            <w:noWrap/>
            <w:vAlign w:val="bottom"/>
            <w:hideMark/>
          </w:tcPr>
          <w:p w:rsidR="00DC29FE" w:rsidRPr="002E0280" w:rsidRDefault="00DC29FE" w:rsidP="00DC29FE">
            <w:pPr>
              <w:spacing w:before="0" w:after="0"/>
              <w:jc w:val="left"/>
              <w:rPr>
                <w:rFonts w:ascii="Times New Roman" w:hAnsi="Times New Roman"/>
                <w:sz w:val="20"/>
                <w:lang w:val="en-GB" w:eastAsia="en-US"/>
              </w:rPr>
            </w:pPr>
          </w:p>
        </w:tc>
        <w:tc>
          <w:tcPr>
            <w:tcW w:w="1732" w:type="dxa"/>
            <w:tcBorders>
              <w:top w:val="nil"/>
              <w:left w:val="nil"/>
              <w:bottom w:val="nil"/>
              <w:right w:val="nil"/>
            </w:tcBorders>
            <w:shd w:val="clear" w:color="auto" w:fill="auto"/>
            <w:noWrap/>
            <w:vAlign w:val="bottom"/>
            <w:hideMark/>
          </w:tcPr>
          <w:p w:rsidR="00DC29FE" w:rsidRPr="002E0280" w:rsidRDefault="00DC29FE" w:rsidP="00DC29FE">
            <w:pPr>
              <w:spacing w:before="0" w:after="0"/>
              <w:jc w:val="left"/>
              <w:rPr>
                <w:rFonts w:ascii="Times New Roman" w:hAnsi="Times New Roman"/>
                <w:sz w:val="20"/>
                <w:lang w:val="en-GB" w:eastAsia="en-US"/>
              </w:rPr>
            </w:pPr>
          </w:p>
        </w:tc>
        <w:tc>
          <w:tcPr>
            <w:tcW w:w="3317" w:type="dxa"/>
            <w:tcBorders>
              <w:top w:val="nil"/>
              <w:left w:val="nil"/>
              <w:bottom w:val="nil"/>
              <w:right w:val="nil"/>
            </w:tcBorders>
            <w:shd w:val="clear" w:color="auto" w:fill="auto"/>
            <w:noWrap/>
            <w:vAlign w:val="bottom"/>
            <w:hideMark/>
          </w:tcPr>
          <w:p w:rsidR="00DC29FE" w:rsidRPr="002E0280" w:rsidRDefault="00DC29FE" w:rsidP="00DC29FE">
            <w:pPr>
              <w:spacing w:before="0" w:after="0"/>
              <w:jc w:val="left"/>
              <w:rPr>
                <w:rFonts w:ascii="Times New Roman" w:hAnsi="Times New Roman"/>
                <w:sz w:val="20"/>
                <w:lang w:val="en-GB" w:eastAsia="en-US"/>
              </w:rPr>
            </w:pPr>
          </w:p>
        </w:tc>
        <w:tc>
          <w:tcPr>
            <w:tcW w:w="325" w:type="dxa"/>
            <w:tcBorders>
              <w:top w:val="nil"/>
              <w:left w:val="nil"/>
              <w:bottom w:val="nil"/>
              <w:right w:val="nil"/>
            </w:tcBorders>
            <w:shd w:val="clear" w:color="auto" w:fill="auto"/>
            <w:noWrap/>
            <w:vAlign w:val="bottom"/>
            <w:hideMark/>
          </w:tcPr>
          <w:p w:rsidR="00DC29FE" w:rsidRPr="002E0280" w:rsidRDefault="00DC29FE" w:rsidP="00DC29FE">
            <w:pPr>
              <w:spacing w:before="0" w:after="0"/>
              <w:jc w:val="left"/>
              <w:rPr>
                <w:rFonts w:ascii="Times New Roman" w:hAnsi="Times New Roman"/>
                <w:sz w:val="20"/>
                <w:lang w:val="en-GB" w:eastAsia="en-US"/>
              </w:rPr>
            </w:pPr>
          </w:p>
        </w:tc>
      </w:tr>
    </w:tbl>
    <w:p w:rsidR="00DC29FE" w:rsidRPr="002E0280"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GB"/>
        </w:rPr>
      </w:pPr>
    </w:p>
    <w:p w:rsidR="00DC29FE" w:rsidRPr="002E0280" w:rsidRDefault="00DC29FE">
      <w:pPr>
        <w:spacing w:before="0" w:after="0"/>
        <w:jc w:val="left"/>
        <w:rPr>
          <w:color w:val="000000"/>
          <w:sz w:val="24"/>
          <w:szCs w:val="24"/>
          <w:lang w:val="en-GB"/>
        </w:rPr>
      </w:pPr>
      <w:r w:rsidRPr="002E0280">
        <w:rPr>
          <w:color w:val="000000"/>
          <w:sz w:val="24"/>
          <w:szCs w:val="24"/>
          <w:lang w:val="en-GB"/>
        </w:rPr>
        <w:br w:type="page"/>
      </w:r>
    </w:p>
    <w:p w:rsidR="008A0B1D" w:rsidRPr="002E0280"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u w:val="single"/>
          <w:lang w:val="en-GB"/>
        </w:rPr>
      </w:pPr>
      <w:r w:rsidRPr="002E0280">
        <w:rPr>
          <w:b/>
          <w:color w:val="000000"/>
          <w:sz w:val="24"/>
          <w:szCs w:val="24"/>
          <w:u w:val="single"/>
          <w:lang w:val="en-GB"/>
        </w:rPr>
        <w:lastRenderedPageBreak/>
        <w:t>Language 3</w:t>
      </w:r>
      <w:r w:rsidR="004F1438" w:rsidRPr="002E0280">
        <w:rPr>
          <w:rStyle w:val="FootnoteReference"/>
          <w:b/>
          <w:color w:val="000000"/>
          <w:sz w:val="24"/>
          <w:szCs w:val="24"/>
          <w:u w:val="single"/>
          <w:lang w:val="en-GB"/>
        </w:rPr>
        <w:footnoteReference w:id="14"/>
      </w:r>
    </w:p>
    <w:p w:rsidR="00DC29FE" w:rsidRPr="002E0280"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GB"/>
        </w:rPr>
      </w:pPr>
    </w:p>
    <w:tbl>
      <w:tblPr>
        <w:tblW w:w="3180" w:type="dxa"/>
        <w:tblLook w:val="04A0" w:firstRow="1" w:lastRow="0" w:firstColumn="1" w:lastColumn="0" w:noHBand="0" w:noVBand="1"/>
      </w:tblPr>
      <w:tblGrid>
        <w:gridCol w:w="1560"/>
        <w:gridCol w:w="1120"/>
        <w:gridCol w:w="500"/>
      </w:tblGrid>
      <w:tr w:rsidR="00DC29FE" w:rsidRPr="002E0280" w:rsidTr="00DC29FE">
        <w:trPr>
          <w:trHeight w:val="289"/>
        </w:trPr>
        <w:tc>
          <w:tcPr>
            <w:tcW w:w="156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12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50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DC29FE" w:rsidRPr="002E0280" w:rsidTr="00DC29FE">
        <w:trPr>
          <w:trHeight w:val="480"/>
        </w:trPr>
        <w:tc>
          <w:tcPr>
            <w:tcW w:w="156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12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DC29FE" w:rsidRPr="002E0280" w:rsidRDefault="00DC29FE" w:rsidP="00DC29FE">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S</w:t>
            </w:r>
          </w:p>
        </w:tc>
        <w:tc>
          <w:tcPr>
            <w:tcW w:w="50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single" w:sz="4" w:space="0" w:color="3877A6"/>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Alicante</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spacing w:before="0" w:after="0"/>
              <w:jc w:val="right"/>
              <w:rPr>
                <w:rFonts w:cs="Arial"/>
                <w:sz w:val="18"/>
                <w:szCs w:val="18"/>
                <w:lang w:val="en-GB"/>
              </w:rPr>
            </w:pPr>
            <w:r w:rsidRPr="002E0280">
              <w:rPr>
                <w:rFonts w:cs="Arial"/>
                <w:sz w:val="18"/>
                <w:szCs w:val="18"/>
                <w:lang w:val="en-GB"/>
              </w:rPr>
              <w:t>39</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Bergen</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Bruxelles 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404</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Bruxelles II</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446</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Bruxelles III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392</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Bruxelles IV</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323</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Frankfurt</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192</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Karlsruhe</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94</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Luxembourg 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440</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Luxembourg II</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305</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Mol</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22</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München</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580</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Varese</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38</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bottom"/>
            <w:hideMark/>
          </w:tcPr>
          <w:p w:rsidR="00FC4523" w:rsidRPr="002E0280" w:rsidRDefault="00FC4523" w:rsidP="00FC4523">
            <w:pPr>
              <w:spacing w:before="0" w:after="0"/>
              <w:jc w:val="left"/>
              <w:rPr>
                <w:rFonts w:cs="Arial"/>
                <w:b/>
                <w:bCs/>
                <w:color w:val="333333"/>
                <w:sz w:val="18"/>
                <w:szCs w:val="18"/>
                <w:lang w:val="en-GB" w:eastAsia="en-US"/>
              </w:rPr>
            </w:pPr>
            <w:r w:rsidRPr="002E0280">
              <w:rPr>
                <w:rFonts w:cs="Arial"/>
                <w:b/>
                <w:bCs/>
                <w:color w:val="333333"/>
                <w:sz w:val="18"/>
                <w:szCs w:val="18"/>
                <w:lang w:val="en-GB" w:eastAsia="en-US"/>
              </w:rPr>
              <w:t>Total</w:t>
            </w:r>
          </w:p>
        </w:tc>
        <w:tc>
          <w:tcPr>
            <w:tcW w:w="1120" w:type="dxa"/>
            <w:tcBorders>
              <w:top w:val="nil"/>
              <w:left w:val="nil"/>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3277</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DC29FE" w:rsidRPr="002E0280" w:rsidTr="00DC29FE">
        <w:trPr>
          <w:trHeight w:val="574"/>
        </w:trPr>
        <w:tc>
          <w:tcPr>
            <w:tcW w:w="156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12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50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bl>
    <w:p w:rsidR="00DC29FE" w:rsidRPr="002E0280"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GB"/>
        </w:rPr>
      </w:pPr>
    </w:p>
    <w:p w:rsidR="008A0B1D" w:rsidRPr="002E0280"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sectPr w:rsidR="008A0B1D" w:rsidRPr="002E0280" w:rsidSect="00A7556C">
          <w:footerReference w:type="default" r:id="rId11"/>
          <w:footerReference w:type="first" r:id="rId12"/>
          <w:pgSz w:w="11906" w:h="16838"/>
          <w:pgMar w:top="1020" w:right="1466" w:bottom="1020" w:left="1587" w:header="601" w:footer="1077" w:gutter="0"/>
          <w:cols w:space="720"/>
          <w:titlePg/>
        </w:sectPr>
      </w:pPr>
    </w:p>
    <w:p w:rsidR="00023966" w:rsidRPr="002E0280" w:rsidRDefault="009802A4"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lang w:val="en-GB"/>
        </w:rPr>
      </w:pPr>
      <w:r>
        <w:rPr>
          <w:b/>
          <w:color w:val="000000"/>
          <w:lang w:val="en-GB"/>
        </w:rPr>
        <w:lastRenderedPageBreak/>
        <w:t>Annex I</w:t>
      </w:r>
      <w:r w:rsidR="0070584B">
        <w:rPr>
          <w:b/>
          <w:color w:val="000000"/>
          <w:lang w:val="en-GB"/>
        </w:rPr>
        <w:t>V</w:t>
      </w:r>
    </w:p>
    <w:p w:rsidR="003828C2" w:rsidRPr="002E0280" w:rsidRDefault="00E32534"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 xml:space="preserve">Updated </w:t>
      </w:r>
      <w:r w:rsidR="008B56BF" w:rsidRPr="002E0280">
        <w:rPr>
          <w:b/>
          <w:color w:val="000000"/>
          <w:lang w:val="en-GB"/>
        </w:rPr>
        <w:t>Risk Analysis ‘BREXIT’</w:t>
      </w:r>
    </w:p>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p>
    <w:tbl>
      <w:tblPr>
        <w:tblStyle w:val="TableGrid"/>
        <w:tblW w:w="0" w:type="auto"/>
        <w:tblLook w:val="04A0" w:firstRow="1" w:lastRow="0" w:firstColumn="1" w:lastColumn="0" w:noHBand="0" w:noVBand="1"/>
      </w:tblPr>
      <w:tblGrid>
        <w:gridCol w:w="715"/>
        <w:gridCol w:w="2610"/>
        <w:gridCol w:w="5547"/>
        <w:gridCol w:w="3993"/>
        <w:gridCol w:w="1923"/>
      </w:tblGrid>
      <w:tr w:rsidR="008B56BF" w:rsidRPr="002E0280" w:rsidTr="005C24F9">
        <w:tc>
          <w:tcPr>
            <w:tcW w:w="715" w:type="dxa"/>
          </w:tcPr>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No</w:t>
            </w:r>
          </w:p>
        </w:tc>
        <w:tc>
          <w:tcPr>
            <w:tcW w:w="2610" w:type="dxa"/>
          </w:tcPr>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Risk</w:t>
            </w:r>
          </w:p>
        </w:tc>
        <w:tc>
          <w:tcPr>
            <w:tcW w:w="5547" w:type="dxa"/>
          </w:tcPr>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Description</w:t>
            </w:r>
          </w:p>
        </w:tc>
        <w:tc>
          <w:tcPr>
            <w:tcW w:w="3993" w:type="dxa"/>
          </w:tcPr>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Action</w:t>
            </w:r>
          </w:p>
        </w:tc>
        <w:tc>
          <w:tcPr>
            <w:tcW w:w="1923" w:type="dxa"/>
          </w:tcPr>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Comment</w:t>
            </w:r>
            <w:r w:rsidR="006D757C" w:rsidRPr="002E0280">
              <w:rPr>
                <w:b/>
                <w:color w:val="000000"/>
                <w:lang w:val="en-GB"/>
              </w:rPr>
              <w:t>s</w:t>
            </w:r>
          </w:p>
        </w:tc>
      </w:tr>
      <w:tr w:rsidR="008B56BF" w:rsidRPr="00C31CB3" w:rsidTr="005C24F9">
        <w:tc>
          <w:tcPr>
            <w:tcW w:w="715" w:type="dxa"/>
          </w:tcPr>
          <w:p w:rsidR="008B56BF" w:rsidRPr="002E0280" w:rsidRDefault="00C359B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Pr>
                <w:color w:val="000000"/>
                <w:lang w:val="en-GB"/>
              </w:rPr>
              <w:t>1</w:t>
            </w:r>
          </w:p>
        </w:tc>
        <w:tc>
          <w:tcPr>
            <w:tcW w:w="2610" w:type="dxa"/>
          </w:tcPr>
          <w:p w:rsidR="008B56BF" w:rsidRPr="002E0280"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Financing of the system</w:t>
            </w:r>
          </w:p>
        </w:tc>
        <w:tc>
          <w:tcPr>
            <w:tcW w:w="5547" w:type="dxa"/>
          </w:tcPr>
          <w:p w:rsidR="008B56BF" w:rsidRPr="002E0280"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With the ‘</w:t>
            </w:r>
            <w:r w:rsidR="00387056" w:rsidRPr="002E0280">
              <w:rPr>
                <w:color w:val="000000"/>
                <w:lang w:val="en-GB"/>
              </w:rPr>
              <w:t>BREXIT’,</w:t>
            </w:r>
            <w:r w:rsidRPr="002E0280">
              <w:rPr>
                <w:color w:val="000000"/>
                <w:lang w:val="en-GB"/>
              </w:rPr>
              <w:t xml:space="preserve"> the financing of the EU will be reviewed. The amount of the future contribution of the EU COM to the budget as of 20</w:t>
            </w:r>
            <w:r w:rsidR="00E32534" w:rsidRPr="002E0280">
              <w:rPr>
                <w:color w:val="000000"/>
                <w:lang w:val="en-GB"/>
              </w:rPr>
              <w:t>21</w:t>
            </w:r>
            <w:r w:rsidRPr="002E0280">
              <w:rPr>
                <w:color w:val="000000"/>
                <w:lang w:val="en-GB"/>
              </w:rPr>
              <w:t xml:space="preserve"> is unclear.</w:t>
            </w:r>
          </w:p>
          <w:p w:rsidR="005C24F9" w:rsidRPr="002E0280"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5E5B54" w:rsidRPr="002E0280"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w:t>
            </w:r>
            <w:r w:rsidR="005C24F9" w:rsidRPr="002E0280">
              <w:rPr>
                <w:color w:val="000000"/>
                <w:lang w:val="en-GB"/>
              </w:rPr>
              <w:t>he contribution of t</w:t>
            </w:r>
            <w:r w:rsidRPr="002E0280">
              <w:rPr>
                <w:color w:val="000000"/>
                <w:lang w:val="en-GB"/>
              </w:rPr>
              <w:t>he UK delegation via secondments</w:t>
            </w:r>
            <w:r w:rsidR="005C24F9" w:rsidRPr="002E0280">
              <w:rPr>
                <w:color w:val="000000"/>
                <w:lang w:val="en-GB"/>
              </w:rPr>
              <w:t xml:space="preserve"> risks </w:t>
            </w:r>
            <w:r w:rsidR="00700429" w:rsidRPr="002E0280">
              <w:rPr>
                <w:color w:val="000000"/>
                <w:lang w:val="en-GB"/>
              </w:rPr>
              <w:t>going</w:t>
            </w:r>
            <w:r w:rsidRPr="002E0280">
              <w:rPr>
                <w:color w:val="000000"/>
                <w:lang w:val="en-GB"/>
              </w:rPr>
              <w:t xml:space="preserve"> down to zero. </w:t>
            </w:r>
          </w:p>
          <w:p w:rsidR="005C24F9" w:rsidRPr="002E0280"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In the same time the need for English native, locally recruited teachers, financed by the EU COM, will increase.  </w:t>
            </w:r>
          </w:p>
        </w:tc>
        <w:tc>
          <w:tcPr>
            <w:tcW w:w="3993" w:type="dxa"/>
          </w:tcPr>
          <w:p w:rsidR="008B56BF" w:rsidRPr="002E0280"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Preparation of the 20</w:t>
            </w:r>
            <w:r w:rsidR="00E32534" w:rsidRPr="002E0280">
              <w:rPr>
                <w:color w:val="000000"/>
                <w:lang w:val="en-GB"/>
              </w:rPr>
              <w:t>21</w:t>
            </w:r>
            <w:r w:rsidRPr="002E0280">
              <w:rPr>
                <w:color w:val="000000"/>
                <w:lang w:val="en-GB"/>
              </w:rPr>
              <w:t xml:space="preserve"> budget </w:t>
            </w:r>
          </w:p>
          <w:p w:rsidR="00050339" w:rsidRPr="002E0280" w:rsidRDefault="0005033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62349" w:rsidRPr="002E0280"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62349" w:rsidRPr="002E0280"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62349" w:rsidRPr="002E0280"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62349" w:rsidRPr="002E0280"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50339" w:rsidRPr="002E0280" w:rsidRDefault="00050339" w:rsidP="007F4251">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Review of the ‘cost sharing </w:t>
            </w:r>
            <w:r w:rsidR="005B5C62" w:rsidRPr="002E0280">
              <w:rPr>
                <w:color w:val="000000"/>
                <w:lang w:val="en-GB"/>
              </w:rPr>
              <w:t>mechanism</w:t>
            </w:r>
            <w:r w:rsidRPr="002E0280">
              <w:rPr>
                <w:color w:val="000000"/>
                <w:lang w:val="en-GB"/>
              </w:rPr>
              <w:t>’</w:t>
            </w:r>
          </w:p>
        </w:tc>
        <w:tc>
          <w:tcPr>
            <w:tcW w:w="1923" w:type="dxa"/>
          </w:tcPr>
          <w:p w:rsidR="00162349" w:rsidRPr="002E0280" w:rsidRDefault="0016234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r>
      <w:tr w:rsidR="008B56BF" w:rsidRPr="00C31CB3" w:rsidTr="005C24F9">
        <w:tc>
          <w:tcPr>
            <w:tcW w:w="715" w:type="dxa"/>
          </w:tcPr>
          <w:p w:rsidR="008B56BF" w:rsidRPr="002E0280" w:rsidRDefault="00C359B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Pr>
                <w:color w:val="000000"/>
                <w:lang w:val="en-GB"/>
              </w:rPr>
              <w:t>2</w:t>
            </w:r>
          </w:p>
        </w:tc>
        <w:tc>
          <w:tcPr>
            <w:tcW w:w="2610" w:type="dxa"/>
          </w:tcPr>
          <w:p w:rsidR="008B56BF" w:rsidRPr="002E0280"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Staffing</w:t>
            </w:r>
          </w:p>
        </w:tc>
        <w:tc>
          <w:tcPr>
            <w:tcW w:w="5547" w:type="dxa"/>
          </w:tcPr>
          <w:p w:rsidR="008B56BF" w:rsidRPr="002E0280" w:rsidRDefault="004F1438"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The number of staff</w:t>
            </w:r>
            <w:r w:rsidR="005E5B54" w:rsidRPr="002E0280">
              <w:rPr>
                <w:color w:val="000000"/>
                <w:lang w:val="en-GB"/>
              </w:rPr>
              <w:t xml:space="preserve"> second</w:t>
            </w:r>
            <w:r w:rsidRPr="002E0280">
              <w:rPr>
                <w:color w:val="000000"/>
                <w:lang w:val="en-GB"/>
              </w:rPr>
              <w:t>ed</w:t>
            </w:r>
            <w:r w:rsidR="005E5B54" w:rsidRPr="002E0280">
              <w:rPr>
                <w:color w:val="000000"/>
                <w:lang w:val="en-GB"/>
              </w:rPr>
              <w:t xml:space="preserve"> by the UK risks </w:t>
            </w:r>
            <w:r w:rsidR="00700429" w:rsidRPr="002E0280">
              <w:rPr>
                <w:color w:val="000000"/>
                <w:lang w:val="en-GB"/>
              </w:rPr>
              <w:t>going</w:t>
            </w:r>
            <w:r w:rsidR="005E5B54" w:rsidRPr="002E0280">
              <w:rPr>
                <w:color w:val="000000"/>
                <w:lang w:val="en-GB"/>
              </w:rPr>
              <w:t xml:space="preserve"> down to zero.</w:t>
            </w:r>
          </w:p>
          <w:p w:rsidR="00EF3CD7" w:rsidRPr="002E0280" w:rsidRDefault="00EF3CD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5E5B54" w:rsidRPr="002E0280"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The attractiveness of the European Schools as employer for UK nationals is at risk.</w:t>
            </w:r>
          </w:p>
          <w:p w:rsidR="005E5B54" w:rsidRPr="002E0280"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c>
          <w:tcPr>
            <w:tcW w:w="3993" w:type="dxa"/>
          </w:tcPr>
          <w:p w:rsidR="008B56BF" w:rsidRPr="002E0280"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Mandate LRT WG to </w:t>
            </w:r>
            <w:r w:rsidR="002E0280" w:rsidRPr="002E0280">
              <w:rPr>
                <w:color w:val="000000"/>
                <w:lang w:val="en-GB"/>
              </w:rPr>
              <w:t>analys</w:t>
            </w:r>
            <w:r w:rsidR="00114F67" w:rsidRPr="002E0280">
              <w:rPr>
                <w:color w:val="000000"/>
                <w:lang w:val="en-GB"/>
              </w:rPr>
              <w:t>e</w:t>
            </w:r>
            <w:r w:rsidRPr="002E0280">
              <w:rPr>
                <w:color w:val="000000"/>
                <w:lang w:val="en-GB"/>
              </w:rPr>
              <w:t xml:space="preserve"> the attractiveness of the ‘package’ offered to LRT</w:t>
            </w:r>
          </w:p>
          <w:p w:rsidR="00EF3CD7" w:rsidRPr="002E0280" w:rsidRDefault="00EF3CD7" w:rsidP="00EF3CD7">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lang w:val="en-GB"/>
              </w:rPr>
            </w:pPr>
          </w:p>
          <w:p w:rsidR="000373EC" w:rsidRPr="002E0280" w:rsidRDefault="000373EC"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Concrete proposals of the LRT WG by 04/2018</w:t>
            </w:r>
          </w:p>
          <w:p w:rsidR="000E3D6C" w:rsidRPr="002E0280" w:rsidRDefault="000E3D6C" w:rsidP="000E3D6C">
            <w:pPr>
              <w:pStyle w:val="ListParagraph"/>
              <w:rPr>
                <w:color w:val="000000"/>
                <w:lang w:val="en-GB"/>
              </w:rPr>
            </w:pPr>
          </w:p>
          <w:p w:rsidR="00611D27" w:rsidRPr="002E0280" w:rsidRDefault="00611D27" w:rsidP="000E3D6C">
            <w:pPr>
              <w:pStyle w:val="ListParagraph"/>
              <w:rPr>
                <w:color w:val="000000"/>
                <w:lang w:val="en-GB"/>
              </w:rPr>
            </w:pPr>
          </w:p>
          <w:p w:rsidR="000E3D6C" w:rsidRPr="002E0280" w:rsidRDefault="000E3D6C" w:rsidP="000E3D6C">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Explore further ways to attract and retain EN native teaching staff </w:t>
            </w:r>
          </w:p>
        </w:tc>
        <w:tc>
          <w:tcPr>
            <w:tcW w:w="1923" w:type="dxa"/>
          </w:tcPr>
          <w:p w:rsidR="008B56BF" w:rsidRPr="002E0280" w:rsidRDefault="0005033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d</w:t>
            </w:r>
            <w:r w:rsidR="006D757C" w:rsidRPr="002E0280">
              <w:rPr>
                <w:color w:val="000000"/>
                <w:lang w:val="en-GB"/>
              </w:rPr>
              <w:t>one</w:t>
            </w:r>
          </w:p>
          <w:p w:rsidR="006D757C" w:rsidRPr="002E0280"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6D757C" w:rsidRPr="002E0280" w:rsidRDefault="00162349" w:rsidP="0016234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adopted by the BoG in April 2018</w:t>
            </w:r>
          </w:p>
          <w:p w:rsidR="00611D27" w:rsidRPr="002E0280" w:rsidRDefault="00611D27" w:rsidP="0016234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611D27" w:rsidRPr="002E0280" w:rsidRDefault="00176C89" w:rsidP="00176C8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concrete proposal to create ‘protected functions’ was approved by the BoG in April 2019 </w:t>
            </w:r>
          </w:p>
        </w:tc>
      </w:tr>
      <w:tr w:rsidR="008B56BF" w:rsidRPr="002E0280" w:rsidTr="005C24F9">
        <w:tc>
          <w:tcPr>
            <w:tcW w:w="715" w:type="dxa"/>
          </w:tcPr>
          <w:p w:rsidR="008B56BF" w:rsidRPr="002E0280" w:rsidRDefault="00C359B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Pr>
                <w:color w:val="000000"/>
                <w:lang w:val="en-GB"/>
              </w:rPr>
              <w:lastRenderedPageBreak/>
              <w:t>3</w:t>
            </w:r>
          </w:p>
        </w:tc>
        <w:tc>
          <w:tcPr>
            <w:tcW w:w="2610" w:type="dxa"/>
          </w:tcPr>
          <w:p w:rsidR="008B56BF" w:rsidRPr="002E0280" w:rsidRDefault="00425247" w:rsidP="00425247">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Loss of teaching</w:t>
            </w:r>
            <w:r w:rsidR="005E5B54" w:rsidRPr="002E0280">
              <w:rPr>
                <w:b/>
                <w:color w:val="000000"/>
                <w:lang w:val="en-GB"/>
              </w:rPr>
              <w:t xml:space="preserve"> a</w:t>
            </w:r>
            <w:r w:rsidR="00912373" w:rsidRPr="002E0280">
              <w:rPr>
                <w:b/>
                <w:color w:val="000000"/>
                <w:lang w:val="en-GB"/>
              </w:rPr>
              <w:t>nd learning</w:t>
            </w:r>
            <w:r w:rsidRPr="002E0280">
              <w:rPr>
                <w:b/>
                <w:color w:val="000000"/>
                <w:lang w:val="en-GB"/>
              </w:rPr>
              <w:t xml:space="preserve"> quality </w:t>
            </w:r>
          </w:p>
        </w:tc>
        <w:tc>
          <w:tcPr>
            <w:tcW w:w="5547" w:type="dxa"/>
          </w:tcPr>
          <w:p w:rsidR="008B56BF" w:rsidRPr="002E0280"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The loss of English na</w:t>
            </w:r>
            <w:r w:rsidR="00912373" w:rsidRPr="002E0280">
              <w:rPr>
                <w:color w:val="000000"/>
                <w:lang w:val="en-GB"/>
              </w:rPr>
              <w:t>tive teachers and pupils might a</w:t>
            </w:r>
            <w:r w:rsidRPr="002E0280">
              <w:rPr>
                <w:color w:val="000000"/>
                <w:lang w:val="en-GB"/>
              </w:rPr>
              <w:t>ffect the quality</w:t>
            </w:r>
            <w:r w:rsidR="00912373" w:rsidRPr="002E0280">
              <w:rPr>
                <w:color w:val="000000"/>
                <w:lang w:val="en-GB"/>
              </w:rPr>
              <w:t xml:space="preserve"> of teaching and learning</w:t>
            </w:r>
            <w:r w:rsidR="00CF06A8" w:rsidRPr="002E0280">
              <w:rPr>
                <w:color w:val="000000"/>
                <w:lang w:val="en-GB"/>
              </w:rPr>
              <w:t>.</w:t>
            </w:r>
          </w:p>
          <w:p w:rsidR="0050545A" w:rsidRPr="002E0280" w:rsidRDefault="0050545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50545A" w:rsidRPr="002E0280" w:rsidRDefault="0050545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The system will lose two inspectors who play a key role in quality assurance.</w:t>
            </w:r>
          </w:p>
          <w:p w:rsidR="00176C89" w:rsidRPr="002E0280" w:rsidRDefault="00176C8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76C89" w:rsidRPr="002E0280" w:rsidRDefault="00D50C8E"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The system might risk losing</w:t>
            </w:r>
            <w:r w:rsidR="00176C89" w:rsidRPr="002E0280">
              <w:rPr>
                <w:color w:val="000000"/>
                <w:lang w:val="en-GB"/>
              </w:rPr>
              <w:t xml:space="preserve"> experts with UK nationality.</w:t>
            </w:r>
          </w:p>
        </w:tc>
        <w:tc>
          <w:tcPr>
            <w:tcW w:w="3993" w:type="dxa"/>
          </w:tcPr>
          <w:p w:rsidR="008B56BF" w:rsidRPr="002E0280"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Analysis of the language sections in the 13 schools</w:t>
            </w:r>
          </w:p>
          <w:p w:rsidR="00176C89" w:rsidRPr="002E0280" w:rsidRDefault="00176C89" w:rsidP="00AE054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76C89" w:rsidRPr="002E0280" w:rsidRDefault="00176C89" w:rsidP="0016745C">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Analysis of possibilities to compensate the loss of expertise of UK inspectors</w:t>
            </w:r>
          </w:p>
          <w:p w:rsidR="00176C89" w:rsidRPr="002E0280" w:rsidRDefault="00176C89" w:rsidP="00AE054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76C89" w:rsidRPr="002E0280" w:rsidRDefault="00176C89" w:rsidP="00AE054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Analysis of the possibilities to continue the contracting of experts with UK nationality</w:t>
            </w:r>
          </w:p>
        </w:tc>
        <w:tc>
          <w:tcPr>
            <w:tcW w:w="1923" w:type="dxa"/>
          </w:tcPr>
          <w:p w:rsidR="008B56BF" w:rsidRPr="002E0280" w:rsidRDefault="00176C8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D</w:t>
            </w:r>
            <w:r w:rsidR="00EF3CD7" w:rsidRPr="002E0280">
              <w:rPr>
                <w:color w:val="000000"/>
                <w:lang w:val="en-GB"/>
              </w:rPr>
              <w:t>one</w:t>
            </w:r>
          </w:p>
          <w:p w:rsidR="00176C89" w:rsidRPr="002E0280" w:rsidRDefault="00176C8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76C89" w:rsidRPr="002E0280" w:rsidRDefault="00176C8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76C89" w:rsidRPr="002E0280" w:rsidRDefault="00176C89" w:rsidP="00176C8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Mandate given to the BREXIT WG in December 2019</w:t>
            </w:r>
          </w:p>
          <w:p w:rsidR="0016745C" w:rsidRPr="002E0280" w:rsidRDefault="0016745C" w:rsidP="00176C8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6745C" w:rsidRPr="002E0280" w:rsidRDefault="0016745C" w:rsidP="00176C8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Dto.</w:t>
            </w:r>
          </w:p>
        </w:tc>
      </w:tr>
      <w:tr w:rsidR="008B56BF" w:rsidRPr="00C31CB3" w:rsidTr="005C24F9">
        <w:tc>
          <w:tcPr>
            <w:tcW w:w="715" w:type="dxa"/>
          </w:tcPr>
          <w:p w:rsidR="008B56BF" w:rsidRPr="002E0280" w:rsidRDefault="00C359B5" w:rsidP="00C359B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Pr>
                <w:color w:val="000000"/>
                <w:lang w:val="en-GB"/>
              </w:rPr>
              <w:t>4</w:t>
            </w:r>
          </w:p>
        </w:tc>
        <w:tc>
          <w:tcPr>
            <w:tcW w:w="2610" w:type="dxa"/>
          </w:tcPr>
          <w:p w:rsidR="008B56BF" w:rsidRPr="002E0280" w:rsidRDefault="00A76B4F"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Recognition of the BAC in the UK</w:t>
            </w:r>
          </w:p>
        </w:tc>
        <w:tc>
          <w:tcPr>
            <w:tcW w:w="5547" w:type="dxa"/>
          </w:tcPr>
          <w:p w:rsidR="008B56BF" w:rsidRPr="002E0280" w:rsidRDefault="00912373" w:rsidP="00912373">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With the denunciation of the </w:t>
            </w:r>
            <w:r w:rsidR="00387056" w:rsidRPr="002E0280">
              <w:rPr>
                <w:color w:val="000000"/>
                <w:lang w:val="en-GB"/>
              </w:rPr>
              <w:t>Convention,</w:t>
            </w:r>
            <w:r w:rsidRPr="002E0280">
              <w:rPr>
                <w:color w:val="000000"/>
                <w:lang w:val="en-GB"/>
              </w:rPr>
              <w:t xml:space="preserve"> the BAC is no longer automatically </w:t>
            </w:r>
            <w:r w:rsidR="005C33AA" w:rsidRPr="002E0280">
              <w:rPr>
                <w:color w:val="000000"/>
                <w:lang w:val="en-GB"/>
              </w:rPr>
              <w:t>recognis</w:t>
            </w:r>
            <w:r w:rsidR="00700429" w:rsidRPr="002E0280">
              <w:rPr>
                <w:color w:val="000000"/>
                <w:lang w:val="en-GB"/>
              </w:rPr>
              <w:t>ed</w:t>
            </w:r>
            <w:r w:rsidRPr="002E0280">
              <w:rPr>
                <w:color w:val="000000"/>
                <w:lang w:val="en-GB"/>
              </w:rPr>
              <w:t xml:space="preserve"> in the UK.</w:t>
            </w:r>
          </w:p>
        </w:tc>
        <w:tc>
          <w:tcPr>
            <w:tcW w:w="3993" w:type="dxa"/>
          </w:tcPr>
          <w:p w:rsidR="008B56BF" w:rsidRPr="002E0280" w:rsidRDefault="00912373"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Recognition of the BAC could be part of a</w:t>
            </w:r>
            <w:r w:rsidR="00CF06A8" w:rsidRPr="002E0280">
              <w:rPr>
                <w:color w:val="000000"/>
                <w:lang w:val="en-GB"/>
              </w:rPr>
              <w:t xml:space="preserve">n ‘agreement’ </w:t>
            </w:r>
            <w:r w:rsidR="00391DCA" w:rsidRPr="002E0280">
              <w:rPr>
                <w:color w:val="000000"/>
                <w:lang w:val="en-GB"/>
              </w:rPr>
              <w:t xml:space="preserve"> </w:t>
            </w:r>
            <w:r w:rsidR="00CF06A8" w:rsidRPr="002E0280">
              <w:rPr>
                <w:color w:val="000000"/>
                <w:lang w:val="en-GB"/>
              </w:rPr>
              <w:t xml:space="preserve"> </w:t>
            </w:r>
            <w:r w:rsidR="00391DCA" w:rsidRPr="002E0280">
              <w:rPr>
                <w:color w:val="000000"/>
                <w:lang w:val="en-GB"/>
              </w:rPr>
              <w:t xml:space="preserve"> </w:t>
            </w:r>
          </w:p>
          <w:p w:rsidR="000C4DD5" w:rsidRPr="002E0280"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6D757C" w:rsidRPr="002E0280" w:rsidRDefault="006D757C"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62349" w:rsidRPr="002E0280" w:rsidRDefault="00162349"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CF06A8" w:rsidRPr="002E0280" w:rsidRDefault="00CF06A8"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Analysis of the ‘Convention on the Recognition of Qualifications concerning Higher Education in the European Region’.</w:t>
            </w:r>
            <w:r w:rsidR="000C4DD5" w:rsidRPr="002E0280">
              <w:rPr>
                <w:color w:val="000000"/>
                <w:lang w:val="en-GB"/>
              </w:rPr>
              <w:t xml:space="preserve"> First step: contact DG EAC by 10/2017</w:t>
            </w:r>
          </w:p>
          <w:p w:rsidR="000C4DD5" w:rsidRPr="002E0280"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C4DD5" w:rsidRPr="002E0280"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Define the role of UCAS coordinators</w:t>
            </w:r>
          </w:p>
          <w:p w:rsidR="00A14349" w:rsidRPr="002E0280" w:rsidRDefault="00A14349" w:rsidP="00A1434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lang w:val="en-GB"/>
              </w:rPr>
            </w:pPr>
          </w:p>
        </w:tc>
        <w:tc>
          <w:tcPr>
            <w:tcW w:w="1923" w:type="dxa"/>
          </w:tcPr>
          <w:p w:rsidR="006D757C" w:rsidRPr="002E0280"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Recognition </w:t>
            </w:r>
            <w:r w:rsidR="00050339" w:rsidRPr="002E0280">
              <w:rPr>
                <w:color w:val="000000"/>
                <w:lang w:val="en-GB"/>
              </w:rPr>
              <w:t>is</w:t>
            </w:r>
            <w:r w:rsidRPr="002E0280">
              <w:rPr>
                <w:color w:val="000000"/>
                <w:lang w:val="en-GB"/>
              </w:rPr>
              <w:t xml:space="preserve"> part of the ‘withdrawal agreement</w:t>
            </w:r>
            <w:r w:rsidR="00050339" w:rsidRPr="002E0280">
              <w:rPr>
                <w:color w:val="000000"/>
                <w:lang w:val="en-GB"/>
              </w:rPr>
              <w:t>’</w:t>
            </w:r>
          </w:p>
          <w:p w:rsidR="000373EC" w:rsidRPr="002E0280" w:rsidRDefault="000373E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E3D6C" w:rsidRPr="002E0280" w:rsidRDefault="000E3D6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C4DD5" w:rsidRPr="002E0280" w:rsidRDefault="00687E6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Outcome: </w:t>
            </w:r>
            <w:r w:rsidR="000373EC" w:rsidRPr="002E0280">
              <w:rPr>
                <w:color w:val="000000"/>
                <w:lang w:val="en-GB"/>
              </w:rPr>
              <w:t>The Convention of the Council of Europe does not help</w:t>
            </w:r>
          </w:p>
          <w:p w:rsidR="000C4DD5" w:rsidRPr="002E0280"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C4DD5" w:rsidRPr="002E0280"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r>
      <w:tr w:rsidR="00A76B4F" w:rsidRPr="002E0280" w:rsidTr="005C24F9">
        <w:tc>
          <w:tcPr>
            <w:tcW w:w="715" w:type="dxa"/>
          </w:tcPr>
          <w:p w:rsidR="00A76B4F" w:rsidRPr="002E0280"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6</w:t>
            </w:r>
          </w:p>
        </w:tc>
        <w:tc>
          <w:tcPr>
            <w:tcW w:w="2610" w:type="dxa"/>
          </w:tcPr>
          <w:p w:rsidR="00A76B4F" w:rsidRPr="002E0280" w:rsidRDefault="00A14349" w:rsidP="00A76B4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A</w:t>
            </w:r>
            <w:r w:rsidR="00A76B4F" w:rsidRPr="002E0280">
              <w:rPr>
                <w:b/>
                <w:color w:val="000000"/>
                <w:lang w:val="en-GB"/>
              </w:rPr>
              <w:t>ccreditation process of the Europa School</w:t>
            </w:r>
            <w:r w:rsidR="00162349" w:rsidRPr="002E0280">
              <w:rPr>
                <w:b/>
                <w:color w:val="000000"/>
                <w:lang w:val="en-GB"/>
              </w:rPr>
              <w:t xml:space="preserve"> UK,</w:t>
            </w:r>
            <w:r w:rsidR="00A76B4F" w:rsidRPr="002E0280">
              <w:rPr>
                <w:b/>
                <w:color w:val="000000"/>
                <w:lang w:val="en-GB"/>
              </w:rPr>
              <w:t xml:space="preserve"> Culham</w:t>
            </w:r>
          </w:p>
        </w:tc>
        <w:tc>
          <w:tcPr>
            <w:tcW w:w="5547" w:type="dxa"/>
          </w:tcPr>
          <w:p w:rsidR="00A76B4F" w:rsidRPr="002E0280" w:rsidRDefault="00A14349" w:rsidP="0076544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The accreditation process of the Europa School Culham might be influenced </w:t>
            </w:r>
            <w:r w:rsidR="00CF06A8" w:rsidRPr="002E0280">
              <w:rPr>
                <w:color w:val="000000"/>
                <w:lang w:val="en-GB"/>
              </w:rPr>
              <w:t>because</w:t>
            </w:r>
            <w:r w:rsidRPr="002E0280">
              <w:rPr>
                <w:color w:val="000000"/>
                <w:lang w:val="en-GB"/>
              </w:rPr>
              <w:t xml:space="preserve"> the school will no longer be located in an EU Member State</w:t>
            </w:r>
            <w:r w:rsidR="00CF06A8" w:rsidRPr="002E0280">
              <w:rPr>
                <w:color w:val="000000"/>
                <w:lang w:val="en-GB"/>
              </w:rPr>
              <w:t>.</w:t>
            </w:r>
            <w:r w:rsidRPr="002E0280">
              <w:rPr>
                <w:color w:val="000000"/>
                <w:lang w:val="en-GB"/>
              </w:rPr>
              <w:t xml:space="preserve"> </w:t>
            </w:r>
          </w:p>
        </w:tc>
        <w:tc>
          <w:tcPr>
            <w:tcW w:w="3993" w:type="dxa"/>
          </w:tcPr>
          <w:p w:rsidR="00A76B4F" w:rsidRPr="002E0280" w:rsidRDefault="00CF06A8" w:rsidP="007F4251">
            <w:pPr>
              <w:pStyle w:val="ListParagraph"/>
              <w:numPr>
                <w:ilvl w:val="0"/>
                <w:numId w:val="2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Legal clarification</w:t>
            </w:r>
            <w:r w:rsidR="000373EC" w:rsidRPr="002E0280">
              <w:rPr>
                <w:color w:val="000000"/>
                <w:lang w:val="en-GB"/>
              </w:rPr>
              <w:t xml:space="preserve"> by 12</w:t>
            </w:r>
            <w:r w:rsidR="000C4DD5" w:rsidRPr="002E0280">
              <w:rPr>
                <w:color w:val="000000"/>
                <w:lang w:val="en-GB"/>
              </w:rPr>
              <w:t>/2017</w:t>
            </w:r>
          </w:p>
          <w:p w:rsidR="000373EC" w:rsidRPr="002E0280" w:rsidRDefault="000373EC" w:rsidP="000373EC">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373EC" w:rsidRPr="002E0280" w:rsidRDefault="006D757C" w:rsidP="007F4251">
            <w:pPr>
              <w:pStyle w:val="ListParagraph"/>
              <w:numPr>
                <w:ilvl w:val="0"/>
                <w:numId w:val="2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lastRenderedPageBreak/>
              <w:t>Verify whether the c</w:t>
            </w:r>
            <w:r w:rsidR="000373EC" w:rsidRPr="002E0280">
              <w:rPr>
                <w:color w:val="000000"/>
                <w:lang w:val="en-GB"/>
              </w:rPr>
              <w:t xml:space="preserve">ooperation with the Europa School </w:t>
            </w:r>
            <w:r w:rsidRPr="002E0280">
              <w:rPr>
                <w:color w:val="000000"/>
                <w:lang w:val="en-GB"/>
              </w:rPr>
              <w:t xml:space="preserve">UK, </w:t>
            </w:r>
            <w:r w:rsidR="000373EC" w:rsidRPr="002E0280">
              <w:rPr>
                <w:color w:val="000000"/>
                <w:lang w:val="en-GB"/>
              </w:rPr>
              <w:t>Culham could be subject to a particular agreement</w:t>
            </w:r>
          </w:p>
          <w:p w:rsidR="002B18D5" w:rsidRPr="002E0280" w:rsidRDefault="002B18D5" w:rsidP="002B18D5">
            <w:pPr>
              <w:pStyle w:val="ListParagraph"/>
              <w:rPr>
                <w:color w:val="000000"/>
                <w:lang w:val="en-GB"/>
              </w:rPr>
            </w:pPr>
          </w:p>
          <w:p w:rsidR="002B18D5" w:rsidRPr="002E0280" w:rsidRDefault="002B18D5" w:rsidP="007F4251">
            <w:pPr>
              <w:pStyle w:val="ListParagraph"/>
              <w:numPr>
                <w:ilvl w:val="0"/>
                <w:numId w:val="2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Renewal of the Accreditation in time</w:t>
            </w:r>
          </w:p>
        </w:tc>
        <w:tc>
          <w:tcPr>
            <w:tcW w:w="1923" w:type="dxa"/>
          </w:tcPr>
          <w:p w:rsidR="002B18D5" w:rsidRPr="002E0280" w:rsidRDefault="006D757C" w:rsidP="002B18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lastRenderedPageBreak/>
              <w:t xml:space="preserve">Accreditation </w:t>
            </w:r>
            <w:r w:rsidR="00050339" w:rsidRPr="002E0280">
              <w:rPr>
                <w:color w:val="000000"/>
                <w:lang w:val="en-GB"/>
              </w:rPr>
              <w:t>is</w:t>
            </w:r>
            <w:r w:rsidRPr="002E0280">
              <w:rPr>
                <w:color w:val="000000"/>
                <w:lang w:val="en-GB"/>
              </w:rPr>
              <w:t xml:space="preserve"> addressed in the </w:t>
            </w:r>
            <w:r w:rsidR="00611D27" w:rsidRPr="002E0280">
              <w:rPr>
                <w:color w:val="000000"/>
                <w:lang w:val="en-GB"/>
              </w:rPr>
              <w:lastRenderedPageBreak/>
              <w:t>‘Withdrawal A</w:t>
            </w:r>
            <w:r w:rsidRPr="002E0280">
              <w:rPr>
                <w:color w:val="000000"/>
                <w:lang w:val="en-GB"/>
              </w:rPr>
              <w:t>greement’</w:t>
            </w:r>
            <w:r w:rsidR="002B18D5" w:rsidRPr="002E0280">
              <w:rPr>
                <w:color w:val="000000"/>
                <w:lang w:val="en-GB"/>
              </w:rPr>
              <w:t xml:space="preserve"> </w:t>
            </w:r>
          </w:p>
          <w:p w:rsidR="002B18D5" w:rsidRPr="002E0280" w:rsidRDefault="002B18D5" w:rsidP="002B18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Decision of the BoG in April 2019 to renew Accreditation</w:t>
            </w:r>
          </w:p>
          <w:p w:rsidR="002B18D5" w:rsidRPr="002E0280" w:rsidRDefault="002B18D5" w:rsidP="002B18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6 July 2019 renewal of the Accreditation</w:t>
            </w:r>
          </w:p>
          <w:p w:rsidR="006D757C" w:rsidRPr="002E0280" w:rsidRDefault="006D757C"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r>
    </w:tbl>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p>
    <w:p w:rsidR="00B37189" w:rsidRPr="002E0280" w:rsidRDefault="00B37189">
      <w:pPr>
        <w:spacing w:before="0" w:after="0"/>
        <w:jc w:val="left"/>
        <w:rPr>
          <w:b/>
          <w:color w:val="000000"/>
          <w:lang w:val="en-GB"/>
        </w:rPr>
        <w:sectPr w:rsidR="00B37189" w:rsidRPr="002E0280" w:rsidSect="008B56BF">
          <w:footerReference w:type="default" r:id="rId13"/>
          <w:footerReference w:type="first" r:id="rId14"/>
          <w:pgSz w:w="16838" w:h="11906" w:orient="landscape"/>
          <w:pgMar w:top="1587" w:right="1020" w:bottom="1466" w:left="1020" w:header="601" w:footer="1077" w:gutter="0"/>
          <w:cols w:space="720"/>
          <w:titlePg/>
          <w:docGrid w:linePitch="299"/>
        </w:sectPr>
      </w:pPr>
    </w:p>
    <w:p w:rsidR="00B058DF" w:rsidRPr="002E0280" w:rsidRDefault="0070584B" w:rsidP="00B058DF">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lang w:val="en-GB"/>
        </w:rPr>
      </w:pPr>
      <w:r>
        <w:rPr>
          <w:b/>
          <w:color w:val="000000"/>
          <w:lang w:val="en-GB"/>
        </w:rPr>
        <w:lastRenderedPageBreak/>
        <w:t xml:space="preserve">Annex </w:t>
      </w:r>
      <w:r w:rsidR="009802A4">
        <w:rPr>
          <w:b/>
          <w:color w:val="000000"/>
          <w:lang w:val="en-GB"/>
        </w:rPr>
        <w:t>V</w:t>
      </w: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lang w:val="en-GB"/>
        </w:rPr>
      </w:pP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 xml:space="preserve">Overview </w:t>
      </w:r>
      <w:r w:rsidR="00F644DA" w:rsidRPr="002E0280">
        <w:rPr>
          <w:b/>
          <w:color w:val="000000"/>
          <w:lang w:val="en-GB"/>
        </w:rPr>
        <w:t>‘</w:t>
      </w:r>
      <w:r w:rsidRPr="002E0280">
        <w:rPr>
          <w:b/>
          <w:color w:val="000000"/>
          <w:lang w:val="en-GB"/>
        </w:rPr>
        <w:t>Residence Permit</w:t>
      </w:r>
      <w:r w:rsidR="00F644DA" w:rsidRPr="002E0280">
        <w:rPr>
          <w:b/>
          <w:color w:val="000000"/>
          <w:lang w:val="en-GB"/>
        </w:rPr>
        <w:t>’</w:t>
      </w:r>
    </w:p>
    <w:p w:rsidR="008C3307" w:rsidRPr="002E0280" w:rsidRDefault="008C3307" w:rsidP="002E0280">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p>
    <w:tbl>
      <w:tblPr>
        <w:tblStyle w:val="TableGrid"/>
        <w:tblW w:w="0" w:type="auto"/>
        <w:tblLook w:val="04A0" w:firstRow="1" w:lastRow="0" w:firstColumn="1" w:lastColumn="0" w:noHBand="0" w:noVBand="1"/>
      </w:tblPr>
      <w:tblGrid>
        <w:gridCol w:w="2605"/>
        <w:gridCol w:w="6120"/>
        <w:gridCol w:w="6063"/>
      </w:tblGrid>
      <w:tr w:rsidR="008C3307" w:rsidRPr="00C31CB3" w:rsidTr="002E0280">
        <w:trPr>
          <w:trHeight w:val="2428"/>
        </w:trPr>
        <w:tc>
          <w:tcPr>
            <w:tcW w:w="260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Member States</w:t>
            </w:r>
          </w:p>
        </w:tc>
        <w:tc>
          <w:tcPr>
            <w:tcW w:w="6120"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 xml:space="preserve">Seconded Staff </w:t>
            </w:r>
          </w:p>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(until termination of the secondment)</w:t>
            </w:r>
          </w:p>
        </w:tc>
        <w:tc>
          <w:tcPr>
            <w:tcW w:w="6063"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Locally Recruited Staff</w:t>
            </w:r>
            <w:r w:rsidR="00E32534" w:rsidRPr="002E0280">
              <w:rPr>
                <w:b/>
                <w:color w:val="000000"/>
                <w:lang w:val="en-GB"/>
              </w:rPr>
              <w:t xml:space="preserve"> </w:t>
            </w:r>
          </w:p>
          <w:p w:rsidR="00E32534" w:rsidRPr="002E0280" w:rsidRDefault="00E32534" w:rsidP="00AE31C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p>
          <w:p w:rsidR="00E32534" w:rsidRPr="002E0280" w:rsidRDefault="00E32534" w:rsidP="00AE31C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An update of the residence rights in all hosting Member States can be found under the following link:</w:t>
            </w:r>
          </w:p>
          <w:p w:rsidR="00E32534" w:rsidRPr="002E0280" w:rsidRDefault="00B5129D" w:rsidP="002E0280">
            <w:pPr>
              <w:tabs>
                <w:tab w:val="left" w:pos="360"/>
                <w:tab w:val="left" w:pos="1440"/>
                <w:tab w:val="left" w:pos="360"/>
                <w:tab w:val="left" w:pos="1440"/>
                <w:tab w:val="left" w:pos="360"/>
                <w:tab w:val="left" w:pos="1440"/>
              </w:tabs>
              <w:spacing w:before="60" w:after="60"/>
              <w:jc w:val="center"/>
              <w:rPr>
                <w:rFonts w:eastAsia="Calibri" w:cs="Arial"/>
                <w:szCs w:val="24"/>
                <w:lang w:val="en-GB" w:eastAsia="en-US"/>
              </w:rPr>
            </w:pPr>
            <w:hyperlink r:id="rId15" w:history="1">
              <w:r w:rsidR="00E32534" w:rsidRPr="002E0280">
                <w:rPr>
                  <w:rStyle w:val="Hyperlink"/>
                  <w:rFonts w:eastAsia="Calibri" w:cs="Arial"/>
                  <w:sz w:val="24"/>
                  <w:szCs w:val="24"/>
                  <w:lang w:val="en-GB" w:eastAsia="en-US"/>
                </w:rPr>
                <w:t>https://ec.europa.eu/info/brexit/brexit-preparedness/citizens-rights_en</w:t>
              </w:r>
            </w:hyperlink>
            <w:r w:rsidR="00E32534" w:rsidRPr="002E0280">
              <w:rPr>
                <w:rFonts w:eastAsia="Calibri" w:cs="Arial"/>
                <w:szCs w:val="24"/>
                <w:lang w:val="en-GB" w:eastAsia="en-US"/>
              </w:rPr>
              <w:t>.</w:t>
            </w:r>
          </w:p>
        </w:tc>
      </w:tr>
      <w:tr w:rsidR="008C3307" w:rsidRPr="002E0280" w:rsidTr="002E0280">
        <w:tc>
          <w:tcPr>
            <w:tcW w:w="260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Belgium</w:t>
            </w:r>
          </w:p>
        </w:tc>
        <w:tc>
          <w:tcPr>
            <w:tcW w:w="6120" w:type="dxa"/>
          </w:tcPr>
          <w:p w:rsidR="008C3307" w:rsidRPr="002E0280" w:rsidRDefault="008C3307" w:rsidP="002E0280">
            <w:pPr>
              <w:jc w:val="center"/>
              <w:rPr>
                <w:rFonts w:cs="Arial"/>
                <w:b/>
                <w:i/>
                <w:szCs w:val="24"/>
                <w:lang w:val="en-GB"/>
              </w:rPr>
            </w:pPr>
            <w:r w:rsidRPr="002E0280">
              <w:rPr>
                <w:rFonts w:cs="Arial"/>
                <w:b/>
                <w:i/>
                <w:szCs w:val="24"/>
                <w:lang w:val="en-GB"/>
              </w:rPr>
              <w:t>Seat Agreement of 12 October 1962</w:t>
            </w:r>
          </w:p>
          <w:p w:rsidR="008C3307" w:rsidRPr="002E0280" w:rsidRDefault="008C3307" w:rsidP="00AE31CF">
            <w:pPr>
              <w:jc w:val="center"/>
              <w:rPr>
                <w:rFonts w:cs="Arial"/>
                <w:i/>
                <w:szCs w:val="24"/>
                <w:lang w:val="en-GB"/>
              </w:rPr>
            </w:pPr>
            <w:r w:rsidRPr="002E0280">
              <w:rPr>
                <w:rFonts w:cs="Arial"/>
                <w:i/>
                <w:szCs w:val="24"/>
                <w:lang w:val="en-GB"/>
              </w:rPr>
              <w:t>Article 7</w:t>
            </w:r>
          </w:p>
          <w:p w:rsidR="008C3307" w:rsidRPr="00556984" w:rsidRDefault="008C3307" w:rsidP="002E0280">
            <w:pPr>
              <w:spacing w:after="0"/>
              <w:rPr>
                <w:rFonts w:cs="Arial"/>
                <w:i/>
                <w:szCs w:val="24"/>
                <w:lang w:val="fr-BE"/>
              </w:rPr>
            </w:pPr>
            <w:r w:rsidRPr="00556984">
              <w:rPr>
                <w:rFonts w:cs="Arial"/>
                <w:i/>
                <w:szCs w:val="24"/>
                <w:lang w:val="fr-BE"/>
              </w:rPr>
              <w:t>Le Ministère des Affaires étrangères du Royaume de Belgique délivrera aux directeurs et aux membres du corps enseignant des Ecoles qui n’ont pas la nationalité belge, le permis séjour spécial établi conformément à l’arrêté royal du 6 décembre 1955, relatif au séjour en Belgique de certains étrangers privilégiés.</w:t>
            </w:r>
          </w:p>
          <w:p w:rsidR="008C3307" w:rsidRPr="00556984" w:rsidRDefault="008C3307" w:rsidP="00AE31CF">
            <w:pPr>
              <w:rPr>
                <w:rFonts w:cs="Arial"/>
                <w:i/>
                <w:szCs w:val="24"/>
                <w:lang w:val="fr-BE"/>
              </w:rPr>
            </w:pPr>
          </w:p>
          <w:p w:rsidR="008C3307" w:rsidRPr="00556984" w:rsidRDefault="008C3307" w:rsidP="00AE31CF">
            <w:pPr>
              <w:jc w:val="center"/>
              <w:rPr>
                <w:rFonts w:cs="Arial"/>
                <w:i/>
                <w:szCs w:val="24"/>
                <w:lang w:val="fr-BE"/>
              </w:rPr>
            </w:pPr>
            <w:r w:rsidRPr="00556984">
              <w:rPr>
                <w:rFonts w:cs="Arial"/>
                <w:i/>
                <w:szCs w:val="24"/>
                <w:lang w:val="fr-BE"/>
              </w:rPr>
              <w:t>Article 8</w:t>
            </w:r>
          </w:p>
          <w:p w:rsidR="008C3307" w:rsidRPr="00556984" w:rsidRDefault="008C3307" w:rsidP="00AE31CF">
            <w:pPr>
              <w:rPr>
                <w:rFonts w:cs="Arial"/>
                <w:i/>
                <w:szCs w:val="24"/>
                <w:lang w:val="fr-BE"/>
              </w:rPr>
            </w:pPr>
            <w:r w:rsidRPr="00556984">
              <w:rPr>
                <w:rFonts w:cs="Arial"/>
                <w:i/>
                <w:szCs w:val="24"/>
                <w:lang w:val="fr-BE"/>
              </w:rPr>
              <w:t>Sur le territoire belge, les directeurs, ainsi les membres du corps enseignant et le personnel administratif des Ecoles :</w:t>
            </w:r>
          </w:p>
          <w:p w:rsidR="008C3307" w:rsidRPr="00556984" w:rsidRDefault="008C3307" w:rsidP="002E0280">
            <w:pPr>
              <w:tabs>
                <w:tab w:val="left" w:pos="360"/>
                <w:tab w:val="left" w:pos="1440"/>
                <w:tab w:val="left" w:pos="360"/>
                <w:tab w:val="left" w:pos="1440"/>
                <w:tab w:val="left" w:pos="360"/>
                <w:tab w:val="left" w:pos="1440"/>
              </w:tabs>
              <w:rPr>
                <w:rFonts w:cs="Arial"/>
                <w:i/>
                <w:szCs w:val="24"/>
                <w:lang w:val="fr-BE"/>
              </w:rPr>
            </w:pPr>
            <w:r w:rsidRPr="00556984">
              <w:rPr>
                <w:rFonts w:cs="Arial"/>
                <w:i/>
                <w:szCs w:val="24"/>
                <w:lang w:val="fr-BE"/>
              </w:rPr>
              <w:t>a) ne si-ont pas soumis, non plus que leur conjoint et les membres de leur famille vivant à leur charge, aux dispositions limitant l’immigration et aux formalités d’enregistrement des étrangers ;</w:t>
            </w:r>
          </w:p>
        </w:tc>
        <w:tc>
          <w:tcPr>
            <w:tcW w:w="6063" w:type="dxa"/>
          </w:tcPr>
          <w:p w:rsidR="008C3307" w:rsidRPr="00556984" w:rsidRDefault="008C3307" w:rsidP="00AE31CF">
            <w:pPr>
              <w:tabs>
                <w:tab w:val="left" w:pos="360"/>
                <w:tab w:val="left" w:pos="1440"/>
                <w:tab w:val="left" w:pos="360"/>
                <w:tab w:val="left" w:pos="1440"/>
                <w:tab w:val="left" w:pos="360"/>
                <w:tab w:val="left" w:pos="1440"/>
              </w:tabs>
              <w:rPr>
                <w:rFonts w:cs="Arial"/>
                <w:lang w:val="fr-BE"/>
              </w:rPr>
            </w:pPr>
          </w:p>
        </w:tc>
      </w:tr>
    </w:tbl>
    <w:p w:rsidR="008C3307" w:rsidRPr="00556984" w:rsidRDefault="008C3307" w:rsidP="008C3307">
      <w:pPr>
        <w:rPr>
          <w:lang w:val="fr-BE"/>
        </w:rPr>
      </w:pPr>
    </w:p>
    <w:tbl>
      <w:tblPr>
        <w:tblStyle w:val="TableGrid"/>
        <w:tblW w:w="0" w:type="auto"/>
        <w:tblLook w:val="04A0" w:firstRow="1" w:lastRow="0" w:firstColumn="1" w:lastColumn="0" w:noHBand="0" w:noVBand="1"/>
      </w:tblPr>
      <w:tblGrid>
        <w:gridCol w:w="2605"/>
        <w:gridCol w:w="6210"/>
        <w:gridCol w:w="5973"/>
      </w:tblGrid>
      <w:tr w:rsidR="008C3307" w:rsidRPr="00C31CB3" w:rsidTr="002E0280">
        <w:tc>
          <w:tcPr>
            <w:tcW w:w="260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Germany</w:t>
            </w:r>
          </w:p>
        </w:tc>
        <w:tc>
          <w:tcPr>
            <w:tcW w:w="6210" w:type="dxa"/>
          </w:tcPr>
          <w:p w:rsidR="008C3307" w:rsidRPr="00556984" w:rsidRDefault="008C3307" w:rsidP="00AE31CF">
            <w:pPr>
              <w:jc w:val="center"/>
              <w:rPr>
                <w:rFonts w:cs="Arial"/>
                <w:b/>
                <w:szCs w:val="24"/>
                <w:lang w:val="de-DE"/>
              </w:rPr>
            </w:pPr>
            <w:r w:rsidRPr="00556984">
              <w:rPr>
                <w:rFonts w:cs="Arial"/>
                <w:b/>
                <w:szCs w:val="24"/>
                <w:lang w:val="de-DE"/>
              </w:rPr>
              <w:t>Sitzstaatabkommen zwischen der Regierung der Bundesrepublik Deutschland und dem Obersten Rat vom 21. Januar 1994</w:t>
            </w:r>
            <w:r w:rsidRPr="002E0280">
              <w:rPr>
                <w:rFonts w:cs="Arial"/>
                <w:b/>
                <w:szCs w:val="24"/>
                <w:vertAlign w:val="superscript"/>
                <w:lang w:val="en-GB"/>
              </w:rPr>
              <w:footnoteReference w:id="15"/>
            </w:r>
          </w:p>
          <w:p w:rsidR="008C3307" w:rsidRPr="00556984" w:rsidRDefault="008C3307" w:rsidP="00AE31CF">
            <w:pPr>
              <w:jc w:val="center"/>
              <w:rPr>
                <w:rFonts w:cs="Arial"/>
                <w:szCs w:val="24"/>
                <w:lang w:val="de-DE"/>
              </w:rPr>
            </w:pPr>
          </w:p>
          <w:p w:rsidR="008C3307" w:rsidRPr="00556984" w:rsidRDefault="008C3307" w:rsidP="00AE31CF">
            <w:pPr>
              <w:jc w:val="center"/>
              <w:rPr>
                <w:rFonts w:cs="Arial"/>
                <w:i/>
                <w:szCs w:val="24"/>
                <w:lang w:val="de-DE"/>
              </w:rPr>
            </w:pPr>
            <w:r w:rsidRPr="00556984">
              <w:rPr>
                <w:rFonts w:cs="Arial"/>
                <w:i/>
                <w:szCs w:val="24"/>
                <w:lang w:val="de-DE"/>
              </w:rPr>
              <w:t>Artikel 8</w:t>
            </w:r>
          </w:p>
          <w:p w:rsidR="008C3307" w:rsidRPr="00556984" w:rsidRDefault="008C3307" w:rsidP="00AE31CF">
            <w:pPr>
              <w:rPr>
                <w:rFonts w:cs="Arial"/>
                <w:i/>
                <w:szCs w:val="24"/>
                <w:lang w:val="de-DE"/>
              </w:rPr>
            </w:pPr>
            <w:r w:rsidRPr="00556984">
              <w:rPr>
                <w:rFonts w:cs="Arial"/>
                <w:i/>
                <w:szCs w:val="24"/>
                <w:lang w:val="de-DE"/>
              </w:rPr>
              <w:t>Die ausländischen Bediensteten der Schulen sowie die zu ihrem Haushalt gehörenden und von ihnen unterhaltenen Familienmitglieder unterliegen nicht dem Erfordernis einer Aufenthalserlaubnis. Die Bestimmungen über die allgemeine Meldepflicht nach den Meldegesetzen der Länder der Bundesrepublik Deutschland bleiben unberührt.</w:t>
            </w:r>
          </w:p>
          <w:p w:rsidR="008C3307" w:rsidRPr="00556984" w:rsidRDefault="008C3307" w:rsidP="00AE31CF">
            <w:pPr>
              <w:rPr>
                <w:rFonts w:cs="Arial"/>
                <w:i/>
                <w:szCs w:val="24"/>
                <w:lang w:val="de-DE"/>
              </w:rPr>
            </w:pPr>
          </w:p>
          <w:p w:rsidR="008C3307" w:rsidRPr="00556984" w:rsidRDefault="008C3307" w:rsidP="00AE31CF">
            <w:pPr>
              <w:rPr>
                <w:rFonts w:cs="Arial"/>
                <w:i/>
                <w:szCs w:val="24"/>
                <w:lang w:val="de-DE"/>
              </w:rPr>
            </w:pPr>
          </w:p>
          <w:p w:rsidR="008C3307" w:rsidRPr="00556984" w:rsidRDefault="008C3307" w:rsidP="00AE31CF">
            <w:pPr>
              <w:jc w:val="center"/>
              <w:rPr>
                <w:rFonts w:cs="Arial"/>
                <w:b/>
                <w:szCs w:val="24"/>
                <w:lang w:val="de-DE"/>
              </w:rPr>
            </w:pPr>
            <w:r w:rsidRPr="00556984">
              <w:rPr>
                <w:rFonts w:cs="Arial"/>
                <w:b/>
                <w:szCs w:val="24"/>
                <w:lang w:val="de-DE"/>
              </w:rPr>
              <w:t>Sitzstaatabkommen zwischen der Regierung der Bundesrepublik Deutschland und dem Obersten Rat vom 31. Juli 2002</w:t>
            </w:r>
            <w:r w:rsidRPr="002E0280">
              <w:rPr>
                <w:rFonts w:cs="Arial"/>
                <w:b/>
                <w:szCs w:val="24"/>
                <w:vertAlign w:val="superscript"/>
                <w:lang w:val="en-GB"/>
              </w:rPr>
              <w:footnoteReference w:id="16"/>
            </w:r>
          </w:p>
          <w:p w:rsidR="008C3307" w:rsidRPr="00556984" w:rsidRDefault="008C3307" w:rsidP="00AE31CF">
            <w:pPr>
              <w:jc w:val="center"/>
              <w:rPr>
                <w:rFonts w:cs="Arial"/>
                <w:i/>
                <w:szCs w:val="24"/>
                <w:lang w:val="de-DE"/>
              </w:rPr>
            </w:pPr>
          </w:p>
          <w:p w:rsidR="008C3307" w:rsidRPr="00556984" w:rsidRDefault="008C3307" w:rsidP="00AE31CF">
            <w:pPr>
              <w:jc w:val="center"/>
              <w:rPr>
                <w:rFonts w:cs="Arial"/>
                <w:i/>
                <w:szCs w:val="24"/>
                <w:lang w:val="de-DE"/>
              </w:rPr>
            </w:pPr>
            <w:r w:rsidRPr="00556984">
              <w:rPr>
                <w:rFonts w:cs="Arial"/>
                <w:i/>
                <w:szCs w:val="24"/>
                <w:lang w:val="de-DE"/>
              </w:rPr>
              <w:t>Artikel 8</w:t>
            </w:r>
          </w:p>
          <w:p w:rsidR="008C3307" w:rsidRPr="00556984" w:rsidRDefault="008C3307" w:rsidP="00AE31CF">
            <w:pPr>
              <w:jc w:val="center"/>
              <w:rPr>
                <w:rFonts w:cs="Arial"/>
                <w:b/>
                <w:i/>
                <w:szCs w:val="24"/>
                <w:lang w:val="de-DE"/>
              </w:rPr>
            </w:pPr>
            <w:r w:rsidRPr="00556984">
              <w:rPr>
                <w:rFonts w:cs="Arial"/>
                <w:i/>
                <w:szCs w:val="24"/>
                <w:lang w:val="de-DE"/>
              </w:rPr>
              <w:t>Das abgeordnete Personal der Schule sowie die zu ihrem Haushalt gehörenden und von ihnen unterhaltenen Familienmitglieder unterliegen nicht dem Erfordernis einer Aufenthalserlaubnis. Die Bestimmungen über die allgemeine Meldepflicht nach den Meldegesetzen der Länder der Bundesrepublik Deutschland bleiben unberührt.</w:t>
            </w:r>
          </w:p>
        </w:tc>
        <w:tc>
          <w:tcPr>
            <w:tcW w:w="5973" w:type="dxa"/>
          </w:tcPr>
          <w:p w:rsidR="008C3307" w:rsidRPr="00556984" w:rsidRDefault="008C3307" w:rsidP="00AE31CF">
            <w:pPr>
              <w:spacing w:before="100" w:beforeAutospacing="1" w:after="100" w:afterAutospacing="1"/>
              <w:rPr>
                <w:rFonts w:cs="Arial"/>
                <w:color w:val="222222"/>
                <w:sz w:val="15"/>
                <w:szCs w:val="15"/>
                <w:lang w:val="de-DE"/>
              </w:rPr>
            </w:pPr>
          </w:p>
          <w:p w:rsidR="008C3307" w:rsidRPr="00556984" w:rsidRDefault="008C3307" w:rsidP="00AE31CF">
            <w:pPr>
              <w:spacing w:before="100" w:beforeAutospacing="1" w:after="100" w:afterAutospacing="1"/>
              <w:rPr>
                <w:rFonts w:cs="Arial"/>
                <w:color w:val="222222"/>
                <w:sz w:val="15"/>
                <w:szCs w:val="15"/>
                <w:lang w:val="de-DE"/>
              </w:rPr>
            </w:pPr>
          </w:p>
          <w:p w:rsidR="008C3307" w:rsidRPr="00556984" w:rsidRDefault="008C3307" w:rsidP="00AE31CF">
            <w:pPr>
              <w:spacing w:before="100" w:beforeAutospacing="1" w:after="100" w:afterAutospacing="1"/>
              <w:rPr>
                <w:rFonts w:cs="Arial"/>
                <w:color w:val="222222"/>
                <w:sz w:val="15"/>
                <w:szCs w:val="15"/>
                <w:lang w:val="de-DE"/>
              </w:rPr>
            </w:pPr>
          </w:p>
          <w:p w:rsidR="008C3307" w:rsidRPr="00556984" w:rsidRDefault="008C3307" w:rsidP="00AE0542">
            <w:pPr>
              <w:spacing w:before="100" w:beforeAutospacing="1" w:after="100" w:afterAutospacing="1"/>
              <w:rPr>
                <w:rFonts w:cs="Arial"/>
                <w:b/>
                <w:bCs/>
                <w:lang w:val="de-DE"/>
              </w:rPr>
            </w:pPr>
          </w:p>
        </w:tc>
      </w:tr>
    </w:tbl>
    <w:p w:rsidR="008C3307" w:rsidRPr="00556984" w:rsidRDefault="008C3307" w:rsidP="008C3307">
      <w:pPr>
        <w:rPr>
          <w:lang w:val="de-DE"/>
        </w:rPr>
      </w:pPr>
    </w:p>
    <w:tbl>
      <w:tblPr>
        <w:tblStyle w:val="TableGrid"/>
        <w:tblW w:w="15025" w:type="dxa"/>
        <w:tblLayout w:type="fixed"/>
        <w:tblLook w:val="04A0" w:firstRow="1" w:lastRow="0" w:firstColumn="1" w:lastColumn="0" w:noHBand="0" w:noVBand="1"/>
      </w:tblPr>
      <w:tblGrid>
        <w:gridCol w:w="2785"/>
        <w:gridCol w:w="5760"/>
        <w:gridCol w:w="6480"/>
      </w:tblGrid>
      <w:tr w:rsidR="008C3307" w:rsidRPr="002E0280" w:rsidTr="00AE31CF">
        <w:trPr>
          <w:trHeight w:val="7231"/>
        </w:trPr>
        <w:tc>
          <w:tcPr>
            <w:tcW w:w="278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2E0280">
              <w:rPr>
                <w:b/>
                <w:color w:val="000000"/>
                <w:lang w:val="en-GB"/>
              </w:rPr>
              <w:t>Italy</w:t>
            </w:r>
          </w:p>
        </w:tc>
        <w:tc>
          <w:tcPr>
            <w:tcW w:w="5760" w:type="dxa"/>
          </w:tcPr>
          <w:p w:rsidR="008C3307" w:rsidRPr="002E0280" w:rsidRDefault="008C3307" w:rsidP="00AE31CF">
            <w:pPr>
              <w:jc w:val="center"/>
              <w:rPr>
                <w:rFonts w:cs="Arial"/>
                <w:b/>
                <w:szCs w:val="24"/>
                <w:lang w:val="en-GB"/>
              </w:rPr>
            </w:pPr>
            <w:r w:rsidRPr="002E0280">
              <w:rPr>
                <w:rFonts w:cs="Arial"/>
                <w:b/>
                <w:szCs w:val="24"/>
                <w:lang w:val="en-GB"/>
              </w:rPr>
              <w:t>Seat Agreement between the Republic of Italy and the Board of Governors of September 1963</w:t>
            </w:r>
          </w:p>
          <w:p w:rsidR="008C3307" w:rsidRPr="002E0280" w:rsidRDefault="008C3307" w:rsidP="00AE31CF">
            <w:pPr>
              <w:jc w:val="center"/>
              <w:rPr>
                <w:rFonts w:cs="Arial"/>
                <w:szCs w:val="24"/>
                <w:lang w:val="en-GB"/>
              </w:rPr>
            </w:pPr>
          </w:p>
          <w:p w:rsidR="008C3307" w:rsidRPr="00556984" w:rsidRDefault="008C3307" w:rsidP="00AE31CF">
            <w:pPr>
              <w:jc w:val="center"/>
              <w:rPr>
                <w:rFonts w:cs="Arial"/>
                <w:szCs w:val="24"/>
                <w:lang w:val="fr-BE"/>
              </w:rPr>
            </w:pPr>
            <w:r w:rsidRPr="00556984">
              <w:rPr>
                <w:rFonts w:cs="Arial"/>
                <w:szCs w:val="24"/>
                <w:lang w:val="fr-BE"/>
              </w:rPr>
              <w:t>Article 7</w:t>
            </w:r>
          </w:p>
          <w:p w:rsidR="008C3307" w:rsidRPr="00556984" w:rsidRDefault="008C3307" w:rsidP="00AE31CF">
            <w:pPr>
              <w:rPr>
                <w:rFonts w:cs="Arial"/>
                <w:i/>
                <w:szCs w:val="24"/>
                <w:lang w:val="fr-BE"/>
              </w:rPr>
            </w:pPr>
            <w:r w:rsidRPr="00556984">
              <w:rPr>
                <w:rFonts w:cs="Arial"/>
                <w:i/>
                <w:szCs w:val="24"/>
                <w:lang w:val="fr-BE"/>
              </w:rPr>
              <w:t>Le Ministère des Affaires Etrangères délivrera au directeur et aux membres du corps enseignant ainsi qu’au personnel administratif de l’Ecole n’ayant pas la nationalité italienne une carte de séjour spéciale.</w:t>
            </w:r>
          </w:p>
          <w:p w:rsidR="008C3307" w:rsidRPr="00556984" w:rsidRDefault="008C3307" w:rsidP="00AE31CF">
            <w:pPr>
              <w:rPr>
                <w:rFonts w:cs="Arial"/>
                <w:i/>
                <w:szCs w:val="24"/>
                <w:lang w:val="fr-BE"/>
              </w:rPr>
            </w:pPr>
          </w:p>
        </w:tc>
        <w:tc>
          <w:tcPr>
            <w:tcW w:w="6480" w:type="dxa"/>
          </w:tcPr>
          <w:p w:rsidR="008C3307" w:rsidRPr="00556984" w:rsidRDefault="008C3307" w:rsidP="00AE0542">
            <w:pPr>
              <w:rPr>
                <w:rFonts w:cs="Arial"/>
                <w:szCs w:val="24"/>
                <w:lang w:val="fr-BE"/>
              </w:rPr>
            </w:pPr>
          </w:p>
        </w:tc>
      </w:tr>
    </w:tbl>
    <w:p w:rsidR="008C3307" w:rsidRPr="00556984" w:rsidRDefault="008C3307" w:rsidP="008C3307">
      <w:pPr>
        <w:rPr>
          <w:lang w:val="fr-BE"/>
        </w:rPr>
      </w:pPr>
      <w:r w:rsidRPr="00556984">
        <w:rPr>
          <w:lang w:val="fr-BE"/>
        </w:rPr>
        <w:br w:type="page"/>
      </w:r>
    </w:p>
    <w:p w:rsidR="008C3307" w:rsidRPr="00556984" w:rsidRDefault="008C3307" w:rsidP="008C3307">
      <w:pPr>
        <w:rPr>
          <w:lang w:val="fr-BE"/>
        </w:rPr>
      </w:pPr>
    </w:p>
    <w:tbl>
      <w:tblPr>
        <w:tblStyle w:val="TableGrid"/>
        <w:tblW w:w="15025" w:type="dxa"/>
        <w:tblLayout w:type="fixed"/>
        <w:tblLook w:val="04A0" w:firstRow="1" w:lastRow="0" w:firstColumn="1" w:lastColumn="0" w:noHBand="0" w:noVBand="1"/>
      </w:tblPr>
      <w:tblGrid>
        <w:gridCol w:w="2785"/>
        <w:gridCol w:w="5760"/>
        <w:gridCol w:w="6480"/>
      </w:tblGrid>
      <w:tr w:rsidR="008C3307" w:rsidRPr="00C31CB3" w:rsidTr="00AE31CF">
        <w:tc>
          <w:tcPr>
            <w:tcW w:w="278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2E0280">
              <w:rPr>
                <w:b/>
                <w:color w:val="000000"/>
                <w:lang w:val="en-GB"/>
              </w:rPr>
              <w:t>Luxembourg</w:t>
            </w:r>
          </w:p>
        </w:tc>
        <w:tc>
          <w:tcPr>
            <w:tcW w:w="5760" w:type="dxa"/>
          </w:tcPr>
          <w:p w:rsidR="008C3307" w:rsidRPr="002E0280" w:rsidRDefault="008C3307" w:rsidP="00AE31CF">
            <w:pPr>
              <w:jc w:val="center"/>
              <w:rPr>
                <w:rFonts w:cs="Arial"/>
                <w:b/>
                <w:szCs w:val="24"/>
                <w:lang w:val="en-GB"/>
              </w:rPr>
            </w:pPr>
            <w:r w:rsidRPr="002E0280">
              <w:rPr>
                <w:rFonts w:cs="Arial"/>
                <w:b/>
                <w:szCs w:val="24"/>
                <w:lang w:val="en-GB"/>
              </w:rPr>
              <w:t>Seat Agreement between the Government of the Grand Duchy of Luxembourg and the Board of Governors of 13 October 1971</w:t>
            </w:r>
          </w:p>
          <w:p w:rsidR="008C3307" w:rsidRPr="002E0280" w:rsidRDefault="008C3307" w:rsidP="00AE31CF">
            <w:pPr>
              <w:jc w:val="center"/>
              <w:rPr>
                <w:rFonts w:cs="Arial"/>
                <w:szCs w:val="24"/>
                <w:lang w:val="en-GB"/>
              </w:rPr>
            </w:pPr>
          </w:p>
          <w:p w:rsidR="008C3307" w:rsidRPr="002E0280" w:rsidRDefault="008C3307" w:rsidP="00AE31CF">
            <w:pPr>
              <w:jc w:val="center"/>
              <w:rPr>
                <w:rFonts w:cs="Arial"/>
                <w:i/>
                <w:szCs w:val="24"/>
                <w:lang w:val="en-GB"/>
              </w:rPr>
            </w:pPr>
            <w:r w:rsidRPr="002E0280">
              <w:rPr>
                <w:rFonts w:cs="Arial"/>
                <w:i/>
                <w:szCs w:val="24"/>
                <w:lang w:val="en-GB"/>
              </w:rPr>
              <w:t>Article 7</w:t>
            </w:r>
          </w:p>
          <w:p w:rsidR="008C3307" w:rsidRPr="002E0280" w:rsidRDefault="008C3307" w:rsidP="00AE31CF">
            <w:pPr>
              <w:rPr>
                <w:rFonts w:cs="Arial"/>
                <w:i/>
                <w:szCs w:val="24"/>
                <w:lang w:val="en-GB"/>
              </w:rPr>
            </w:pPr>
            <w:r w:rsidRPr="002E0280">
              <w:rPr>
                <w:rFonts w:cs="Arial"/>
                <w:i/>
                <w:szCs w:val="24"/>
                <w:lang w:val="en-GB"/>
              </w:rPr>
              <w:t>The Heads and the members of the teaching staff of the School who do not have Luxembourg nationality shall qualify for the special conditions established for the residence in the Grand Duchy of Luxembourg of certain privileged aliens.</w:t>
            </w:r>
          </w:p>
          <w:p w:rsidR="008C3307" w:rsidRPr="002E0280" w:rsidRDefault="008C3307" w:rsidP="00AE31CF">
            <w:pPr>
              <w:rPr>
                <w:rFonts w:cs="Arial"/>
                <w:szCs w:val="24"/>
                <w:lang w:val="en-GB"/>
              </w:rPr>
            </w:pPr>
          </w:p>
          <w:p w:rsidR="008C3307" w:rsidRPr="002E0280" w:rsidRDefault="008C3307" w:rsidP="00AE31CF">
            <w:pPr>
              <w:jc w:val="center"/>
              <w:rPr>
                <w:rFonts w:cs="Arial"/>
                <w:i/>
                <w:szCs w:val="24"/>
                <w:lang w:val="en-GB"/>
              </w:rPr>
            </w:pPr>
            <w:r w:rsidRPr="002E0280">
              <w:rPr>
                <w:rFonts w:cs="Arial"/>
                <w:i/>
                <w:szCs w:val="24"/>
                <w:lang w:val="en-GB"/>
              </w:rPr>
              <w:t>Article 8</w:t>
            </w:r>
          </w:p>
          <w:p w:rsidR="008C3307" w:rsidRPr="002E0280" w:rsidRDefault="008C3307" w:rsidP="00AE31CF">
            <w:pPr>
              <w:rPr>
                <w:rFonts w:cs="Arial"/>
                <w:i/>
                <w:szCs w:val="24"/>
                <w:lang w:val="en-GB"/>
              </w:rPr>
            </w:pPr>
            <w:r w:rsidRPr="002E0280">
              <w:rPr>
                <w:rFonts w:cs="Arial"/>
                <w:i/>
                <w:szCs w:val="24"/>
                <w:lang w:val="en-GB"/>
              </w:rPr>
              <w:t>In the territory of the Grand Duchy of Luxembourg, the Representative of the Board of Governors, his staff, the Heads and the members of the teaching staff and the administrative staff of the School shall:</w:t>
            </w:r>
          </w:p>
          <w:p w:rsidR="008C3307" w:rsidRPr="002E0280" w:rsidRDefault="008C3307" w:rsidP="00AE31CF">
            <w:pPr>
              <w:rPr>
                <w:rFonts w:cs="Arial"/>
                <w:i/>
                <w:szCs w:val="24"/>
                <w:lang w:val="en-GB"/>
              </w:rPr>
            </w:pPr>
          </w:p>
          <w:p w:rsidR="008C3307" w:rsidRPr="002E0280" w:rsidRDefault="008C3307" w:rsidP="00AE31CF">
            <w:pPr>
              <w:rPr>
                <w:rFonts w:cs="Arial"/>
                <w:szCs w:val="24"/>
                <w:lang w:val="en-GB"/>
              </w:rPr>
            </w:pPr>
            <w:r w:rsidRPr="002E0280">
              <w:rPr>
                <w:rFonts w:cs="Arial"/>
                <w:i/>
                <w:szCs w:val="24"/>
                <w:lang w:val="en-GB"/>
              </w:rPr>
              <w:t>(a)</w:t>
            </w:r>
            <w:r w:rsidRPr="002E0280">
              <w:rPr>
                <w:rFonts w:cs="Arial"/>
                <w:i/>
                <w:szCs w:val="24"/>
                <w:lang w:val="en-GB"/>
              </w:rPr>
              <w:tab/>
              <w:t>together with their spouses and dependent members of their families, not be subject to immigration restrictions or to formalities for registration of aliens;</w:t>
            </w:r>
          </w:p>
        </w:tc>
        <w:tc>
          <w:tcPr>
            <w:tcW w:w="6480" w:type="dxa"/>
          </w:tcPr>
          <w:p w:rsidR="008C3307" w:rsidRPr="002E0280" w:rsidRDefault="008C3307" w:rsidP="00AE31CF">
            <w:pPr>
              <w:rPr>
                <w:rFonts w:cs="Arial"/>
                <w:color w:val="1F497D"/>
                <w:szCs w:val="24"/>
                <w:lang w:val="en-GB"/>
              </w:rPr>
            </w:pPr>
          </w:p>
        </w:tc>
      </w:tr>
    </w:tbl>
    <w:p w:rsidR="008C3307" w:rsidRPr="002E0280" w:rsidRDefault="008C3307" w:rsidP="008C3307">
      <w:pPr>
        <w:rPr>
          <w:lang w:val="en-GB"/>
        </w:rPr>
      </w:pPr>
      <w:r w:rsidRPr="002E0280">
        <w:rPr>
          <w:lang w:val="en-GB"/>
        </w:rPr>
        <w:br w:type="page"/>
      </w:r>
    </w:p>
    <w:tbl>
      <w:tblPr>
        <w:tblStyle w:val="TableGrid"/>
        <w:tblW w:w="15025" w:type="dxa"/>
        <w:tblLayout w:type="fixed"/>
        <w:tblLook w:val="04A0" w:firstRow="1" w:lastRow="0" w:firstColumn="1" w:lastColumn="0" w:noHBand="0" w:noVBand="1"/>
      </w:tblPr>
      <w:tblGrid>
        <w:gridCol w:w="2785"/>
        <w:gridCol w:w="5760"/>
        <w:gridCol w:w="6480"/>
      </w:tblGrid>
      <w:tr w:rsidR="008C3307" w:rsidRPr="00C31CB3" w:rsidTr="00AE31CF">
        <w:tc>
          <w:tcPr>
            <w:tcW w:w="278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2E0280">
              <w:rPr>
                <w:b/>
                <w:color w:val="000000"/>
                <w:lang w:val="en-GB"/>
              </w:rPr>
              <w:lastRenderedPageBreak/>
              <w:t>Netherlands</w:t>
            </w:r>
          </w:p>
        </w:tc>
        <w:tc>
          <w:tcPr>
            <w:tcW w:w="5760" w:type="dxa"/>
          </w:tcPr>
          <w:p w:rsidR="008C3307" w:rsidRPr="002E0280" w:rsidRDefault="008C3307" w:rsidP="00AE31CF">
            <w:pPr>
              <w:jc w:val="center"/>
              <w:rPr>
                <w:rFonts w:cs="Arial"/>
                <w:szCs w:val="24"/>
                <w:lang w:val="en-GB"/>
              </w:rPr>
            </w:pPr>
            <w:r w:rsidRPr="002E0280">
              <w:rPr>
                <w:rFonts w:cs="Arial"/>
                <w:b/>
                <w:szCs w:val="24"/>
                <w:lang w:val="en-GB"/>
              </w:rPr>
              <w:t>Seat Agreement between the Netherlands and the Board of Governors</w:t>
            </w:r>
            <w:r w:rsidRPr="002E0280">
              <w:rPr>
                <w:rFonts w:cs="Arial"/>
                <w:szCs w:val="24"/>
                <w:lang w:val="en-GB"/>
              </w:rPr>
              <w:t xml:space="preserve"> o</w:t>
            </w:r>
          </w:p>
        </w:tc>
        <w:tc>
          <w:tcPr>
            <w:tcW w:w="6480" w:type="dxa"/>
          </w:tcPr>
          <w:p w:rsidR="008C3307" w:rsidRPr="002E0280" w:rsidRDefault="008C3307" w:rsidP="00AE31CF">
            <w:pPr>
              <w:spacing w:line="360" w:lineRule="auto"/>
              <w:rPr>
                <w:rFonts w:cs="Arial"/>
                <w:szCs w:val="24"/>
                <w:lang w:val="en-GB"/>
              </w:rPr>
            </w:pPr>
          </w:p>
        </w:tc>
      </w:tr>
    </w:tbl>
    <w:p w:rsidR="008C3307" w:rsidRPr="002E0280" w:rsidRDefault="008C3307" w:rsidP="008C3307">
      <w:pPr>
        <w:rPr>
          <w:lang w:val="en-GB"/>
        </w:rPr>
      </w:pPr>
      <w:r w:rsidRPr="002E0280">
        <w:rPr>
          <w:lang w:val="en-GB"/>
        </w:rPr>
        <w:br w:type="page"/>
      </w:r>
    </w:p>
    <w:tbl>
      <w:tblPr>
        <w:tblStyle w:val="TableGrid"/>
        <w:tblW w:w="15025" w:type="dxa"/>
        <w:tblLayout w:type="fixed"/>
        <w:tblLook w:val="04A0" w:firstRow="1" w:lastRow="0" w:firstColumn="1" w:lastColumn="0" w:noHBand="0" w:noVBand="1"/>
      </w:tblPr>
      <w:tblGrid>
        <w:gridCol w:w="2785"/>
        <w:gridCol w:w="5760"/>
        <w:gridCol w:w="6480"/>
      </w:tblGrid>
      <w:tr w:rsidR="008C3307" w:rsidRPr="002E0280" w:rsidTr="00AE31CF">
        <w:tc>
          <w:tcPr>
            <w:tcW w:w="278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2E0280">
              <w:rPr>
                <w:b/>
                <w:color w:val="000000"/>
                <w:lang w:val="en-GB"/>
              </w:rPr>
              <w:lastRenderedPageBreak/>
              <w:t>Spain</w:t>
            </w:r>
          </w:p>
        </w:tc>
        <w:tc>
          <w:tcPr>
            <w:tcW w:w="5760" w:type="dxa"/>
          </w:tcPr>
          <w:p w:rsidR="008C3307" w:rsidRPr="002E0280" w:rsidRDefault="008C3307" w:rsidP="00AE31CF">
            <w:pPr>
              <w:keepNext/>
              <w:jc w:val="center"/>
              <w:outlineLvl w:val="1"/>
              <w:rPr>
                <w:b/>
                <w:lang w:val="en-GB"/>
              </w:rPr>
            </w:pPr>
            <w:r w:rsidRPr="002E0280">
              <w:rPr>
                <w:b/>
                <w:lang w:val="en-GB"/>
              </w:rPr>
              <w:t>Seat Agreement between Spain and the Board of Governors</w:t>
            </w:r>
          </w:p>
          <w:p w:rsidR="008C3307" w:rsidRPr="002E0280" w:rsidRDefault="008C3307" w:rsidP="00AE31CF">
            <w:pPr>
              <w:keepNext/>
              <w:jc w:val="center"/>
              <w:outlineLvl w:val="1"/>
              <w:rPr>
                <w:lang w:val="en-GB"/>
              </w:rPr>
            </w:pPr>
          </w:p>
          <w:p w:rsidR="008C3307" w:rsidRPr="00556984" w:rsidRDefault="008C3307" w:rsidP="00AE31CF">
            <w:pPr>
              <w:keepNext/>
              <w:jc w:val="center"/>
              <w:outlineLvl w:val="1"/>
              <w:rPr>
                <w:i/>
                <w:lang w:val="fr-BE"/>
              </w:rPr>
            </w:pPr>
            <w:r w:rsidRPr="00556984">
              <w:rPr>
                <w:i/>
                <w:lang w:val="fr-BE"/>
              </w:rPr>
              <w:t>Artículo 5</w:t>
            </w:r>
          </w:p>
          <w:p w:rsidR="008C3307" w:rsidRPr="00556984" w:rsidRDefault="008C3307" w:rsidP="00AE31CF">
            <w:pPr>
              <w:keepNext/>
              <w:outlineLvl w:val="1"/>
              <w:rPr>
                <w:i/>
                <w:lang w:val="fr-BE"/>
              </w:rPr>
            </w:pPr>
            <w:r w:rsidRPr="00556984">
              <w:rPr>
                <w:i/>
                <w:lang w:val="fr-BE"/>
              </w:rPr>
              <w:t xml:space="preserve">Los Directores, los miembros del personal docente y el Administrador, destinados a la Escuela por los Estados miembros: </w:t>
            </w:r>
          </w:p>
          <w:p w:rsidR="008C3307" w:rsidRPr="00556984" w:rsidRDefault="008C3307" w:rsidP="00AE31CF">
            <w:pPr>
              <w:keepNext/>
              <w:outlineLvl w:val="1"/>
              <w:rPr>
                <w:i/>
                <w:lang w:val="fr-BE"/>
              </w:rPr>
            </w:pPr>
          </w:p>
          <w:p w:rsidR="008C3307" w:rsidRPr="00556984" w:rsidRDefault="008C3307" w:rsidP="00AE31CF">
            <w:pPr>
              <w:keepNext/>
              <w:outlineLvl w:val="1"/>
              <w:rPr>
                <w:i/>
                <w:lang w:val="fr-BE"/>
              </w:rPr>
            </w:pPr>
            <w:r w:rsidRPr="00556984">
              <w:rPr>
                <w:i/>
                <w:lang w:val="fr-BE"/>
              </w:rPr>
              <w:t>-</w:t>
            </w:r>
            <w:r w:rsidRPr="00556984">
              <w:rPr>
                <w:i/>
                <w:lang w:val="fr-BE"/>
              </w:rPr>
              <w:tab/>
              <w:t>No estarán sometidos, al igual que su cónyuge o los miembros de su familia que vivan a su cargo, a las disposiciones limitativas de la inmigración y a las formalidades de registro de extranjeros cuando sean ciudadanos de la Unión Europea.</w:t>
            </w:r>
          </w:p>
        </w:tc>
        <w:tc>
          <w:tcPr>
            <w:tcW w:w="6480" w:type="dxa"/>
          </w:tcPr>
          <w:p w:rsidR="008C3307" w:rsidRPr="00556984" w:rsidRDefault="008C3307" w:rsidP="00AE31CF">
            <w:pPr>
              <w:keepNext/>
              <w:ind w:firstLine="708"/>
              <w:jc w:val="center"/>
              <w:outlineLvl w:val="1"/>
              <w:rPr>
                <w:b/>
                <w:lang w:val="fr-BE"/>
              </w:rPr>
            </w:pPr>
          </w:p>
        </w:tc>
      </w:tr>
    </w:tbl>
    <w:p w:rsidR="008C3307" w:rsidRPr="00556984" w:rsidRDefault="008C3307" w:rsidP="008C3307">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fr-BE"/>
        </w:rPr>
      </w:pPr>
    </w:p>
    <w:sectPr w:rsidR="008C3307" w:rsidRPr="00556984" w:rsidSect="00B37189">
      <w:pgSz w:w="16838" w:h="11906" w:orient="landscape"/>
      <w:pgMar w:top="1135" w:right="1020" w:bottom="1466" w:left="1020"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70" w:rsidRDefault="00FF1270">
      <w:r>
        <w:separator/>
      </w:r>
    </w:p>
  </w:endnote>
  <w:endnote w:type="continuationSeparator" w:id="0">
    <w:p w:rsidR="00FF1270" w:rsidRDefault="00FF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Arial Unicode MS"/>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70" w:rsidRDefault="00FF1270" w:rsidP="00A7556C">
    <w:pPr>
      <w:pStyle w:val="Footer"/>
      <w:pBdr>
        <w:top w:val="single" w:sz="4" w:space="1" w:color="auto"/>
      </w:pBdr>
      <w:tabs>
        <w:tab w:val="left" w:pos="8460"/>
      </w:tabs>
      <w:ind w:right="-29"/>
    </w:pPr>
    <w:r>
      <w:t>2019-12-D-26-en-3</w:t>
    </w:r>
    <w:r>
      <w:tab/>
    </w:r>
    <w:r>
      <w:rPr>
        <w:rStyle w:val="PageNumber"/>
      </w:rPr>
      <w:fldChar w:fldCharType="begin"/>
    </w:r>
    <w:r>
      <w:rPr>
        <w:rStyle w:val="PageNumber"/>
      </w:rPr>
      <w:instrText xml:space="preserve"> PAGE </w:instrText>
    </w:r>
    <w:r>
      <w:rPr>
        <w:rStyle w:val="PageNumber"/>
      </w:rPr>
      <w:fldChar w:fldCharType="separate"/>
    </w:r>
    <w:r w:rsidR="00CC3D1B">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3D1B">
      <w:rPr>
        <w:rStyle w:val="PageNumber"/>
        <w:noProof/>
      </w:rPr>
      <w:t>30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70" w:rsidRDefault="00FF1270">
    <w:pPr>
      <w:pStyle w:val="Footer"/>
      <w:pBdr>
        <w:top w:val="single" w:sz="4" w:space="1" w:color="auto"/>
      </w:pBdr>
      <w:tabs>
        <w:tab w:val="center" w:pos="4253"/>
        <w:tab w:val="left" w:pos="8222"/>
      </w:tabs>
      <w:ind w:right="-29"/>
      <w:rPr>
        <w:rStyle w:val="PageNumber"/>
      </w:rPr>
    </w:pPr>
    <w:r>
      <w:t>2019-12-D-26-en-3</w:t>
    </w:r>
    <w:r>
      <w:tab/>
    </w:r>
    <w:r>
      <w:tab/>
    </w:r>
    <w:r>
      <w:rPr>
        <w:rStyle w:val="PageNumber"/>
      </w:rPr>
      <w:fldChar w:fldCharType="begin"/>
    </w:r>
    <w:r>
      <w:rPr>
        <w:rStyle w:val="PageNumber"/>
      </w:rPr>
      <w:instrText xml:space="preserve"> PAGE </w:instrText>
    </w:r>
    <w:r>
      <w:rPr>
        <w:rStyle w:val="PageNumber"/>
      </w:rPr>
      <w:fldChar w:fldCharType="separate"/>
    </w:r>
    <w:r w:rsidR="00C31CB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1CB3">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70" w:rsidRDefault="00FF1270" w:rsidP="00A7556C">
    <w:pPr>
      <w:pStyle w:val="Footer"/>
      <w:pBdr>
        <w:top w:val="single" w:sz="4" w:space="1" w:color="auto"/>
      </w:pBdr>
      <w:tabs>
        <w:tab w:val="left" w:pos="8460"/>
      </w:tabs>
      <w:ind w:right="-29"/>
    </w:pPr>
    <w:r>
      <w:t>2019-12-D-26-en-2</w:t>
    </w:r>
    <w:r>
      <w:tab/>
    </w:r>
    <w:r>
      <w:rPr>
        <w:rStyle w:val="PageNumber"/>
      </w:rPr>
      <w:fldChar w:fldCharType="begin"/>
    </w:r>
    <w:r>
      <w:rPr>
        <w:rStyle w:val="PageNumber"/>
      </w:rPr>
      <w:instrText xml:space="preserve"> PAGE </w:instrText>
    </w:r>
    <w:r>
      <w:rPr>
        <w:rStyle w:val="PageNumber"/>
      </w:rPr>
      <w:fldChar w:fldCharType="separate"/>
    </w:r>
    <w:r w:rsidR="00CC3D1B">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3D1B">
      <w:rPr>
        <w:rStyle w:val="PageNumber"/>
        <w:noProof/>
      </w:rPr>
      <w:t>30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70" w:rsidRDefault="00FF1270">
    <w:pPr>
      <w:pStyle w:val="Footer"/>
      <w:pBdr>
        <w:top w:val="single" w:sz="4" w:space="1" w:color="auto"/>
      </w:pBdr>
      <w:tabs>
        <w:tab w:val="center" w:pos="4253"/>
        <w:tab w:val="left" w:pos="8222"/>
      </w:tabs>
      <w:ind w:right="-29"/>
      <w:rPr>
        <w:rStyle w:val="PageNumber"/>
      </w:rPr>
    </w:pPr>
    <w:r>
      <w:t>2019-12-D-26-en-2</w:t>
    </w:r>
    <w:r>
      <w:tab/>
    </w:r>
    <w:r>
      <w:tab/>
    </w:r>
    <w:r>
      <w:rPr>
        <w:rStyle w:val="PageNumber"/>
      </w:rPr>
      <w:fldChar w:fldCharType="begin"/>
    </w:r>
    <w:r>
      <w:rPr>
        <w:rStyle w:val="PageNumber"/>
      </w:rPr>
      <w:instrText xml:space="preserve"> PAGE </w:instrText>
    </w:r>
    <w:r>
      <w:rPr>
        <w:rStyle w:val="PageNumber"/>
      </w:rPr>
      <w:fldChar w:fldCharType="separate"/>
    </w:r>
    <w:r w:rsidR="00CC3D1B">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3D1B">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70" w:rsidRDefault="00FF1270">
      <w:r>
        <w:separator/>
      </w:r>
    </w:p>
  </w:footnote>
  <w:footnote w:type="continuationSeparator" w:id="0">
    <w:p w:rsidR="00FF1270" w:rsidRDefault="00FF1270">
      <w:r>
        <w:continuationSeparator/>
      </w:r>
    </w:p>
  </w:footnote>
  <w:footnote w:id="1">
    <w:p w:rsidR="00FF1270" w:rsidRPr="00AE0542" w:rsidRDefault="00FF1270" w:rsidP="00AF13F9">
      <w:pPr>
        <w:pStyle w:val="FootnoteText"/>
        <w:rPr>
          <w:lang w:val="en-GB"/>
        </w:rPr>
      </w:pPr>
      <w:r>
        <w:rPr>
          <w:rStyle w:val="FootnoteReference"/>
        </w:rPr>
        <w:footnoteRef/>
      </w:r>
      <w:r w:rsidRPr="00AE0542">
        <w:rPr>
          <w:lang w:val="en-GB"/>
        </w:rPr>
        <w:t xml:space="preserve"> </w:t>
      </w:r>
      <w:r w:rsidRPr="008F06A1">
        <w:rPr>
          <w:lang w:val="en-GB"/>
        </w:rPr>
        <w:t>OJ L 212, 17.8.1994, p. 3.</w:t>
      </w:r>
    </w:p>
  </w:footnote>
  <w:footnote w:id="2">
    <w:p w:rsidR="00FF1270" w:rsidRPr="00AE0542" w:rsidRDefault="00FF1270" w:rsidP="00AF13F9">
      <w:pPr>
        <w:pStyle w:val="FootnoteText"/>
        <w:rPr>
          <w:lang w:val="en-US"/>
        </w:rPr>
      </w:pPr>
      <w:r>
        <w:rPr>
          <w:rStyle w:val="FootnoteReference"/>
        </w:rPr>
        <w:footnoteRef/>
      </w:r>
      <w:r w:rsidRPr="00AE0542">
        <w:rPr>
          <w:lang w:val="en-US"/>
        </w:rPr>
        <w:t xml:space="preserve"> </w:t>
      </w:r>
      <w:r w:rsidRPr="00AE0542">
        <w:rPr>
          <w:rFonts w:cs="Arial"/>
          <w:color w:val="000000"/>
          <w:lang w:val="en-GB"/>
        </w:rPr>
        <w:t>In case of extension, the Union will notify other parties to international agreements thereof</w:t>
      </w:r>
      <w:r>
        <w:rPr>
          <w:rFonts w:cs="Arial"/>
          <w:color w:val="000000"/>
          <w:lang w:val="en-GB"/>
        </w:rPr>
        <w:t>.</w:t>
      </w:r>
    </w:p>
  </w:footnote>
  <w:footnote w:id="3">
    <w:p w:rsidR="00FF1270" w:rsidRPr="00272665" w:rsidRDefault="00FF1270">
      <w:pPr>
        <w:pStyle w:val="FootnoteText"/>
        <w:rPr>
          <w:lang w:val="en-US"/>
        </w:rPr>
      </w:pPr>
      <w:r>
        <w:rPr>
          <w:rStyle w:val="FootnoteReference"/>
        </w:rPr>
        <w:footnoteRef/>
      </w:r>
      <w:r w:rsidRPr="00272665">
        <w:rPr>
          <w:lang w:val="en-US"/>
        </w:rPr>
        <w:t xml:space="preserve"> </w:t>
      </w:r>
      <w:r>
        <w:rPr>
          <w:lang w:val="en-US"/>
        </w:rPr>
        <w:t>Doc. 2019-11-D-3-en-2.</w:t>
      </w:r>
    </w:p>
  </w:footnote>
  <w:footnote w:id="4">
    <w:p w:rsidR="00FF1270" w:rsidRPr="004C1C56" w:rsidRDefault="00FF1270" w:rsidP="00575D25">
      <w:pPr>
        <w:pStyle w:val="FootnoteText"/>
        <w:rPr>
          <w:lang w:val="en-US"/>
        </w:rPr>
      </w:pPr>
      <w:r>
        <w:rPr>
          <w:rStyle w:val="FootnoteReference"/>
        </w:rPr>
        <w:footnoteRef/>
      </w:r>
      <w:r w:rsidRPr="00B80F79">
        <w:rPr>
          <w:lang w:val="en-US"/>
        </w:rPr>
        <w:t xml:space="preserve"> </w:t>
      </w:r>
      <w:r w:rsidRPr="00FC4523">
        <w:rPr>
          <w:lang w:val="en-US"/>
        </w:rPr>
        <w:t>Figures on Business Objects retrieved on 15 October 2019 (Business Objects)</w:t>
      </w:r>
    </w:p>
  </w:footnote>
  <w:footnote w:id="5">
    <w:p w:rsidR="00FF1270" w:rsidRPr="009F1562" w:rsidRDefault="00FF1270">
      <w:pPr>
        <w:pStyle w:val="FootnoteText"/>
        <w:rPr>
          <w:lang w:val="en-US"/>
        </w:rPr>
      </w:pPr>
      <w:r>
        <w:rPr>
          <w:rStyle w:val="FootnoteReference"/>
        </w:rPr>
        <w:footnoteRef/>
      </w:r>
      <w:r w:rsidRPr="009F1562">
        <w:rPr>
          <w:lang w:val="en-US"/>
        </w:rPr>
        <w:t xml:space="preserve"> </w:t>
      </w:r>
      <w:r>
        <w:rPr>
          <w:lang w:val="en-US"/>
        </w:rPr>
        <w:t xml:space="preserve">For the details </w:t>
      </w:r>
      <w:r w:rsidRPr="00785AE2">
        <w:rPr>
          <w:lang w:val="en-US"/>
        </w:rPr>
        <w:t>see Annex V of</w:t>
      </w:r>
      <w:r>
        <w:rPr>
          <w:lang w:val="en-US"/>
        </w:rPr>
        <w:t xml:space="preserve"> this document.</w:t>
      </w:r>
    </w:p>
  </w:footnote>
  <w:footnote w:id="6">
    <w:p w:rsidR="00FF1270" w:rsidRPr="00B160B1" w:rsidRDefault="00FF1270" w:rsidP="00575D25">
      <w:pPr>
        <w:pStyle w:val="FootnoteText"/>
        <w:rPr>
          <w:lang w:val="en-US"/>
        </w:rPr>
      </w:pPr>
      <w:r>
        <w:rPr>
          <w:rStyle w:val="FootnoteReference"/>
        </w:rPr>
        <w:footnoteRef/>
      </w:r>
      <w:r w:rsidRPr="00B160B1">
        <w:rPr>
          <w:lang w:val="en-US"/>
        </w:rPr>
        <w:t xml:space="preserve"> </w:t>
      </w:r>
      <w:r w:rsidRPr="00FC4523">
        <w:rPr>
          <w:lang w:val="en-US"/>
        </w:rPr>
        <w:t>Figures on Business Objects retrieved on 15 October 2019 (Business Objects)</w:t>
      </w:r>
    </w:p>
  </w:footnote>
  <w:footnote w:id="7">
    <w:p w:rsidR="00FF1270" w:rsidRPr="00F56F71" w:rsidRDefault="00FF1270" w:rsidP="00575D25">
      <w:pPr>
        <w:pStyle w:val="FootnoteText"/>
        <w:rPr>
          <w:lang w:val="en-US"/>
        </w:rPr>
      </w:pPr>
      <w:r w:rsidRPr="00EE063D">
        <w:rPr>
          <w:rStyle w:val="FootnoteReference"/>
        </w:rPr>
        <w:footnoteRef/>
      </w:r>
      <w:r w:rsidRPr="00EE063D">
        <w:rPr>
          <w:lang w:val="en-US"/>
        </w:rPr>
        <w:t xml:space="preserve"> </w:t>
      </w:r>
      <w:r w:rsidRPr="00FC4523">
        <w:rPr>
          <w:lang w:val="en-US"/>
        </w:rPr>
        <w:t>Figures on Business Objects retrieved on 1</w:t>
      </w:r>
      <w:r>
        <w:rPr>
          <w:lang w:val="en-US"/>
        </w:rPr>
        <w:t>5 October 2019</w:t>
      </w:r>
      <w:r w:rsidRPr="00FC4523">
        <w:rPr>
          <w:lang w:val="en-US"/>
        </w:rPr>
        <w:t xml:space="preserve"> (Business Objects)</w:t>
      </w:r>
    </w:p>
  </w:footnote>
  <w:footnote w:id="8">
    <w:p w:rsidR="00FF1270" w:rsidRPr="0002211D" w:rsidRDefault="00FF1270" w:rsidP="00FF1270">
      <w:pPr>
        <w:pStyle w:val="FootnoteText"/>
        <w:rPr>
          <w:lang w:val="en-US"/>
        </w:rPr>
      </w:pPr>
      <w:r>
        <w:rPr>
          <w:rStyle w:val="FootnoteReference"/>
        </w:rPr>
        <w:footnoteRef/>
      </w:r>
      <w:r w:rsidRPr="0002211D">
        <w:rPr>
          <w:lang w:val="en-US"/>
        </w:rPr>
        <w:t xml:space="preserve"> </w:t>
      </w:r>
      <w:r w:rsidRPr="0002211D">
        <w:rPr>
          <w:b/>
          <w:lang w:val="en-US"/>
        </w:rPr>
        <w:t>EU COM:</w:t>
      </w:r>
      <w:r>
        <w:rPr>
          <w:lang w:val="en-US"/>
        </w:rPr>
        <w:t xml:space="preserve"> According to a legal analysis carried out by the EU COM the European Schools cannot negotiate directly with the UK because the European Schools were not attributed any treaty making power.</w:t>
      </w:r>
    </w:p>
  </w:footnote>
  <w:footnote w:id="9">
    <w:p w:rsidR="00FF1270" w:rsidRPr="00AD450F" w:rsidRDefault="00FF1270" w:rsidP="00E112D3">
      <w:pPr>
        <w:pStyle w:val="FootnoteText"/>
        <w:rPr>
          <w:lang w:val="en-US"/>
        </w:rPr>
      </w:pPr>
      <w:r>
        <w:rPr>
          <w:rStyle w:val="FootnoteReference"/>
        </w:rPr>
        <w:footnoteRef/>
      </w:r>
      <w:r w:rsidRPr="00AD450F">
        <w:rPr>
          <w:lang w:val="en-US"/>
        </w:rPr>
        <w:t xml:space="preserve"> </w:t>
      </w:r>
      <w:r>
        <w:rPr>
          <w:lang w:val="en-US"/>
        </w:rPr>
        <w:t>Conclusions of the European Council (Art. 50) meeting on 13 December 2019 (EUCO XT 20027/19).</w:t>
      </w:r>
    </w:p>
  </w:footnote>
  <w:footnote w:id="10">
    <w:p w:rsidR="00FF1270" w:rsidRPr="00265182" w:rsidRDefault="00FF1270">
      <w:pPr>
        <w:pStyle w:val="FootnoteText"/>
        <w:rPr>
          <w:lang w:val="en-US"/>
        </w:rPr>
      </w:pPr>
      <w:r>
        <w:rPr>
          <w:rStyle w:val="FootnoteReference"/>
        </w:rPr>
        <w:footnoteRef/>
      </w:r>
      <w:r w:rsidRPr="00265182">
        <w:rPr>
          <w:lang w:val="en-US"/>
        </w:rPr>
        <w:t xml:space="preserve"> The</w:t>
      </w:r>
      <w:r>
        <w:rPr>
          <w:lang w:val="en-US"/>
        </w:rPr>
        <w:t xml:space="preserve"> calendar</w:t>
      </w:r>
      <w:r w:rsidRPr="00265182">
        <w:rPr>
          <w:lang w:val="en-US"/>
        </w:rPr>
        <w:t xml:space="preserve"> will be updated</w:t>
      </w:r>
      <w:r>
        <w:rPr>
          <w:lang w:val="en-US"/>
        </w:rPr>
        <w:t xml:space="preserve"> on a regular basis</w:t>
      </w:r>
      <w:r w:rsidRPr="00265182">
        <w:rPr>
          <w:lang w:val="en-US"/>
        </w:rPr>
        <w:t>.</w:t>
      </w:r>
    </w:p>
  </w:footnote>
  <w:footnote w:id="11">
    <w:p w:rsidR="00FF1270" w:rsidRPr="00AE0542" w:rsidRDefault="00FF1270">
      <w:pPr>
        <w:pStyle w:val="FootnoteText"/>
        <w:rPr>
          <w:lang w:val="en-US"/>
        </w:rPr>
      </w:pPr>
      <w:r>
        <w:rPr>
          <w:rStyle w:val="FootnoteReference"/>
        </w:rPr>
        <w:footnoteRef/>
      </w:r>
      <w:r w:rsidRPr="00AE0542">
        <w:rPr>
          <w:lang w:val="en-US"/>
        </w:rPr>
        <w:t xml:space="preserve"> </w:t>
      </w:r>
      <w:r>
        <w:rPr>
          <w:lang w:val="en-US"/>
        </w:rPr>
        <w:t>According to Article 132 of the Withdrawal Agreement the transitory period might be prolonged by decision of a Joint Committee for up to one or two years.</w:t>
      </w:r>
    </w:p>
  </w:footnote>
  <w:footnote w:id="12">
    <w:p w:rsidR="00FF1270" w:rsidRPr="004F1438" w:rsidRDefault="00FF1270">
      <w:pPr>
        <w:pStyle w:val="FootnoteText"/>
        <w:rPr>
          <w:lang w:val="en-GB"/>
        </w:rPr>
      </w:pPr>
      <w:r>
        <w:rPr>
          <w:rStyle w:val="FootnoteReference"/>
        </w:rPr>
        <w:footnoteRef/>
      </w:r>
      <w:r w:rsidRPr="004F1438">
        <w:rPr>
          <w:lang w:val="en-GB"/>
        </w:rPr>
        <w:t xml:space="preserve"> </w:t>
      </w:r>
      <w:r w:rsidRPr="00FC4523">
        <w:rPr>
          <w:lang w:val="en-US"/>
        </w:rPr>
        <w:t>Figures on Business Objects retrieved on 15 October 2019 (Business Objects)</w:t>
      </w:r>
    </w:p>
  </w:footnote>
  <w:footnote w:id="13">
    <w:p w:rsidR="00FF1270" w:rsidRPr="004F1438" w:rsidRDefault="00FF1270">
      <w:pPr>
        <w:pStyle w:val="FootnoteText"/>
        <w:rPr>
          <w:lang w:val="en-GB"/>
        </w:rPr>
      </w:pPr>
      <w:r>
        <w:rPr>
          <w:rStyle w:val="FootnoteReference"/>
        </w:rPr>
        <w:footnoteRef/>
      </w:r>
      <w:r w:rsidRPr="004F1438">
        <w:rPr>
          <w:lang w:val="en-GB"/>
        </w:rPr>
        <w:t xml:space="preserve"> </w:t>
      </w:r>
      <w:r w:rsidRPr="00FC4523">
        <w:rPr>
          <w:lang w:val="en-US"/>
        </w:rPr>
        <w:t>Figures on Business Objects retrieved on 15 October 2019 (Business Objects)</w:t>
      </w:r>
    </w:p>
  </w:footnote>
  <w:footnote w:id="14">
    <w:p w:rsidR="00FF1270" w:rsidRPr="004F1438" w:rsidRDefault="00FF1270">
      <w:pPr>
        <w:pStyle w:val="FootnoteText"/>
        <w:rPr>
          <w:lang w:val="en-GB"/>
        </w:rPr>
      </w:pPr>
      <w:r>
        <w:rPr>
          <w:rStyle w:val="FootnoteReference"/>
        </w:rPr>
        <w:footnoteRef/>
      </w:r>
      <w:r w:rsidRPr="004F1438">
        <w:rPr>
          <w:lang w:val="en-GB"/>
        </w:rPr>
        <w:t xml:space="preserve"> </w:t>
      </w:r>
      <w:r w:rsidRPr="00FC4523">
        <w:rPr>
          <w:lang w:val="en-US"/>
        </w:rPr>
        <w:t>Figures on Business Objects retrieved on 15 October 2019 (Business Objects)</w:t>
      </w:r>
    </w:p>
  </w:footnote>
  <w:footnote w:id="15">
    <w:p w:rsidR="00FF1270" w:rsidRPr="008C3307" w:rsidRDefault="00FF1270" w:rsidP="008C3307">
      <w:pPr>
        <w:pStyle w:val="FootnoteText"/>
        <w:rPr>
          <w:lang w:val="en-US"/>
        </w:rPr>
      </w:pPr>
      <w:r>
        <w:rPr>
          <w:rStyle w:val="FootnoteReference"/>
        </w:rPr>
        <w:footnoteRef/>
      </w:r>
      <w:r w:rsidRPr="008C3307">
        <w:rPr>
          <w:lang w:val="en-US"/>
        </w:rPr>
        <w:t xml:space="preserve"> Referring to the European Schools in Karlsruhe and Munich.</w:t>
      </w:r>
    </w:p>
  </w:footnote>
  <w:footnote w:id="16">
    <w:p w:rsidR="00FF1270" w:rsidRPr="008C3307" w:rsidRDefault="00FF1270" w:rsidP="008C3307">
      <w:pPr>
        <w:pStyle w:val="FootnoteText"/>
        <w:rPr>
          <w:lang w:val="en-US"/>
        </w:rPr>
      </w:pPr>
      <w:r>
        <w:rPr>
          <w:rStyle w:val="FootnoteReference"/>
        </w:rPr>
        <w:footnoteRef/>
      </w:r>
      <w:r w:rsidRPr="008C3307">
        <w:rPr>
          <w:lang w:val="en-US"/>
        </w:rPr>
        <w:t xml:space="preserve"> Referring to the European School in Frankfurt.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8566F2"/>
    <w:multiLevelType w:val="hybridMultilevel"/>
    <w:tmpl w:val="449213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6EC2C0D"/>
    <w:multiLevelType w:val="hybridMultilevel"/>
    <w:tmpl w:val="4626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F6E88"/>
    <w:multiLevelType w:val="hybridMultilevel"/>
    <w:tmpl w:val="E95C00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B16CBC"/>
    <w:multiLevelType w:val="hybridMultilevel"/>
    <w:tmpl w:val="77D0EC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247F8B"/>
    <w:multiLevelType w:val="hybridMultilevel"/>
    <w:tmpl w:val="D8EC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F277F54"/>
    <w:multiLevelType w:val="hybridMultilevel"/>
    <w:tmpl w:val="8F6C9B50"/>
    <w:lvl w:ilvl="0" w:tplc="04090001">
      <w:start w:val="1"/>
      <w:numFmt w:val="bullet"/>
      <w:lvlText w:val=""/>
      <w:lvlJc w:val="left"/>
      <w:pPr>
        <w:ind w:left="360" w:hanging="360"/>
      </w:pPr>
      <w:rPr>
        <w:rFonts w:ascii="Symbol" w:hAnsi="Symbol" w:hint="default"/>
      </w:rPr>
    </w:lvl>
    <w:lvl w:ilvl="1" w:tplc="2ABCB270">
      <w:numFmt w:val="bullet"/>
      <w:lvlText w:val="•"/>
      <w:lvlJc w:val="left"/>
      <w:pPr>
        <w:ind w:left="1140" w:hanging="420"/>
      </w:pPr>
      <w:rPr>
        <w:rFonts w:ascii="Arial" w:eastAsiaTheme="minorEastAsia" w:hAnsi="Arial" w:cs="Arial" w:hint="default"/>
        <w:color w:val="151515"/>
        <w:w w:val="143"/>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971ECE"/>
    <w:multiLevelType w:val="hybridMultilevel"/>
    <w:tmpl w:val="D2F8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9594B"/>
    <w:multiLevelType w:val="hybridMultilevel"/>
    <w:tmpl w:val="CDD0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5" w15:restartNumberingAfterBreak="0">
    <w:nsid w:val="1A9E6340"/>
    <w:multiLevelType w:val="hybridMultilevel"/>
    <w:tmpl w:val="8B42CE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B50420"/>
    <w:multiLevelType w:val="hybridMultilevel"/>
    <w:tmpl w:val="210C2938"/>
    <w:lvl w:ilvl="0" w:tplc="D6725F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1E3061"/>
    <w:multiLevelType w:val="hybridMultilevel"/>
    <w:tmpl w:val="781648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ED343B"/>
    <w:multiLevelType w:val="hybridMultilevel"/>
    <w:tmpl w:val="CDC45A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20" w15:restartNumberingAfterBreak="0">
    <w:nsid w:val="21810B9B"/>
    <w:multiLevelType w:val="hybridMultilevel"/>
    <w:tmpl w:val="C6149D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24CE3DCE"/>
    <w:multiLevelType w:val="hybridMultilevel"/>
    <w:tmpl w:val="81D8B2E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9D70C6"/>
    <w:multiLevelType w:val="hybridMultilevel"/>
    <w:tmpl w:val="3912DF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9E45350"/>
    <w:multiLevelType w:val="hybridMultilevel"/>
    <w:tmpl w:val="D7FC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56B35"/>
    <w:multiLevelType w:val="hybridMultilevel"/>
    <w:tmpl w:val="48B46DA2"/>
    <w:lvl w:ilvl="0" w:tplc="F462DA30">
      <w:start w:val="20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C1D19E7"/>
    <w:multiLevelType w:val="hybridMultilevel"/>
    <w:tmpl w:val="B360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E8042A"/>
    <w:multiLevelType w:val="hybridMultilevel"/>
    <w:tmpl w:val="DBB4402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35FC4F09"/>
    <w:multiLevelType w:val="hybridMultilevel"/>
    <w:tmpl w:val="66E495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D530BD"/>
    <w:multiLevelType w:val="hybridMultilevel"/>
    <w:tmpl w:val="5CC21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1B0741"/>
    <w:multiLevelType w:val="hybridMultilevel"/>
    <w:tmpl w:val="F7F87F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96E65D9"/>
    <w:multiLevelType w:val="hybridMultilevel"/>
    <w:tmpl w:val="0346D7FE"/>
    <w:lvl w:ilvl="0" w:tplc="F462DA30">
      <w:start w:val="201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401F230A"/>
    <w:multiLevelType w:val="hybridMultilevel"/>
    <w:tmpl w:val="EDC43B86"/>
    <w:lvl w:ilvl="0" w:tplc="F462DA30">
      <w:start w:val="201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1B51152"/>
    <w:multiLevelType w:val="hybridMultilevel"/>
    <w:tmpl w:val="3C4A5C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2BE3150"/>
    <w:multiLevelType w:val="multilevel"/>
    <w:tmpl w:val="15967E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438175BC"/>
    <w:multiLevelType w:val="hybridMultilevel"/>
    <w:tmpl w:val="BD9453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4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34F3F61"/>
    <w:multiLevelType w:val="hybridMultilevel"/>
    <w:tmpl w:val="B9F223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3DB42C7"/>
    <w:multiLevelType w:val="hybridMultilevel"/>
    <w:tmpl w:val="4EDE182A"/>
    <w:lvl w:ilvl="0" w:tplc="F462DA30">
      <w:start w:val="201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4F21B53"/>
    <w:multiLevelType w:val="hybridMultilevel"/>
    <w:tmpl w:val="F19A4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576572E"/>
    <w:multiLevelType w:val="hybridMultilevel"/>
    <w:tmpl w:val="D63EA7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7202915"/>
    <w:multiLevelType w:val="hybridMultilevel"/>
    <w:tmpl w:val="EEA48C02"/>
    <w:lvl w:ilvl="0" w:tplc="F462DA30">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3E21EB"/>
    <w:multiLevelType w:val="hybridMultilevel"/>
    <w:tmpl w:val="E072268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BF8090D"/>
    <w:multiLevelType w:val="hybridMultilevel"/>
    <w:tmpl w:val="EBDA90A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9" w15:restartNumberingAfterBreak="0">
    <w:nsid w:val="5DA135B5"/>
    <w:multiLevelType w:val="hybridMultilevel"/>
    <w:tmpl w:val="AA2CEB34"/>
    <w:lvl w:ilvl="0" w:tplc="04090001">
      <w:start w:val="1"/>
      <w:numFmt w:val="bullet"/>
      <w:lvlText w:val=""/>
      <w:lvlJc w:val="left"/>
      <w:pPr>
        <w:ind w:left="814" w:hanging="360"/>
      </w:pPr>
      <w:rPr>
        <w:rFonts w:ascii="Symbol" w:hAnsi="Symbol" w:hint="default"/>
      </w:rPr>
    </w:lvl>
    <w:lvl w:ilvl="1" w:tplc="04090001">
      <w:start w:val="1"/>
      <w:numFmt w:val="bullet"/>
      <w:lvlText w:val=""/>
      <w:lvlJc w:val="left"/>
      <w:pPr>
        <w:ind w:left="1534" w:hanging="360"/>
      </w:pPr>
      <w:rPr>
        <w:rFonts w:ascii="Symbol" w:hAnsi="Symbol"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0" w15:restartNumberingAfterBreak="0">
    <w:nsid w:val="5E7E46D8"/>
    <w:multiLevelType w:val="hybridMultilevel"/>
    <w:tmpl w:val="0B4264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634336"/>
    <w:multiLevelType w:val="hybridMultilevel"/>
    <w:tmpl w:val="16285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6"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5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8" w15:restartNumberingAfterBreak="0">
    <w:nsid w:val="73CC37D9"/>
    <w:multiLevelType w:val="hybridMultilevel"/>
    <w:tmpl w:val="6DACE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F43726"/>
    <w:multiLevelType w:val="hybridMultilevel"/>
    <w:tmpl w:val="B79A00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4D72534"/>
    <w:multiLevelType w:val="hybridMultilevel"/>
    <w:tmpl w:val="E50C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B61AD9"/>
    <w:multiLevelType w:val="hybridMultilevel"/>
    <w:tmpl w:val="2FAA01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C9E0ED1"/>
    <w:multiLevelType w:val="hybridMultilevel"/>
    <w:tmpl w:val="C80030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1"/>
  </w:num>
  <w:num w:numId="3">
    <w:abstractNumId w:val="0"/>
  </w:num>
  <w:num w:numId="4">
    <w:abstractNumId w:val="32"/>
  </w:num>
  <w:num w:numId="5">
    <w:abstractNumId w:val="14"/>
  </w:num>
  <w:num w:numId="6">
    <w:abstractNumId w:val="13"/>
  </w:num>
  <w:num w:numId="7">
    <w:abstractNumId w:val="53"/>
  </w:num>
  <w:num w:numId="8">
    <w:abstractNumId w:val="54"/>
  </w:num>
  <w:num w:numId="9">
    <w:abstractNumId w:val="57"/>
  </w:num>
  <w:num w:numId="10">
    <w:abstractNumId w:val="21"/>
  </w:num>
  <w:num w:numId="11">
    <w:abstractNumId w:val="35"/>
  </w:num>
  <w:num w:numId="12">
    <w:abstractNumId w:val="39"/>
  </w:num>
  <w:num w:numId="13">
    <w:abstractNumId w:val="38"/>
  </w:num>
  <w:num w:numId="14">
    <w:abstractNumId w:val="5"/>
  </w:num>
  <w:num w:numId="15">
    <w:abstractNumId w:val="41"/>
  </w:num>
  <w:num w:numId="16">
    <w:abstractNumId w:val="40"/>
  </w:num>
  <w:num w:numId="17">
    <w:abstractNumId w:val="19"/>
  </w:num>
  <w:num w:numId="18">
    <w:abstractNumId w:val="3"/>
  </w:num>
  <w:num w:numId="19">
    <w:abstractNumId w:val="2"/>
  </w:num>
  <w:num w:numId="20">
    <w:abstractNumId w:val="52"/>
  </w:num>
  <w:num w:numId="21">
    <w:abstractNumId w:val="56"/>
  </w:num>
  <w:num w:numId="22">
    <w:abstractNumId w:val="16"/>
  </w:num>
  <w:num w:numId="23">
    <w:abstractNumId w:val="29"/>
  </w:num>
  <w:num w:numId="24">
    <w:abstractNumId w:val="15"/>
  </w:num>
  <w:num w:numId="25">
    <w:abstractNumId w:val="44"/>
  </w:num>
  <w:num w:numId="26">
    <w:abstractNumId w:val="28"/>
  </w:num>
  <w:num w:numId="27">
    <w:abstractNumId w:val="4"/>
  </w:num>
  <w:num w:numId="28">
    <w:abstractNumId w:val="7"/>
  </w:num>
  <w:num w:numId="29">
    <w:abstractNumId w:val="51"/>
  </w:num>
  <w:num w:numId="30">
    <w:abstractNumId w:val="23"/>
  </w:num>
  <w:num w:numId="31">
    <w:abstractNumId w:val="30"/>
  </w:num>
  <w:num w:numId="32">
    <w:abstractNumId w:val="61"/>
  </w:num>
  <w:num w:numId="33">
    <w:abstractNumId w:val="42"/>
  </w:num>
  <w:num w:numId="34">
    <w:abstractNumId w:val="10"/>
  </w:num>
  <w:num w:numId="35">
    <w:abstractNumId w:val="46"/>
  </w:num>
  <w:num w:numId="36">
    <w:abstractNumId w:val="8"/>
  </w:num>
  <w:num w:numId="37">
    <w:abstractNumId w:val="45"/>
  </w:num>
  <w:num w:numId="38">
    <w:abstractNumId w:val="26"/>
  </w:num>
  <w:num w:numId="39">
    <w:abstractNumId w:val="6"/>
  </w:num>
  <w:num w:numId="40">
    <w:abstractNumId w:val="25"/>
  </w:num>
  <w:num w:numId="41">
    <w:abstractNumId w:val="20"/>
  </w:num>
  <w:num w:numId="42">
    <w:abstractNumId w:val="24"/>
  </w:num>
  <w:num w:numId="43">
    <w:abstractNumId w:val="60"/>
  </w:num>
  <w:num w:numId="44">
    <w:abstractNumId w:val="37"/>
  </w:num>
  <w:num w:numId="45">
    <w:abstractNumId w:val="11"/>
  </w:num>
  <w:num w:numId="46">
    <w:abstractNumId w:val="47"/>
  </w:num>
  <w:num w:numId="47">
    <w:abstractNumId w:val="50"/>
  </w:num>
  <w:num w:numId="48">
    <w:abstractNumId w:val="18"/>
  </w:num>
  <w:num w:numId="49">
    <w:abstractNumId w:val="59"/>
  </w:num>
  <w:num w:numId="50">
    <w:abstractNumId w:val="58"/>
  </w:num>
  <w:num w:numId="51">
    <w:abstractNumId w:val="12"/>
  </w:num>
  <w:num w:numId="52">
    <w:abstractNumId w:val="22"/>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49"/>
  </w:num>
  <w:num w:numId="56">
    <w:abstractNumId w:val="48"/>
  </w:num>
  <w:num w:numId="57">
    <w:abstractNumId w:val="9"/>
  </w:num>
  <w:num w:numId="58">
    <w:abstractNumId w:val="27"/>
  </w:num>
  <w:num w:numId="59">
    <w:abstractNumId w:val="62"/>
  </w:num>
  <w:num w:numId="60">
    <w:abstractNumId w:val="17"/>
  </w:num>
  <w:num w:numId="61">
    <w:abstractNumId w:val="34"/>
  </w:num>
  <w:num w:numId="62">
    <w:abstractNumId w:val="33"/>
  </w:num>
  <w:num w:numId="63">
    <w:abstractNumId w:val="31"/>
  </w:num>
  <w:num w:numId="64">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2A"/>
    <w:rsid w:val="000008FE"/>
    <w:rsid w:val="00000A76"/>
    <w:rsid w:val="00003BDF"/>
    <w:rsid w:val="0000701A"/>
    <w:rsid w:val="000110EF"/>
    <w:rsid w:val="000122FA"/>
    <w:rsid w:val="000152CA"/>
    <w:rsid w:val="00015C61"/>
    <w:rsid w:val="00015E00"/>
    <w:rsid w:val="0002211D"/>
    <w:rsid w:val="00022412"/>
    <w:rsid w:val="00023966"/>
    <w:rsid w:val="00024859"/>
    <w:rsid w:val="000261E9"/>
    <w:rsid w:val="00032CE2"/>
    <w:rsid w:val="0003449D"/>
    <w:rsid w:val="000373EC"/>
    <w:rsid w:val="00037ECC"/>
    <w:rsid w:val="00042E3F"/>
    <w:rsid w:val="00043414"/>
    <w:rsid w:val="00043737"/>
    <w:rsid w:val="00044A40"/>
    <w:rsid w:val="00044B2F"/>
    <w:rsid w:val="0004507B"/>
    <w:rsid w:val="00050339"/>
    <w:rsid w:val="00050ECB"/>
    <w:rsid w:val="0005704E"/>
    <w:rsid w:val="00060848"/>
    <w:rsid w:val="00064332"/>
    <w:rsid w:val="00064677"/>
    <w:rsid w:val="00065C7C"/>
    <w:rsid w:val="00066337"/>
    <w:rsid w:val="00070422"/>
    <w:rsid w:val="00072A83"/>
    <w:rsid w:val="000740E0"/>
    <w:rsid w:val="000740F2"/>
    <w:rsid w:val="000750BC"/>
    <w:rsid w:val="000767DB"/>
    <w:rsid w:val="00081725"/>
    <w:rsid w:val="000829BC"/>
    <w:rsid w:val="00090BD2"/>
    <w:rsid w:val="00091295"/>
    <w:rsid w:val="00094336"/>
    <w:rsid w:val="0009495B"/>
    <w:rsid w:val="000A1369"/>
    <w:rsid w:val="000A2932"/>
    <w:rsid w:val="000A5772"/>
    <w:rsid w:val="000A5C94"/>
    <w:rsid w:val="000A7A18"/>
    <w:rsid w:val="000B1079"/>
    <w:rsid w:val="000B466D"/>
    <w:rsid w:val="000B54A5"/>
    <w:rsid w:val="000B5F59"/>
    <w:rsid w:val="000B6C7F"/>
    <w:rsid w:val="000B6F7E"/>
    <w:rsid w:val="000B7983"/>
    <w:rsid w:val="000B79DF"/>
    <w:rsid w:val="000B7B11"/>
    <w:rsid w:val="000C2B24"/>
    <w:rsid w:val="000C4723"/>
    <w:rsid w:val="000C4DD5"/>
    <w:rsid w:val="000C4FAE"/>
    <w:rsid w:val="000C6FE6"/>
    <w:rsid w:val="000C7B71"/>
    <w:rsid w:val="000D059C"/>
    <w:rsid w:val="000D25AB"/>
    <w:rsid w:val="000D37B0"/>
    <w:rsid w:val="000D57A4"/>
    <w:rsid w:val="000E3646"/>
    <w:rsid w:val="000E3D6C"/>
    <w:rsid w:val="000E543E"/>
    <w:rsid w:val="000E57C5"/>
    <w:rsid w:val="000F1472"/>
    <w:rsid w:val="000F4074"/>
    <w:rsid w:val="000F484A"/>
    <w:rsid w:val="000F507A"/>
    <w:rsid w:val="000F5ACE"/>
    <w:rsid w:val="000F5E83"/>
    <w:rsid w:val="000F7699"/>
    <w:rsid w:val="00101652"/>
    <w:rsid w:val="00105986"/>
    <w:rsid w:val="0010614F"/>
    <w:rsid w:val="0010674C"/>
    <w:rsid w:val="00107454"/>
    <w:rsid w:val="001107AF"/>
    <w:rsid w:val="00110D16"/>
    <w:rsid w:val="00111227"/>
    <w:rsid w:val="0011256A"/>
    <w:rsid w:val="00113AA9"/>
    <w:rsid w:val="00114F67"/>
    <w:rsid w:val="00115F4F"/>
    <w:rsid w:val="00117DA4"/>
    <w:rsid w:val="00117E9F"/>
    <w:rsid w:val="001219BB"/>
    <w:rsid w:val="00122179"/>
    <w:rsid w:val="001224AD"/>
    <w:rsid w:val="00122C51"/>
    <w:rsid w:val="00124783"/>
    <w:rsid w:val="0012497B"/>
    <w:rsid w:val="0012565D"/>
    <w:rsid w:val="00125BB6"/>
    <w:rsid w:val="0012666B"/>
    <w:rsid w:val="00131E5C"/>
    <w:rsid w:val="001328FA"/>
    <w:rsid w:val="00132AB6"/>
    <w:rsid w:val="00132F44"/>
    <w:rsid w:val="0013548B"/>
    <w:rsid w:val="00135BA7"/>
    <w:rsid w:val="001448BD"/>
    <w:rsid w:val="00147603"/>
    <w:rsid w:val="00151D1B"/>
    <w:rsid w:val="00162349"/>
    <w:rsid w:val="00162C13"/>
    <w:rsid w:val="001642E4"/>
    <w:rsid w:val="00164A9B"/>
    <w:rsid w:val="00164E9D"/>
    <w:rsid w:val="00166C92"/>
    <w:rsid w:val="0016745C"/>
    <w:rsid w:val="001675E3"/>
    <w:rsid w:val="00171859"/>
    <w:rsid w:val="00172175"/>
    <w:rsid w:val="00174A7D"/>
    <w:rsid w:val="00176C89"/>
    <w:rsid w:val="00176F42"/>
    <w:rsid w:val="001843D1"/>
    <w:rsid w:val="00184DCF"/>
    <w:rsid w:val="00185090"/>
    <w:rsid w:val="001914A2"/>
    <w:rsid w:val="00192484"/>
    <w:rsid w:val="00197587"/>
    <w:rsid w:val="001977FF"/>
    <w:rsid w:val="00197908"/>
    <w:rsid w:val="001A0C6E"/>
    <w:rsid w:val="001A0CA5"/>
    <w:rsid w:val="001A0D7D"/>
    <w:rsid w:val="001A18B0"/>
    <w:rsid w:val="001A3594"/>
    <w:rsid w:val="001A694E"/>
    <w:rsid w:val="001A78D8"/>
    <w:rsid w:val="001B1EF4"/>
    <w:rsid w:val="001B590E"/>
    <w:rsid w:val="001B5E00"/>
    <w:rsid w:val="001C01F3"/>
    <w:rsid w:val="001C0B82"/>
    <w:rsid w:val="001C1BE6"/>
    <w:rsid w:val="001C4C1C"/>
    <w:rsid w:val="001C5928"/>
    <w:rsid w:val="001C63FD"/>
    <w:rsid w:val="001D0E7E"/>
    <w:rsid w:val="001D270C"/>
    <w:rsid w:val="001D39C1"/>
    <w:rsid w:val="001E0563"/>
    <w:rsid w:val="001E7F7D"/>
    <w:rsid w:val="001F0F37"/>
    <w:rsid w:val="001F5233"/>
    <w:rsid w:val="001F5460"/>
    <w:rsid w:val="001F74B8"/>
    <w:rsid w:val="0020081F"/>
    <w:rsid w:val="002011B3"/>
    <w:rsid w:val="002012C2"/>
    <w:rsid w:val="00201D84"/>
    <w:rsid w:val="00210781"/>
    <w:rsid w:val="00214381"/>
    <w:rsid w:val="00214EAB"/>
    <w:rsid w:val="00220D5E"/>
    <w:rsid w:val="00222955"/>
    <w:rsid w:val="00222FE2"/>
    <w:rsid w:val="00223479"/>
    <w:rsid w:val="00225264"/>
    <w:rsid w:val="00225AE6"/>
    <w:rsid w:val="00226552"/>
    <w:rsid w:val="00227276"/>
    <w:rsid w:val="0023015F"/>
    <w:rsid w:val="0023068C"/>
    <w:rsid w:val="00233183"/>
    <w:rsid w:val="00233255"/>
    <w:rsid w:val="00234413"/>
    <w:rsid w:val="00237482"/>
    <w:rsid w:val="00240158"/>
    <w:rsid w:val="00240E84"/>
    <w:rsid w:val="00241ECE"/>
    <w:rsid w:val="00245165"/>
    <w:rsid w:val="00245FB4"/>
    <w:rsid w:val="0024647C"/>
    <w:rsid w:val="00252B0E"/>
    <w:rsid w:val="00254795"/>
    <w:rsid w:val="00257479"/>
    <w:rsid w:val="002607FA"/>
    <w:rsid w:val="002650A2"/>
    <w:rsid w:val="00265182"/>
    <w:rsid w:val="00272665"/>
    <w:rsid w:val="0028132F"/>
    <w:rsid w:val="00282C1A"/>
    <w:rsid w:val="00283292"/>
    <w:rsid w:val="00284946"/>
    <w:rsid w:val="00284A2F"/>
    <w:rsid w:val="00287E9C"/>
    <w:rsid w:val="00290D81"/>
    <w:rsid w:val="00290E36"/>
    <w:rsid w:val="00296EB0"/>
    <w:rsid w:val="00297DE2"/>
    <w:rsid w:val="002A40EF"/>
    <w:rsid w:val="002A42F3"/>
    <w:rsid w:val="002A4D5F"/>
    <w:rsid w:val="002A5795"/>
    <w:rsid w:val="002A6EFA"/>
    <w:rsid w:val="002B0513"/>
    <w:rsid w:val="002B0BAD"/>
    <w:rsid w:val="002B18D5"/>
    <w:rsid w:val="002B6323"/>
    <w:rsid w:val="002B6FB9"/>
    <w:rsid w:val="002C54FB"/>
    <w:rsid w:val="002C575D"/>
    <w:rsid w:val="002C578E"/>
    <w:rsid w:val="002C697A"/>
    <w:rsid w:val="002D03FD"/>
    <w:rsid w:val="002D0495"/>
    <w:rsid w:val="002D05AA"/>
    <w:rsid w:val="002D1E17"/>
    <w:rsid w:val="002D2D92"/>
    <w:rsid w:val="002D4CD2"/>
    <w:rsid w:val="002D5613"/>
    <w:rsid w:val="002D61B3"/>
    <w:rsid w:val="002D7198"/>
    <w:rsid w:val="002E0280"/>
    <w:rsid w:val="002E277E"/>
    <w:rsid w:val="002E5688"/>
    <w:rsid w:val="002F1F2E"/>
    <w:rsid w:val="002F278E"/>
    <w:rsid w:val="002F42CE"/>
    <w:rsid w:val="002F4399"/>
    <w:rsid w:val="002F6595"/>
    <w:rsid w:val="002F6F42"/>
    <w:rsid w:val="002F708B"/>
    <w:rsid w:val="002F7EF7"/>
    <w:rsid w:val="00300D95"/>
    <w:rsid w:val="0030217B"/>
    <w:rsid w:val="003050B8"/>
    <w:rsid w:val="003074FE"/>
    <w:rsid w:val="0031067B"/>
    <w:rsid w:val="003109BC"/>
    <w:rsid w:val="00312A41"/>
    <w:rsid w:val="00313BD7"/>
    <w:rsid w:val="00315134"/>
    <w:rsid w:val="00315672"/>
    <w:rsid w:val="00315DB1"/>
    <w:rsid w:val="00316081"/>
    <w:rsid w:val="0031785E"/>
    <w:rsid w:val="00317C93"/>
    <w:rsid w:val="00317EB2"/>
    <w:rsid w:val="00320EFE"/>
    <w:rsid w:val="00321BF4"/>
    <w:rsid w:val="003265A8"/>
    <w:rsid w:val="00327555"/>
    <w:rsid w:val="00327B0F"/>
    <w:rsid w:val="00331742"/>
    <w:rsid w:val="003317FF"/>
    <w:rsid w:val="00333854"/>
    <w:rsid w:val="003345D2"/>
    <w:rsid w:val="0034297A"/>
    <w:rsid w:val="003447FC"/>
    <w:rsid w:val="00346923"/>
    <w:rsid w:val="00347348"/>
    <w:rsid w:val="00347BBB"/>
    <w:rsid w:val="0035364B"/>
    <w:rsid w:val="003536F4"/>
    <w:rsid w:val="0035471D"/>
    <w:rsid w:val="00356207"/>
    <w:rsid w:val="003608CD"/>
    <w:rsid w:val="003611F7"/>
    <w:rsid w:val="003626D8"/>
    <w:rsid w:val="0036350E"/>
    <w:rsid w:val="0036366C"/>
    <w:rsid w:val="003637FE"/>
    <w:rsid w:val="0036548F"/>
    <w:rsid w:val="0037026C"/>
    <w:rsid w:val="003702AD"/>
    <w:rsid w:val="00373671"/>
    <w:rsid w:val="0037682B"/>
    <w:rsid w:val="00381786"/>
    <w:rsid w:val="003828C2"/>
    <w:rsid w:val="003850D8"/>
    <w:rsid w:val="0038558C"/>
    <w:rsid w:val="003856CC"/>
    <w:rsid w:val="00386111"/>
    <w:rsid w:val="00387056"/>
    <w:rsid w:val="0038733E"/>
    <w:rsid w:val="00387C01"/>
    <w:rsid w:val="00390A44"/>
    <w:rsid w:val="00391DCA"/>
    <w:rsid w:val="0039279F"/>
    <w:rsid w:val="00392B82"/>
    <w:rsid w:val="003934AA"/>
    <w:rsid w:val="00393BA9"/>
    <w:rsid w:val="00394844"/>
    <w:rsid w:val="00395B48"/>
    <w:rsid w:val="003A3F0E"/>
    <w:rsid w:val="003A4D77"/>
    <w:rsid w:val="003A4F82"/>
    <w:rsid w:val="003A553C"/>
    <w:rsid w:val="003A788A"/>
    <w:rsid w:val="003A7AD1"/>
    <w:rsid w:val="003B06CB"/>
    <w:rsid w:val="003B129B"/>
    <w:rsid w:val="003B3C15"/>
    <w:rsid w:val="003B4754"/>
    <w:rsid w:val="003B4BC4"/>
    <w:rsid w:val="003B68D7"/>
    <w:rsid w:val="003C058B"/>
    <w:rsid w:val="003C0A3E"/>
    <w:rsid w:val="003C2A2B"/>
    <w:rsid w:val="003C3BF7"/>
    <w:rsid w:val="003C4743"/>
    <w:rsid w:val="003C4F2F"/>
    <w:rsid w:val="003C56FC"/>
    <w:rsid w:val="003C67C9"/>
    <w:rsid w:val="003D209F"/>
    <w:rsid w:val="003D6ABC"/>
    <w:rsid w:val="003D778F"/>
    <w:rsid w:val="003E0D42"/>
    <w:rsid w:val="003E3CA2"/>
    <w:rsid w:val="003E481A"/>
    <w:rsid w:val="003E792C"/>
    <w:rsid w:val="003F1470"/>
    <w:rsid w:val="003F1926"/>
    <w:rsid w:val="003F3262"/>
    <w:rsid w:val="003F43D5"/>
    <w:rsid w:val="003F467E"/>
    <w:rsid w:val="003F49F3"/>
    <w:rsid w:val="003F4B78"/>
    <w:rsid w:val="003F7071"/>
    <w:rsid w:val="00401EDE"/>
    <w:rsid w:val="004023C7"/>
    <w:rsid w:val="00402817"/>
    <w:rsid w:val="00403A3F"/>
    <w:rsid w:val="0040616A"/>
    <w:rsid w:val="004068F3"/>
    <w:rsid w:val="00406E40"/>
    <w:rsid w:val="0041143D"/>
    <w:rsid w:val="0041159E"/>
    <w:rsid w:val="004158F7"/>
    <w:rsid w:val="00415A60"/>
    <w:rsid w:val="00415D74"/>
    <w:rsid w:val="00416219"/>
    <w:rsid w:val="0041787F"/>
    <w:rsid w:val="00420935"/>
    <w:rsid w:val="004211F1"/>
    <w:rsid w:val="004214C8"/>
    <w:rsid w:val="0042249C"/>
    <w:rsid w:val="0042250E"/>
    <w:rsid w:val="00425247"/>
    <w:rsid w:val="00425E25"/>
    <w:rsid w:val="004270BD"/>
    <w:rsid w:val="00431051"/>
    <w:rsid w:val="0043111C"/>
    <w:rsid w:val="00436680"/>
    <w:rsid w:val="00440F93"/>
    <w:rsid w:val="0044101C"/>
    <w:rsid w:val="00441425"/>
    <w:rsid w:val="0044360A"/>
    <w:rsid w:val="0044505C"/>
    <w:rsid w:val="004457CE"/>
    <w:rsid w:val="00450B35"/>
    <w:rsid w:val="004514B8"/>
    <w:rsid w:val="004534DA"/>
    <w:rsid w:val="00455DF4"/>
    <w:rsid w:val="00455FA9"/>
    <w:rsid w:val="00457146"/>
    <w:rsid w:val="00461468"/>
    <w:rsid w:val="00461AE1"/>
    <w:rsid w:val="00461E4D"/>
    <w:rsid w:val="00464120"/>
    <w:rsid w:val="004648C7"/>
    <w:rsid w:val="00465704"/>
    <w:rsid w:val="00465F8A"/>
    <w:rsid w:val="004666D8"/>
    <w:rsid w:val="00466999"/>
    <w:rsid w:val="00466F6C"/>
    <w:rsid w:val="0046797F"/>
    <w:rsid w:val="00467A04"/>
    <w:rsid w:val="00470259"/>
    <w:rsid w:val="00472274"/>
    <w:rsid w:val="00472F93"/>
    <w:rsid w:val="00474DE0"/>
    <w:rsid w:val="004767A0"/>
    <w:rsid w:val="00480A44"/>
    <w:rsid w:val="0048137B"/>
    <w:rsid w:val="00484B3D"/>
    <w:rsid w:val="0049070F"/>
    <w:rsid w:val="00490A33"/>
    <w:rsid w:val="00490F00"/>
    <w:rsid w:val="0049105A"/>
    <w:rsid w:val="0049364D"/>
    <w:rsid w:val="00494468"/>
    <w:rsid w:val="0049622A"/>
    <w:rsid w:val="004A13FF"/>
    <w:rsid w:val="004A1DC1"/>
    <w:rsid w:val="004A29C9"/>
    <w:rsid w:val="004A442B"/>
    <w:rsid w:val="004B04A0"/>
    <w:rsid w:val="004B5EFB"/>
    <w:rsid w:val="004B78DD"/>
    <w:rsid w:val="004C1C56"/>
    <w:rsid w:val="004C3ACE"/>
    <w:rsid w:val="004C3B3B"/>
    <w:rsid w:val="004C4872"/>
    <w:rsid w:val="004C4D10"/>
    <w:rsid w:val="004C67C7"/>
    <w:rsid w:val="004C6B97"/>
    <w:rsid w:val="004D169C"/>
    <w:rsid w:val="004D37B3"/>
    <w:rsid w:val="004D6052"/>
    <w:rsid w:val="004D7ED4"/>
    <w:rsid w:val="004E074C"/>
    <w:rsid w:val="004E3204"/>
    <w:rsid w:val="004E345C"/>
    <w:rsid w:val="004E3BD0"/>
    <w:rsid w:val="004E40E5"/>
    <w:rsid w:val="004E467D"/>
    <w:rsid w:val="004E4845"/>
    <w:rsid w:val="004E778E"/>
    <w:rsid w:val="004F1438"/>
    <w:rsid w:val="004F3DAF"/>
    <w:rsid w:val="004F6DEF"/>
    <w:rsid w:val="004F6F3A"/>
    <w:rsid w:val="00500C1A"/>
    <w:rsid w:val="00501ACE"/>
    <w:rsid w:val="0050212C"/>
    <w:rsid w:val="00504CD5"/>
    <w:rsid w:val="0050545A"/>
    <w:rsid w:val="00511BAC"/>
    <w:rsid w:val="005132BC"/>
    <w:rsid w:val="0051333C"/>
    <w:rsid w:val="005167CF"/>
    <w:rsid w:val="00516A10"/>
    <w:rsid w:val="00524BA7"/>
    <w:rsid w:val="00524FF6"/>
    <w:rsid w:val="00530AD9"/>
    <w:rsid w:val="00531C1A"/>
    <w:rsid w:val="005323EF"/>
    <w:rsid w:val="005424CE"/>
    <w:rsid w:val="00543075"/>
    <w:rsid w:val="00544267"/>
    <w:rsid w:val="00545A88"/>
    <w:rsid w:val="00545F41"/>
    <w:rsid w:val="00552759"/>
    <w:rsid w:val="005534A3"/>
    <w:rsid w:val="00554302"/>
    <w:rsid w:val="00554465"/>
    <w:rsid w:val="00556984"/>
    <w:rsid w:val="005574D6"/>
    <w:rsid w:val="00561C27"/>
    <w:rsid w:val="00564D3C"/>
    <w:rsid w:val="00566A30"/>
    <w:rsid w:val="00572049"/>
    <w:rsid w:val="0057493E"/>
    <w:rsid w:val="00575D25"/>
    <w:rsid w:val="00576AE2"/>
    <w:rsid w:val="00576EDE"/>
    <w:rsid w:val="00580BC1"/>
    <w:rsid w:val="00582A26"/>
    <w:rsid w:val="0058488C"/>
    <w:rsid w:val="00585730"/>
    <w:rsid w:val="00585DF9"/>
    <w:rsid w:val="00587099"/>
    <w:rsid w:val="005932A9"/>
    <w:rsid w:val="0059342C"/>
    <w:rsid w:val="00593588"/>
    <w:rsid w:val="00593D71"/>
    <w:rsid w:val="00596429"/>
    <w:rsid w:val="00596EB8"/>
    <w:rsid w:val="0059738D"/>
    <w:rsid w:val="00597A64"/>
    <w:rsid w:val="005A0E65"/>
    <w:rsid w:val="005A331D"/>
    <w:rsid w:val="005A5174"/>
    <w:rsid w:val="005A720C"/>
    <w:rsid w:val="005A76CB"/>
    <w:rsid w:val="005B0F2B"/>
    <w:rsid w:val="005B1EF6"/>
    <w:rsid w:val="005B5C62"/>
    <w:rsid w:val="005B6071"/>
    <w:rsid w:val="005B6149"/>
    <w:rsid w:val="005C10F3"/>
    <w:rsid w:val="005C14BD"/>
    <w:rsid w:val="005C24F9"/>
    <w:rsid w:val="005C33AA"/>
    <w:rsid w:val="005C4671"/>
    <w:rsid w:val="005C571F"/>
    <w:rsid w:val="005C6A2B"/>
    <w:rsid w:val="005C6F3B"/>
    <w:rsid w:val="005C76C7"/>
    <w:rsid w:val="005D010B"/>
    <w:rsid w:val="005D0CD1"/>
    <w:rsid w:val="005D1753"/>
    <w:rsid w:val="005D1D8C"/>
    <w:rsid w:val="005D44F6"/>
    <w:rsid w:val="005D5161"/>
    <w:rsid w:val="005D6E2C"/>
    <w:rsid w:val="005E0DBE"/>
    <w:rsid w:val="005E2811"/>
    <w:rsid w:val="005E2BD1"/>
    <w:rsid w:val="005E5007"/>
    <w:rsid w:val="005E5B54"/>
    <w:rsid w:val="005F0681"/>
    <w:rsid w:val="005F11A0"/>
    <w:rsid w:val="005F1931"/>
    <w:rsid w:val="005F2749"/>
    <w:rsid w:val="005F3095"/>
    <w:rsid w:val="005F3E01"/>
    <w:rsid w:val="005F507D"/>
    <w:rsid w:val="0060077B"/>
    <w:rsid w:val="00601E08"/>
    <w:rsid w:val="00603222"/>
    <w:rsid w:val="00605C22"/>
    <w:rsid w:val="00611371"/>
    <w:rsid w:val="00611D27"/>
    <w:rsid w:val="00611E4D"/>
    <w:rsid w:val="00613BAD"/>
    <w:rsid w:val="00613E6C"/>
    <w:rsid w:val="00616244"/>
    <w:rsid w:val="00622425"/>
    <w:rsid w:val="00623B8A"/>
    <w:rsid w:val="00627081"/>
    <w:rsid w:val="006279E7"/>
    <w:rsid w:val="00631B63"/>
    <w:rsid w:val="006327AF"/>
    <w:rsid w:val="0063310D"/>
    <w:rsid w:val="00636802"/>
    <w:rsid w:val="0063684F"/>
    <w:rsid w:val="00637755"/>
    <w:rsid w:val="006405D0"/>
    <w:rsid w:val="00641C55"/>
    <w:rsid w:val="00641D92"/>
    <w:rsid w:val="0064293E"/>
    <w:rsid w:val="00642BEA"/>
    <w:rsid w:val="00643BE6"/>
    <w:rsid w:val="00643CFF"/>
    <w:rsid w:val="00644976"/>
    <w:rsid w:val="00644E9F"/>
    <w:rsid w:val="006462A1"/>
    <w:rsid w:val="00651B25"/>
    <w:rsid w:val="00652122"/>
    <w:rsid w:val="00652C47"/>
    <w:rsid w:val="006533A8"/>
    <w:rsid w:val="006542C0"/>
    <w:rsid w:val="00656C0F"/>
    <w:rsid w:val="006577AD"/>
    <w:rsid w:val="00661EFD"/>
    <w:rsid w:val="00662F77"/>
    <w:rsid w:val="0066423E"/>
    <w:rsid w:val="00665162"/>
    <w:rsid w:val="006652AE"/>
    <w:rsid w:val="00666A80"/>
    <w:rsid w:val="0067421F"/>
    <w:rsid w:val="006758B3"/>
    <w:rsid w:val="00677C41"/>
    <w:rsid w:val="00680269"/>
    <w:rsid w:val="00680CB8"/>
    <w:rsid w:val="00682D28"/>
    <w:rsid w:val="00685B73"/>
    <w:rsid w:val="006865A0"/>
    <w:rsid w:val="00687981"/>
    <w:rsid w:val="00687E6A"/>
    <w:rsid w:val="006A010F"/>
    <w:rsid w:val="006A08D0"/>
    <w:rsid w:val="006A1E48"/>
    <w:rsid w:val="006A259D"/>
    <w:rsid w:val="006B3C12"/>
    <w:rsid w:val="006B49F3"/>
    <w:rsid w:val="006B4F50"/>
    <w:rsid w:val="006B573B"/>
    <w:rsid w:val="006C07DC"/>
    <w:rsid w:val="006C0DB0"/>
    <w:rsid w:val="006C1EAF"/>
    <w:rsid w:val="006C1FFC"/>
    <w:rsid w:val="006C3B17"/>
    <w:rsid w:val="006C52EB"/>
    <w:rsid w:val="006C5BA8"/>
    <w:rsid w:val="006C6AC8"/>
    <w:rsid w:val="006D040D"/>
    <w:rsid w:val="006D0412"/>
    <w:rsid w:val="006D3633"/>
    <w:rsid w:val="006D5C31"/>
    <w:rsid w:val="006D634A"/>
    <w:rsid w:val="006D757C"/>
    <w:rsid w:val="006D7A42"/>
    <w:rsid w:val="006E16F2"/>
    <w:rsid w:val="006E32F8"/>
    <w:rsid w:val="006E4F1D"/>
    <w:rsid w:val="006E569C"/>
    <w:rsid w:val="006E6403"/>
    <w:rsid w:val="006E64B4"/>
    <w:rsid w:val="006E6C94"/>
    <w:rsid w:val="006F27F5"/>
    <w:rsid w:val="006F359F"/>
    <w:rsid w:val="006F5EB1"/>
    <w:rsid w:val="006F670A"/>
    <w:rsid w:val="00700429"/>
    <w:rsid w:val="007038ED"/>
    <w:rsid w:val="0070584B"/>
    <w:rsid w:val="007059F5"/>
    <w:rsid w:val="00705FBB"/>
    <w:rsid w:val="00706ACB"/>
    <w:rsid w:val="00710E91"/>
    <w:rsid w:val="0071171F"/>
    <w:rsid w:val="007119CD"/>
    <w:rsid w:val="00717AFF"/>
    <w:rsid w:val="00722590"/>
    <w:rsid w:val="00722FBE"/>
    <w:rsid w:val="0072318E"/>
    <w:rsid w:val="0072380A"/>
    <w:rsid w:val="00730DF1"/>
    <w:rsid w:val="007313B8"/>
    <w:rsid w:val="00731C4B"/>
    <w:rsid w:val="00732F14"/>
    <w:rsid w:val="007337AB"/>
    <w:rsid w:val="007358BB"/>
    <w:rsid w:val="00736C62"/>
    <w:rsid w:val="007434C0"/>
    <w:rsid w:val="007453EA"/>
    <w:rsid w:val="00745933"/>
    <w:rsid w:val="007466D9"/>
    <w:rsid w:val="007468B6"/>
    <w:rsid w:val="00746B78"/>
    <w:rsid w:val="00747A4A"/>
    <w:rsid w:val="00747D0B"/>
    <w:rsid w:val="00750526"/>
    <w:rsid w:val="00751820"/>
    <w:rsid w:val="00752EFB"/>
    <w:rsid w:val="00752FCC"/>
    <w:rsid w:val="0075318E"/>
    <w:rsid w:val="00754032"/>
    <w:rsid w:val="0075712A"/>
    <w:rsid w:val="00765281"/>
    <w:rsid w:val="0076544A"/>
    <w:rsid w:val="00766909"/>
    <w:rsid w:val="00766954"/>
    <w:rsid w:val="00766983"/>
    <w:rsid w:val="00767AC5"/>
    <w:rsid w:val="00771280"/>
    <w:rsid w:val="00771D9E"/>
    <w:rsid w:val="0077221D"/>
    <w:rsid w:val="00774369"/>
    <w:rsid w:val="007747CC"/>
    <w:rsid w:val="007764DC"/>
    <w:rsid w:val="007768AD"/>
    <w:rsid w:val="00776CD2"/>
    <w:rsid w:val="007831C3"/>
    <w:rsid w:val="00785AE2"/>
    <w:rsid w:val="00793122"/>
    <w:rsid w:val="00793375"/>
    <w:rsid w:val="00794C34"/>
    <w:rsid w:val="007A04FD"/>
    <w:rsid w:val="007A1119"/>
    <w:rsid w:val="007A16C6"/>
    <w:rsid w:val="007A3679"/>
    <w:rsid w:val="007A65FB"/>
    <w:rsid w:val="007A6B84"/>
    <w:rsid w:val="007A742A"/>
    <w:rsid w:val="007A748F"/>
    <w:rsid w:val="007B0181"/>
    <w:rsid w:val="007B165B"/>
    <w:rsid w:val="007B1ACF"/>
    <w:rsid w:val="007B29F5"/>
    <w:rsid w:val="007B5531"/>
    <w:rsid w:val="007C0CA9"/>
    <w:rsid w:val="007C1F2D"/>
    <w:rsid w:val="007C34AF"/>
    <w:rsid w:val="007C4EF9"/>
    <w:rsid w:val="007D3358"/>
    <w:rsid w:val="007D6F9B"/>
    <w:rsid w:val="007D7F2D"/>
    <w:rsid w:val="007E07DA"/>
    <w:rsid w:val="007E0A65"/>
    <w:rsid w:val="007E0BF9"/>
    <w:rsid w:val="007E1220"/>
    <w:rsid w:val="007E44E6"/>
    <w:rsid w:val="007E5572"/>
    <w:rsid w:val="007E5735"/>
    <w:rsid w:val="007E5CDA"/>
    <w:rsid w:val="007E6885"/>
    <w:rsid w:val="007E6D72"/>
    <w:rsid w:val="007F0B23"/>
    <w:rsid w:val="007F3115"/>
    <w:rsid w:val="007F390C"/>
    <w:rsid w:val="007F4251"/>
    <w:rsid w:val="007F4D34"/>
    <w:rsid w:val="007F60B0"/>
    <w:rsid w:val="0080001C"/>
    <w:rsid w:val="00801BBB"/>
    <w:rsid w:val="00803DF6"/>
    <w:rsid w:val="00805F69"/>
    <w:rsid w:val="00807392"/>
    <w:rsid w:val="008110FA"/>
    <w:rsid w:val="00815185"/>
    <w:rsid w:val="00816F86"/>
    <w:rsid w:val="00820C2A"/>
    <w:rsid w:val="00821DF8"/>
    <w:rsid w:val="00823EC9"/>
    <w:rsid w:val="008259B8"/>
    <w:rsid w:val="008351FC"/>
    <w:rsid w:val="00835451"/>
    <w:rsid w:val="00836C08"/>
    <w:rsid w:val="00837F26"/>
    <w:rsid w:val="00845681"/>
    <w:rsid w:val="0084570F"/>
    <w:rsid w:val="00845D1D"/>
    <w:rsid w:val="0084695B"/>
    <w:rsid w:val="0084696E"/>
    <w:rsid w:val="00851CA9"/>
    <w:rsid w:val="008540ED"/>
    <w:rsid w:val="00854D70"/>
    <w:rsid w:val="0085500A"/>
    <w:rsid w:val="00855CC1"/>
    <w:rsid w:val="00856377"/>
    <w:rsid w:val="00856AEF"/>
    <w:rsid w:val="00861004"/>
    <w:rsid w:val="00861846"/>
    <w:rsid w:val="008627B3"/>
    <w:rsid w:val="008650E1"/>
    <w:rsid w:val="00866767"/>
    <w:rsid w:val="00871B10"/>
    <w:rsid w:val="00875935"/>
    <w:rsid w:val="00875A95"/>
    <w:rsid w:val="00876972"/>
    <w:rsid w:val="00876BEA"/>
    <w:rsid w:val="008825B2"/>
    <w:rsid w:val="00882DEF"/>
    <w:rsid w:val="008831A6"/>
    <w:rsid w:val="0088534E"/>
    <w:rsid w:val="00885BEC"/>
    <w:rsid w:val="008864F7"/>
    <w:rsid w:val="00887377"/>
    <w:rsid w:val="00887D35"/>
    <w:rsid w:val="0089133E"/>
    <w:rsid w:val="00891FEE"/>
    <w:rsid w:val="008953F4"/>
    <w:rsid w:val="00895DF3"/>
    <w:rsid w:val="00895F38"/>
    <w:rsid w:val="00896E37"/>
    <w:rsid w:val="00897B76"/>
    <w:rsid w:val="008A0B1D"/>
    <w:rsid w:val="008A0D47"/>
    <w:rsid w:val="008A1885"/>
    <w:rsid w:val="008A28EB"/>
    <w:rsid w:val="008A2BCC"/>
    <w:rsid w:val="008A484F"/>
    <w:rsid w:val="008A5806"/>
    <w:rsid w:val="008A6F19"/>
    <w:rsid w:val="008B1921"/>
    <w:rsid w:val="008B24DF"/>
    <w:rsid w:val="008B2767"/>
    <w:rsid w:val="008B56BF"/>
    <w:rsid w:val="008B6A67"/>
    <w:rsid w:val="008B7934"/>
    <w:rsid w:val="008B7F1B"/>
    <w:rsid w:val="008C02E9"/>
    <w:rsid w:val="008C3307"/>
    <w:rsid w:val="008C5FB3"/>
    <w:rsid w:val="008C7B4B"/>
    <w:rsid w:val="008D1599"/>
    <w:rsid w:val="008D247B"/>
    <w:rsid w:val="008D5D1F"/>
    <w:rsid w:val="008D6B5A"/>
    <w:rsid w:val="008E18E8"/>
    <w:rsid w:val="008E41A7"/>
    <w:rsid w:val="008F06A1"/>
    <w:rsid w:val="008F071A"/>
    <w:rsid w:val="008F2667"/>
    <w:rsid w:val="008F28FB"/>
    <w:rsid w:val="008F31A3"/>
    <w:rsid w:val="008F4003"/>
    <w:rsid w:val="008F5694"/>
    <w:rsid w:val="008F7FF0"/>
    <w:rsid w:val="00900783"/>
    <w:rsid w:val="00901015"/>
    <w:rsid w:val="00902A85"/>
    <w:rsid w:val="00911731"/>
    <w:rsid w:val="00912317"/>
    <w:rsid w:val="00912373"/>
    <w:rsid w:val="00913FB7"/>
    <w:rsid w:val="00914C94"/>
    <w:rsid w:val="00914E40"/>
    <w:rsid w:val="009169B3"/>
    <w:rsid w:val="00924512"/>
    <w:rsid w:val="00926FD1"/>
    <w:rsid w:val="009304CF"/>
    <w:rsid w:val="0093193C"/>
    <w:rsid w:val="00933FF8"/>
    <w:rsid w:val="00935D10"/>
    <w:rsid w:val="009369D8"/>
    <w:rsid w:val="00937033"/>
    <w:rsid w:val="00940B41"/>
    <w:rsid w:val="00942CDA"/>
    <w:rsid w:val="0094348A"/>
    <w:rsid w:val="00945F85"/>
    <w:rsid w:val="00946CE3"/>
    <w:rsid w:val="00950946"/>
    <w:rsid w:val="00955390"/>
    <w:rsid w:val="0096245A"/>
    <w:rsid w:val="0096398C"/>
    <w:rsid w:val="00964D1B"/>
    <w:rsid w:val="00965A23"/>
    <w:rsid w:val="00965B27"/>
    <w:rsid w:val="00966E5D"/>
    <w:rsid w:val="00967DEC"/>
    <w:rsid w:val="00970132"/>
    <w:rsid w:val="00970431"/>
    <w:rsid w:val="00972068"/>
    <w:rsid w:val="009721AA"/>
    <w:rsid w:val="0097439C"/>
    <w:rsid w:val="00974571"/>
    <w:rsid w:val="009761E0"/>
    <w:rsid w:val="009772BA"/>
    <w:rsid w:val="0097790C"/>
    <w:rsid w:val="009802A4"/>
    <w:rsid w:val="00980811"/>
    <w:rsid w:val="009858EF"/>
    <w:rsid w:val="009864AF"/>
    <w:rsid w:val="00986EF4"/>
    <w:rsid w:val="0098720E"/>
    <w:rsid w:val="0099243A"/>
    <w:rsid w:val="00992EBF"/>
    <w:rsid w:val="00995080"/>
    <w:rsid w:val="009965ED"/>
    <w:rsid w:val="00996821"/>
    <w:rsid w:val="009A0DA1"/>
    <w:rsid w:val="009A504D"/>
    <w:rsid w:val="009A6495"/>
    <w:rsid w:val="009A772D"/>
    <w:rsid w:val="009B0A82"/>
    <w:rsid w:val="009B3B22"/>
    <w:rsid w:val="009B4153"/>
    <w:rsid w:val="009B4C6B"/>
    <w:rsid w:val="009B5D7B"/>
    <w:rsid w:val="009B73E0"/>
    <w:rsid w:val="009C2331"/>
    <w:rsid w:val="009C58F5"/>
    <w:rsid w:val="009C659F"/>
    <w:rsid w:val="009C786D"/>
    <w:rsid w:val="009C7E6F"/>
    <w:rsid w:val="009D08B9"/>
    <w:rsid w:val="009D0909"/>
    <w:rsid w:val="009D2C26"/>
    <w:rsid w:val="009D2DC9"/>
    <w:rsid w:val="009D39F4"/>
    <w:rsid w:val="009D460A"/>
    <w:rsid w:val="009D54C0"/>
    <w:rsid w:val="009D5628"/>
    <w:rsid w:val="009D6F8F"/>
    <w:rsid w:val="009D71D7"/>
    <w:rsid w:val="009E4CDD"/>
    <w:rsid w:val="009F1313"/>
    <w:rsid w:val="009F1562"/>
    <w:rsid w:val="009F20E7"/>
    <w:rsid w:val="009F38A6"/>
    <w:rsid w:val="009F3CE1"/>
    <w:rsid w:val="009F43BF"/>
    <w:rsid w:val="009F4C7D"/>
    <w:rsid w:val="009F4CD5"/>
    <w:rsid w:val="009F72A0"/>
    <w:rsid w:val="00A00789"/>
    <w:rsid w:val="00A00861"/>
    <w:rsid w:val="00A01B44"/>
    <w:rsid w:val="00A0481B"/>
    <w:rsid w:val="00A069E2"/>
    <w:rsid w:val="00A07927"/>
    <w:rsid w:val="00A11FE0"/>
    <w:rsid w:val="00A125C8"/>
    <w:rsid w:val="00A131B0"/>
    <w:rsid w:val="00A14208"/>
    <w:rsid w:val="00A14349"/>
    <w:rsid w:val="00A15513"/>
    <w:rsid w:val="00A17188"/>
    <w:rsid w:val="00A200C8"/>
    <w:rsid w:val="00A20806"/>
    <w:rsid w:val="00A21233"/>
    <w:rsid w:val="00A23288"/>
    <w:rsid w:val="00A31CD8"/>
    <w:rsid w:val="00A32688"/>
    <w:rsid w:val="00A332DF"/>
    <w:rsid w:val="00A33CE1"/>
    <w:rsid w:val="00A35536"/>
    <w:rsid w:val="00A35A6C"/>
    <w:rsid w:val="00A35EA6"/>
    <w:rsid w:val="00A36881"/>
    <w:rsid w:val="00A36BD5"/>
    <w:rsid w:val="00A3753C"/>
    <w:rsid w:val="00A37D93"/>
    <w:rsid w:val="00A46EE0"/>
    <w:rsid w:val="00A51C43"/>
    <w:rsid w:val="00A55C39"/>
    <w:rsid w:val="00A573F4"/>
    <w:rsid w:val="00A6106C"/>
    <w:rsid w:val="00A62408"/>
    <w:rsid w:val="00A6744A"/>
    <w:rsid w:val="00A705FD"/>
    <w:rsid w:val="00A706A0"/>
    <w:rsid w:val="00A740C6"/>
    <w:rsid w:val="00A74C7E"/>
    <w:rsid w:val="00A7556C"/>
    <w:rsid w:val="00A75AFB"/>
    <w:rsid w:val="00A76811"/>
    <w:rsid w:val="00A76B4F"/>
    <w:rsid w:val="00A81995"/>
    <w:rsid w:val="00A83210"/>
    <w:rsid w:val="00A83736"/>
    <w:rsid w:val="00A84065"/>
    <w:rsid w:val="00A8699B"/>
    <w:rsid w:val="00A8793B"/>
    <w:rsid w:val="00A900AF"/>
    <w:rsid w:val="00A90DF7"/>
    <w:rsid w:val="00A92AC6"/>
    <w:rsid w:val="00A938FB"/>
    <w:rsid w:val="00AA1132"/>
    <w:rsid w:val="00AA55CA"/>
    <w:rsid w:val="00AA6BE2"/>
    <w:rsid w:val="00AA7050"/>
    <w:rsid w:val="00AA77FF"/>
    <w:rsid w:val="00AB0AFB"/>
    <w:rsid w:val="00AB4639"/>
    <w:rsid w:val="00AB56D0"/>
    <w:rsid w:val="00AB6129"/>
    <w:rsid w:val="00AB645F"/>
    <w:rsid w:val="00AB665B"/>
    <w:rsid w:val="00AB68B6"/>
    <w:rsid w:val="00AC508C"/>
    <w:rsid w:val="00AC5ADC"/>
    <w:rsid w:val="00AC734E"/>
    <w:rsid w:val="00AD08BB"/>
    <w:rsid w:val="00AD0AC5"/>
    <w:rsid w:val="00AD25E8"/>
    <w:rsid w:val="00AD2ACE"/>
    <w:rsid w:val="00AD2FCE"/>
    <w:rsid w:val="00AD450F"/>
    <w:rsid w:val="00AD5EF8"/>
    <w:rsid w:val="00AE01C3"/>
    <w:rsid w:val="00AE0542"/>
    <w:rsid w:val="00AE25B4"/>
    <w:rsid w:val="00AE263A"/>
    <w:rsid w:val="00AE31CF"/>
    <w:rsid w:val="00AE31FC"/>
    <w:rsid w:val="00AE61F2"/>
    <w:rsid w:val="00AF13F9"/>
    <w:rsid w:val="00AF2A15"/>
    <w:rsid w:val="00AF30B1"/>
    <w:rsid w:val="00AF3299"/>
    <w:rsid w:val="00AF448B"/>
    <w:rsid w:val="00AF4F05"/>
    <w:rsid w:val="00AF5E33"/>
    <w:rsid w:val="00AF6A26"/>
    <w:rsid w:val="00B0040E"/>
    <w:rsid w:val="00B0076B"/>
    <w:rsid w:val="00B058DF"/>
    <w:rsid w:val="00B067DA"/>
    <w:rsid w:val="00B07A58"/>
    <w:rsid w:val="00B07F6F"/>
    <w:rsid w:val="00B10392"/>
    <w:rsid w:val="00B10F8B"/>
    <w:rsid w:val="00B12223"/>
    <w:rsid w:val="00B137C3"/>
    <w:rsid w:val="00B15669"/>
    <w:rsid w:val="00B160B1"/>
    <w:rsid w:val="00B208F2"/>
    <w:rsid w:val="00B20B63"/>
    <w:rsid w:val="00B20D29"/>
    <w:rsid w:val="00B23285"/>
    <w:rsid w:val="00B320D6"/>
    <w:rsid w:val="00B32B17"/>
    <w:rsid w:val="00B33990"/>
    <w:rsid w:val="00B33B26"/>
    <w:rsid w:val="00B357BE"/>
    <w:rsid w:val="00B3666E"/>
    <w:rsid w:val="00B37189"/>
    <w:rsid w:val="00B41B5E"/>
    <w:rsid w:val="00B42B09"/>
    <w:rsid w:val="00B43232"/>
    <w:rsid w:val="00B44D3C"/>
    <w:rsid w:val="00B4510C"/>
    <w:rsid w:val="00B45C16"/>
    <w:rsid w:val="00B5072C"/>
    <w:rsid w:val="00B5129D"/>
    <w:rsid w:val="00B5344F"/>
    <w:rsid w:val="00B5777B"/>
    <w:rsid w:val="00B57ED5"/>
    <w:rsid w:val="00B63AB7"/>
    <w:rsid w:val="00B65926"/>
    <w:rsid w:val="00B709C2"/>
    <w:rsid w:val="00B70E1E"/>
    <w:rsid w:val="00B71CA4"/>
    <w:rsid w:val="00B728CF"/>
    <w:rsid w:val="00B751FA"/>
    <w:rsid w:val="00B76ACC"/>
    <w:rsid w:val="00B779D2"/>
    <w:rsid w:val="00B80B15"/>
    <w:rsid w:val="00B80F79"/>
    <w:rsid w:val="00B84650"/>
    <w:rsid w:val="00B8544F"/>
    <w:rsid w:val="00B85B03"/>
    <w:rsid w:val="00B864BD"/>
    <w:rsid w:val="00B87880"/>
    <w:rsid w:val="00B9283B"/>
    <w:rsid w:val="00B93A0F"/>
    <w:rsid w:val="00B94F69"/>
    <w:rsid w:val="00B97ED2"/>
    <w:rsid w:val="00BA0DA2"/>
    <w:rsid w:val="00BA289C"/>
    <w:rsid w:val="00BA4B2D"/>
    <w:rsid w:val="00BA72BF"/>
    <w:rsid w:val="00BA7977"/>
    <w:rsid w:val="00BA7C4B"/>
    <w:rsid w:val="00BB024C"/>
    <w:rsid w:val="00BB05A4"/>
    <w:rsid w:val="00BB0BF4"/>
    <w:rsid w:val="00BB2451"/>
    <w:rsid w:val="00BB3793"/>
    <w:rsid w:val="00BB49DA"/>
    <w:rsid w:val="00BB7296"/>
    <w:rsid w:val="00BB7DF1"/>
    <w:rsid w:val="00BC10C3"/>
    <w:rsid w:val="00BC3502"/>
    <w:rsid w:val="00BC3D6A"/>
    <w:rsid w:val="00BC4713"/>
    <w:rsid w:val="00BC4B00"/>
    <w:rsid w:val="00BC799B"/>
    <w:rsid w:val="00BC7D18"/>
    <w:rsid w:val="00BC7E63"/>
    <w:rsid w:val="00BD0895"/>
    <w:rsid w:val="00BD15A1"/>
    <w:rsid w:val="00BD24E3"/>
    <w:rsid w:val="00BD4B5A"/>
    <w:rsid w:val="00BD6168"/>
    <w:rsid w:val="00BD7AB2"/>
    <w:rsid w:val="00BD7AC6"/>
    <w:rsid w:val="00BE2E91"/>
    <w:rsid w:val="00BE41A5"/>
    <w:rsid w:val="00BE4D1F"/>
    <w:rsid w:val="00BE74FB"/>
    <w:rsid w:val="00BE7D45"/>
    <w:rsid w:val="00BF097C"/>
    <w:rsid w:val="00BF0BA4"/>
    <w:rsid w:val="00BF1951"/>
    <w:rsid w:val="00BF2929"/>
    <w:rsid w:val="00BF2C14"/>
    <w:rsid w:val="00BF44D4"/>
    <w:rsid w:val="00BF49C0"/>
    <w:rsid w:val="00BF5DEC"/>
    <w:rsid w:val="00BF5EE3"/>
    <w:rsid w:val="00BF74AC"/>
    <w:rsid w:val="00C001E3"/>
    <w:rsid w:val="00C003E3"/>
    <w:rsid w:val="00C006C2"/>
    <w:rsid w:val="00C0195D"/>
    <w:rsid w:val="00C01BDA"/>
    <w:rsid w:val="00C038A7"/>
    <w:rsid w:val="00C10D29"/>
    <w:rsid w:val="00C13E5A"/>
    <w:rsid w:val="00C140A2"/>
    <w:rsid w:val="00C15FC2"/>
    <w:rsid w:val="00C16831"/>
    <w:rsid w:val="00C20440"/>
    <w:rsid w:val="00C21979"/>
    <w:rsid w:val="00C27A0C"/>
    <w:rsid w:val="00C30BBE"/>
    <w:rsid w:val="00C3133D"/>
    <w:rsid w:val="00C31A90"/>
    <w:rsid w:val="00C31CB3"/>
    <w:rsid w:val="00C32823"/>
    <w:rsid w:val="00C339E1"/>
    <w:rsid w:val="00C34C25"/>
    <w:rsid w:val="00C359B5"/>
    <w:rsid w:val="00C37A57"/>
    <w:rsid w:val="00C40D2C"/>
    <w:rsid w:val="00C40E15"/>
    <w:rsid w:val="00C4173B"/>
    <w:rsid w:val="00C41BA7"/>
    <w:rsid w:val="00C42908"/>
    <w:rsid w:val="00C44ACF"/>
    <w:rsid w:val="00C46ABB"/>
    <w:rsid w:val="00C4795A"/>
    <w:rsid w:val="00C5021E"/>
    <w:rsid w:val="00C52940"/>
    <w:rsid w:val="00C544D7"/>
    <w:rsid w:val="00C556A2"/>
    <w:rsid w:val="00C57151"/>
    <w:rsid w:val="00C57789"/>
    <w:rsid w:val="00C611C2"/>
    <w:rsid w:val="00C61EE2"/>
    <w:rsid w:val="00C634F5"/>
    <w:rsid w:val="00C63CBF"/>
    <w:rsid w:val="00C646D6"/>
    <w:rsid w:val="00C65163"/>
    <w:rsid w:val="00C656CF"/>
    <w:rsid w:val="00C6577B"/>
    <w:rsid w:val="00C660DF"/>
    <w:rsid w:val="00C67BD5"/>
    <w:rsid w:val="00C724DA"/>
    <w:rsid w:val="00C72B58"/>
    <w:rsid w:val="00C7377B"/>
    <w:rsid w:val="00C75060"/>
    <w:rsid w:val="00C755FB"/>
    <w:rsid w:val="00C75FBC"/>
    <w:rsid w:val="00C800E3"/>
    <w:rsid w:val="00C84589"/>
    <w:rsid w:val="00C84D1C"/>
    <w:rsid w:val="00C8773F"/>
    <w:rsid w:val="00C87ADA"/>
    <w:rsid w:val="00C87E60"/>
    <w:rsid w:val="00C913B8"/>
    <w:rsid w:val="00C942AB"/>
    <w:rsid w:val="00C94F2D"/>
    <w:rsid w:val="00C95056"/>
    <w:rsid w:val="00C956C2"/>
    <w:rsid w:val="00C9639E"/>
    <w:rsid w:val="00C97BE9"/>
    <w:rsid w:val="00CA074D"/>
    <w:rsid w:val="00CA0C90"/>
    <w:rsid w:val="00CA0DA5"/>
    <w:rsid w:val="00CA35DD"/>
    <w:rsid w:val="00CA4CE7"/>
    <w:rsid w:val="00CA6129"/>
    <w:rsid w:val="00CA6B2C"/>
    <w:rsid w:val="00CA7894"/>
    <w:rsid w:val="00CB12FE"/>
    <w:rsid w:val="00CB23E1"/>
    <w:rsid w:val="00CB2BAB"/>
    <w:rsid w:val="00CB3D39"/>
    <w:rsid w:val="00CB4D21"/>
    <w:rsid w:val="00CB6602"/>
    <w:rsid w:val="00CB74E7"/>
    <w:rsid w:val="00CC0DF6"/>
    <w:rsid w:val="00CC1682"/>
    <w:rsid w:val="00CC22BB"/>
    <w:rsid w:val="00CC2B48"/>
    <w:rsid w:val="00CC3D1B"/>
    <w:rsid w:val="00CC6808"/>
    <w:rsid w:val="00CC759C"/>
    <w:rsid w:val="00CC7DDE"/>
    <w:rsid w:val="00CD475C"/>
    <w:rsid w:val="00CD50A5"/>
    <w:rsid w:val="00CD6D0A"/>
    <w:rsid w:val="00CD7256"/>
    <w:rsid w:val="00CD729E"/>
    <w:rsid w:val="00CE1AD4"/>
    <w:rsid w:val="00CE46D1"/>
    <w:rsid w:val="00CE6153"/>
    <w:rsid w:val="00CE756C"/>
    <w:rsid w:val="00CF06A8"/>
    <w:rsid w:val="00CF3E1C"/>
    <w:rsid w:val="00CF662B"/>
    <w:rsid w:val="00D01391"/>
    <w:rsid w:val="00D015B9"/>
    <w:rsid w:val="00D0282D"/>
    <w:rsid w:val="00D066E5"/>
    <w:rsid w:val="00D06E21"/>
    <w:rsid w:val="00D10377"/>
    <w:rsid w:val="00D1474F"/>
    <w:rsid w:val="00D155D5"/>
    <w:rsid w:val="00D156DB"/>
    <w:rsid w:val="00D15E64"/>
    <w:rsid w:val="00D17F05"/>
    <w:rsid w:val="00D2155E"/>
    <w:rsid w:val="00D2480A"/>
    <w:rsid w:val="00D32547"/>
    <w:rsid w:val="00D32581"/>
    <w:rsid w:val="00D32ADF"/>
    <w:rsid w:val="00D339B0"/>
    <w:rsid w:val="00D35424"/>
    <w:rsid w:val="00D36411"/>
    <w:rsid w:val="00D40298"/>
    <w:rsid w:val="00D41957"/>
    <w:rsid w:val="00D41CC1"/>
    <w:rsid w:val="00D42CF5"/>
    <w:rsid w:val="00D45ECA"/>
    <w:rsid w:val="00D462CB"/>
    <w:rsid w:val="00D4796F"/>
    <w:rsid w:val="00D503B4"/>
    <w:rsid w:val="00D50C8E"/>
    <w:rsid w:val="00D53A2C"/>
    <w:rsid w:val="00D55FC7"/>
    <w:rsid w:val="00D5607D"/>
    <w:rsid w:val="00D56C6F"/>
    <w:rsid w:val="00D61714"/>
    <w:rsid w:val="00D6188E"/>
    <w:rsid w:val="00D70165"/>
    <w:rsid w:val="00D714B8"/>
    <w:rsid w:val="00D71A50"/>
    <w:rsid w:val="00D727A8"/>
    <w:rsid w:val="00D72A27"/>
    <w:rsid w:val="00D73515"/>
    <w:rsid w:val="00D73C73"/>
    <w:rsid w:val="00D740D9"/>
    <w:rsid w:val="00D74149"/>
    <w:rsid w:val="00D75050"/>
    <w:rsid w:val="00D756B3"/>
    <w:rsid w:val="00D75F57"/>
    <w:rsid w:val="00D862DC"/>
    <w:rsid w:val="00D8631A"/>
    <w:rsid w:val="00D869BC"/>
    <w:rsid w:val="00D87831"/>
    <w:rsid w:val="00D87DF6"/>
    <w:rsid w:val="00D90B65"/>
    <w:rsid w:val="00D945CD"/>
    <w:rsid w:val="00D94E67"/>
    <w:rsid w:val="00D964FA"/>
    <w:rsid w:val="00D96912"/>
    <w:rsid w:val="00D96A7F"/>
    <w:rsid w:val="00D9729C"/>
    <w:rsid w:val="00DA0220"/>
    <w:rsid w:val="00DA2164"/>
    <w:rsid w:val="00DA380A"/>
    <w:rsid w:val="00DA5DC2"/>
    <w:rsid w:val="00DA7BF3"/>
    <w:rsid w:val="00DB07FC"/>
    <w:rsid w:val="00DB1B92"/>
    <w:rsid w:val="00DC0BC3"/>
    <w:rsid w:val="00DC29FE"/>
    <w:rsid w:val="00DC4019"/>
    <w:rsid w:val="00DC5936"/>
    <w:rsid w:val="00DC7C2E"/>
    <w:rsid w:val="00DD0A07"/>
    <w:rsid w:val="00DD4456"/>
    <w:rsid w:val="00DD604E"/>
    <w:rsid w:val="00DE0630"/>
    <w:rsid w:val="00DE0AF8"/>
    <w:rsid w:val="00DE3068"/>
    <w:rsid w:val="00DE34C2"/>
    <w:rsid w:val="00DE5702"/>
    <w:rsid w:val="00DF2756"/>
    <w:rsid w:val="00DF5F82"/>
    <w:rsid w:val="00DF6F24"/>
    <w:rsid w:val="00E026B4"/>
    <w:rsid w:val="00E10BA3"/>
    <w:rsid w:val="00E112D3"/>
    <w:rsid w:val="00E14466"/>
    <w:rsid w:val="00E14F4F"/>
    <w:rsid w:val="00E23B46"/>
    <w:rsid w:val="00E23E0B"/>
    <w:rsid w:val="00E24B42"/>
    <w:rsid w:val="00E24F7D"/>
    <w:rsid w:val="00E25C53"/>
    <w:rsid w:val="00E269DA"/>
    <w:rsid w:val="00E30040"/>
    <w:rsid w:val="00E30B1F"/>
    <w:rsid w:val="00E317CA"/>
    <w:rsid w:val="00E32534"/>
    <w:rsid w:val="00E338CD"/>
    <w:rsid w:val="00E34CED"/>
    <w:rsid w:val="00E3544B"/>
    <w:rsid w:val="00E3646A"/>
    <w:rsid w:val="00E37428"/>
    <w:rsid w:val="00E3773A"/>
    <w:rsid w:val="00E41F00"/>
    <w:rsid w:val="00E47513"/>
    <w:rsid w:val="00E50080"/>
    <w:rsid w:val="00E50A84"/>
    <w:rsid w:val="00E510C9"/>
    <w:rsid w:val="00E543B3"/>
    <w:rsid w:val="00E54815"/>
    <w:rsid w:val="00E56645"/>
    <w:rsid w:val="00E57F01"/>
    <w:rsid w:val="00E67199"/>
    <w:rsid w:val="00E676EA"/>
    <w:rsid w:val="00E700E1"/>
    <w:rsid w:val="00E71330"/>
    <w:rsid w:val="00E72776"/>
    <w:rsid w:val="00E72A80"/>
    <w:rsid w:val="00E72F83"/>
    <w:rsid w:val="00E7519C"/>
    <w:rsid w:val="00E75C1B"/>
    <w:rsid w:val="00E762A2"/>
    <w:rsid w:val="00E76BDE"/>
    <w:rsid w:val="00E77CEF"/>
    <w:rsid w:val="00E8093B"/>
    <w:rsid w:val="00E8159F"/>
    <w:rsid w:val="00E826DA"/>
    <w:rsid w:val="00E83649"/>
    <w:rsid w:val="00E83865"/>
    <w:rsid w:val="00E8488D"/>
    <w:rsid w:val="00E84D65"/>
    <w:rsid w:val="00E86344"/>
    <w:rsid w:val="00E872E4"/>
    <w:rsid w:val="00E91C12"/>
    <w:rsid w:val="00E97FA2"/>
    <w:rsid w:val="00EA0F59"/>
    <w:rsid w:val="00EA20FE"/>
    <w:rsid w:val="00EA289A"/>
    <w:rsid w:val="00EA3ECE"/>
    <w:rsid w:val="00EA7769"/>
    <w:rsid w:val="00EA7BB2"/>
    <w:rsid w:val="00EB2C98"/>
    <w:rsid w:val="00EB57FD"/>
    <w:rsid w:val="00EB78FF"/>
    <w:rsid w:val="00EC0FAA"/>
    <w:rsid w:val="00EC379B"/>
    <w:rsid w:val="00EC397F"/>
    <w:rsid w:val="00EC3ACE"/>
    <w:rsid w:val="00EC55D0"/>
    <w:rsid w:val="00ED20E9"/>
    <w:rsid w:val="00ED3DC4"/>
    <w:rsid w:val="00ED42D7"/>
    <w:rsid w:val="00ED461F"/>
    <w:rsid w:val="00ED5FB6"/>
    <w:rsid w:val="00EE063D"/>
    <w:rsid w:val="00EE1732"/>
    <w:rsid w:val="00EE448D"/>
    <w:rsid w:val="00EE44CD"/>
    <w:rsid w:val="00EE7929"/>
    <w:rsid w:val="00EF14C3"/>
    <w:rsid w:val="00EF1F4B"/>
    <w:rsid w:val="00EF2BC9"/>
    <w:rsid w:val="00EF3CD7"/>
    <w:rsid w:val="00EF5443"/>
    <w:rsid w:val="00EF62B2"/>
    <w:rsid w:val="00EF6A9F"/>
    <w:rsid w:val="00F017AF"/>
    <w:rsid w:val="00F037F2"/>
    <w:rsid w:val="00F0703B"/>
    <w:rsid w:val="00F076DD"/>
    <w:rsid w:val="00F10B07"/>
    <w:rsid w:val="00F10E10"/>
    <w:rsid w:val="00F11815"/>
    <w:rsid w:val="00F160B8"/>
    <w:rsid w:val="00F175B1"/>
    <w:rsid w:val="00F17B5F"/>
    <w:rsid w:val="00F20675"/>
    <w:rsid w:val="00F22431"/>
    <w:rsid w:val="00F22475"/>
    <w:rsid w:val="00F26E41"/>
    <w:rsid w:val="00F304FB"/>
    <w:rsid w:val="00F31E1D"/>
    <w:rsid w:val="00F330B9"/>
    <w:rsid w:val="00F33B0F"/>
    <w:rsid w:val="00F34730"/>
    <w:rsid w:val="00F36096"/>
    <w:rsid w:val="00F36188"/>
    <w:rsid w:val="00F372EB"/>
    <w:rsid w:val="00F377B8"/>
    <w:rsid w:val="00F377BF"/>
    <w:rsid w:val="00F37F6F"/>
    <w:rsid w:val="00F42889"/>
    <w:rsid w:val="00F44573"/>
    <w:rsid w:val="00F4567F"/>
    <w:rsid w:val="00F46D22"/>
    <w:rsid w:val="00F47490"/>
    <w:rsid w:val="00F52754"/>
    <w:rsid w:val="00F5632A"/>
    <w:rsid w:val="00F56F71"/>
    <w:rsid w:val="00F6194B"/>
    <w:rsid w:val="00F637CF"/>
    <w:rsid w:val="00F644DA"/>
    <w:rsid w:val="00F719EE"/>
    <w:rsid w:val="00F73126"/>
    <w:rsid w:val="00F74BAE"/>
    <w:rsid w:val="00F7558C"/>
    <w:rsid w:val="00F7583F"/>
    <w:rsid w:val="00F80013"/>
    <w:rsid w:val="00F8066D"/>
    <w:rsid w:val="00F807C3"/>
    <w:rsid w:val="00F814DA"/>
    <w:rsid w:val="00F81AE0"/>
    <w:rsid w:val="00F81F90"/>
    <w:rsid w:val="00F82411"/>
    <w:rsid w:val="00F832FE"/>
    <w:rsid w:val="00F853F9"/>
    <w:rsid w:val="00F856F7"/>
    <w:rsid w:val="00F860F8"/>
    <w:rsid w:val="00F861B1"/>
    <w:rsid w:val="00F869B2"/>
    <w:rsid w:val="00F86A61"/>
    <w:rsid w:val="00F8729C"/>
    <w:rsid w:val="00F87955"/>
    <w:rsid w:val="00F93AD0"/>
    <w:rsid w:val="00F93CC6"/>
    <w:rsid w:val="00F94B6B"/>
    <w:rsid w:val="00F9736E"/>
    <w:rsid w:val="00FA14C8"/>
    <w:rsid w:val="00FA1864"/>
    <w:rsid w:val="00FA1EA8"/>
    <w:rsid w:val="00FA32B9"/>
    <w:rsid w:val="00FA3371"/>
    <w:rsid w:val="00FA79DB"/>
    <w:rsid w:val="00FB03D6"/>
    <w:rsid w:val="00FB3AAC"/>
    <w:rsid w:val="00FB550E"/>
    <w:rsid w:val="00FB5BA1"/>
    <w:rsid w:val="00FB776B"/>
    <w:rsid w:val="00FC4523"/>
    <w:rsid w:val="00FC46E4"/>
    <w:rsid w:val="00FC4D93"/>
    <w:rsid w:val="00FC514D"/>
    <w:rsid w:val="00FC5730"/>
    <w:rsid w:val="00FC5A22"/>
    <w:rsid w:val="00FC5C5A"/>
    <w:rsid w:val="00FD1088"/>
    <w:rsid w:val="00FD12A9"/>
    <w:rsid w:val="00FD194E"/>
    <w:rsid w:val="00FD1BB7"/>
    <w:rsid w:val="00FD410C"/>
    <w:rsid w:val="00FD50B0"/>
    <w:rsid w:val="00FD5D66"/>
    <w:rsid w:val="00FD64CF"/>
    <w:rsid w:val="00FE064D"/>
    <w:rsid w:val="00FE1278"/>
    <w:rsid w:val="00FE4525"/>
    <w:rsid w:val="00FE588F"/>
    <w:rsid w:val="00FF1270"/>
    <w:rsid w:val="00FF1FAF"/>
    <w:rsid w:val="00FF216E"/>
    <w:rsid w:val="00FF3932"/>
    <w:rsid w:val="00FF3C3B"/>
    <w:rsid w:val="00FF4309"/>
    <w:rsid w:val="00FF512D"/>
    <w:rsid w:val="00FF5A2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6D9C7"/>
  <w15:docId w15:val="{58303C15-449A-449B-9C8C-BAD9D26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58"/>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uiPriority w:val="99"/>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955390"/>
    <w:pPr>
      <w:ind w:left="720"/>
      <w:contextualSpacing/>
    </w:pPr>
  </w:style>
  <w:style w:type="paragraph" w:styleId="NormalWeb">
    <w:name w:val="Normal (Web)"/>
    <w:basedOn w:val="Normal"/>
    <w:uiPriority w:val="99"/>
    <w:semiHidden/>
    <w:unhideWhenUsed/>
    <w:rsid w:val="00F853F9"/>
    <w:pPr>
      <w:spacing w:before="100" w:beforeAutospacing="1" w:after="100" w:afterAutospacing="1"/>
      <w:jc w:val="left"/>
    </w:pPr>
    <w:rPr>
      <w:rFonts w:ascii="Times New Roman" w:eastAsiaTheme="minorHAnsi"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1579">
      <w:bodyDiv w:val="1"/>
      <w:marLeft w:val="0"/>
      <w:marRight w:val="0"/>
      <w:marTop w:val="0"/>
      <w:marBottom w:val="0"/>
      <w:divBdr>
        <w:top w:val="none" w:sz="0" w:space="0" w:color="auto"/>
        <w:left w:val="none" w:sz="0" w:space="0" w:color="auto"/>
        <w:bottom w:val="none" w:sz="0" w:space="0" w:color="auto"/>
        <w:right w:val="none" w:sz="0" w:space="0" w:color="auto"/>
      </w:divBdr>
    </w:div>
    <w:div w:id="47799441">
      <w:bodyDiv w:val="1"/>
      <w:marLeft w:val="0"/>
      <w:marRight w:val="0"/>
      <w:marTop w:val="0"/>
      <w:marBottom w:val="0"/>
      <w:divBdr>
        <w:top w:val="none" w:sz="0" w:space="0" w:color="auto"/>
        <w:left w:val="none" w:sz="0" w:space="0" w:color="auto"/>
        <w:bottom w:val="none" w:sz="0" w:space="0" w:color="auto"/>
        <w:right w:val="none" w:sz="0" w:space="0" w:color="auto"/>
      </w:divBdr>
    </w:div>
    <w:div w:id="129517323">
      <w:bodyDiv w:val="1"/>
      <w:marLeft w:val="0"/>
      <w:marRight w:val="0"/>
      <w:marTop w:val="0"/>
      <w:marBottom w:val="0"/>
      <w:divBdr>
        <w:top w:val="none" w:sz="0" w:space="0" w:color="auto"/>
        <w:left w:val="none" w:sz="0" w:space="0" w:color="auto"/>
        <w:bottom w:val="none" w:sz="0" w:space="0" w:color="auto"/>
        <w:right w:val="none" w:sz="0" w:space="0" w:color="auto"/>
      </w:divBdr>
      <w:divsChild>
        <w:div w:id="1616600364">
          <w:marLeft w:val="0"/>
          <w:marRight w:val="0"/>
          <w:marTop w:val="0"/>
          <w:marBottom w:val="0"/>
          <w:divBdr>
            <w:top w:val="none" w:sz="0" w:space="0" w:color="auto"/>
            <w:left w:val="none" w:sz="0" w:space="0" w:color="auto"/>
            <w:bottom w:val="none" w:sz="0" w:space="0" w:color="auto"/>
            <w:right w:val="none" w:sz="0" w:space="0" w:color="auto"/>
          </w:divBdr>
          <w:divsChild>
            <w:div w:id="1279023393">
              <w:marLeft w:val="0"/>
              <w:marRight w:val="0"/>
              <w:marTop w:val="0"/>
              <w:marBottom w:val="0"/>
              <w:divBdr>
                <w:top w:val="none" w:sz="0" w:space="0" w:color="auto"/>
                <w:left w:val="none" w:sz="0" w:space="0" w:color="auto"/>
                <w:bottom w:val="none" w:sz="0" w:space="0" w:color="auto"/>
                <w:right w:val="none" w:sz="0" w:space="0" w:color="auto"/>
              </w:divBdr>
              <w:divsChild>
                <w:div w:id="11815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902983037">
      <w:bodyDiv w:val="1"/>
      <w:marLeft w:val="0"/>
      <w:marRight w:val="0"/>
      <w:marTop w:val="0"/>
      <w:marBottom w:val="0"/>
      <w:divBdr>
        <w:top w:val="none" w:sz="0" w:space="0" w:color="auto"/>
        <w:left w:val="none" w:sz="0" w:space="0" w:color="auto"/>
        <w:bottom w:val="none" w:sz="0" w:space="0" w:color="auto"/>
        <w:right w:val="none" w:sz="0" w:space="0" w:color="auto"/>
      </w:divBdr>
      <w:divsChild>
        <w:div w:id="1425957503">
          <w:marLeft w:val="0"/>
          <w:marRight w:val="0"/>
          <w:marTop w:val="0"/>
          <w:marBottom w:val="0"/>
          <w:divBdr>
            <w:top w:val="none" w:sz="0" w:space="0" w:color="auto"/>
            <w:left w:val="none" w:sz="0" w:space="0" w:color="auto"/>
            <w:bottom w:val="none" w:sz="0" w:space="0" w:color="auto"/>
            <w:right w:val="none" w:sz="0" w:space="0" w:color="auto"/>
          </w:divBdr>
          <w:divsChild>
            <w:div w:id="1721787791">
              <w:marLeft w:val="0"/>
              <w:marRight w:val="0"/>
              <w:marTop w:val="0"/>
              <w:marBottom w:val="0"/>
              <w:divBdr>
                <w:top w:val="none" w:sz="0" w:space="0" w:color="auto"/>
                <w:left w:val="none" w:sz="0" w:space="0" w:color="auto"/>
                <w:bottom w:val="none" w:sz="0" w:space="0" w:color="auto"/>
                <w:right w:val="none" w:sz="0" w:space="0" w:color="auto"/>
              </w:divBdr>
              <w:divsChild>
                <w:div w:id="1225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592544285">
      <w:bodyDiv w:val="1"/>
      <w:marLeft w:val="0"/>
      <w:marRight w:val="0"/>
      <w:marTop w:val="0"/>
      <w:marBottom w:val="0"/>
      <w:divBdr>
        <w:top w:val="none" w:sz="0" w:space="0" w:color="auto"/>
        <w:left w:val="none" w:sz="0" w:space="0" w:color="auto"/>
        <w:bottom w:val="none" w:sz="0" w:space="0" w:color="auto"/>
        <w:right w:val="none" w:sz="0" w:space="0" w:color="auto"/>
      </w:divBdr>
    </w:div>
    <w:div w:id="1718896955">
      <w:bodyDiv w:val="1"/>
      <w:marLeft w:val="0"/>
      <w:marRight w:val="0"/>
      <w:marTop w:val="0"/>
      <w:marBottom w:val="0"/>
      <w:divBdr>
        <w:top w:val="none" w:sz="0" w:space="0" w:color="auto"/>
        <w:left w:val="none" w:sz="0" w:space="0" w:color="auto"/>
        <w:bottom w:val="none" w:sz="0" w:space="0" w:color="auto"/>
        <w:right w:val="none" w:sz="0" w:space="0" w:color="auto"/>
      </w:divBdr>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094348583">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info/brexit/brexit-preparedness/citizens-rights_en" TargetMode="External"/><Relationship Id="rId10" Type="http://schemas.openxmlformats.org/officeDocument/2006/relationships/hyperlink" Target="https://ec.europa.eu/info/brexit/brexit-preparedness/citizens-rights_en" TargetMode="External"/><Relationship Id="rId4" Type="http://schemas.openxmlformats.org/officeDocument/2006/relationships/settings" Target="settings.xml"/><Relationship Id="rId9" Type="http://schemas.openxmlformats.org/officeDocument/2006/relationships/hyperlink" Target="https://ec.europa.eu/info/brexit/brexit-preparedness/citizens-rights_en"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BADA-DDAE-4BAF-A24D-44110542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30</Pages>
  <Words>4843</Words>
  <Characters>25874</Characters>
  <Application>Microsoft Office Word</Application>
  <DocSecurity>0</DocSecurity>
  <Lines>215</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Schools</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BECKMANN Andreas (OSG)</cp:lastModifiedBy>
  <cp:revision>24</cp:revision>
  <cp:lastPrinted>2020-03-16T14:26:00Z</cp:lastPrinted>
  <dcterms:created xsi:type="dcterms:W3CDTF">2020-01-20T07:41:00Z</dcterms:created>
  <dcterms:modified xsi:type="dcterms:W3CDTF">2020-03-23T10:07:00Z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-1905518440</vt:i4>
  </property>
</Properties>
</file>