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B05B43" w:rsidRPr="00683A5E" w:rsidTr="00F11637">
        <w:trPr>
          <w:trHeight w:val="1440"/>
        </w:trPr>
        <w:tc>
          <w:tcPr>
            <w:tcW w:w="5103" w:type="dxa"/>
          </w:tcPr>
          <w:p w:rsidR="00B05B43" w:rsidRPr="00683A5E" w:rsidRDefault="00B05B43" w:rsidP="00F11637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683A5E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w:drawing>
                <wp:inline distT="0" distB="0" distL="0" distR="0" wp14:anchorId="7AF37006" wp14:editId="681D8B5E">
                  <wp:extent cx="2385060" cy="1021080"/>
                  <wp:effectExtent l="0" t="0" r="0" b="7620"/>
                  <wp:docPr id="2" name="Picture 2" descr="C:\Users\helene.matundu_luzol\AppData\Local\Microsoft\Windows\Temporary Internet Files\Content.Outlook\8MKC54EL\Logo Schola Europaea - pour document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helene.matundu_luzol\AppData\Local\Microsoft\Windows\Temporary Internet Files\Content.Outlook\8MKC54EL\Logo Schola Europaea - pour documents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</w:tcPr>
          <w:p w:rsidR="00B05B43" w:rsidRPr="00683A5E" w:rsidRDefault="00B05B43" w:rsidP="00F11637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</w:rPr>
            </w:pPr>
          </w:p>
          <w:p w:rsidR="00B05B43" w:rsidRPr="00683A5E" w:rsidRDefault="00B05B43" w:rsidP="00F11637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</w:rPr>
            </w:pPr>
            <w:proofErr w:type="spellStart"/>
            <w:r w:rsidRPr="00683A5E">
              <w:rPr>
                <w:rFonts w:ascii="Arial" w:eastAsia="Times New Roman" w:hAnsi="Arial" w:cs="Times New Roman"/>
                <w:b/>
                <w:bCs/>
                <w:snapToGrid w:val="0"/>
                <w:color w:val="233E90"/>
                <w:sz w:val="24"/>
                <w:szCs w:val="20"/>
              </w:rPr>
              <w:t>Schola</w:t>
            </w:r>
            <w:proofErr w:type="spellEnd"/>
            <w:r w:rsidRPr="00683A5E">
              <w:rPr>
                <w:rFonts w:ascii="Arial" w:eastAsia="Times New Roman" w:hAnsi="Arial" w:cs="Times New Roman"/>
                <w:b/>
                <w:bCs/>
                <w:snapToGrid w:val="0"/>
                <w:color w:val="233E90"/>
                <w:sz w:val="24"/>
                <w:szCs w:val="20"/>
              </w:rPr>
              <w:t xml:space="preserve"> </w:t>
            </w:r>
            <w:proofErr w:type="spellStart"/>
            <w:r w:rsidRPr="00683A5E">
              <w:rPr>
                <w:rFonts w:ascii="Arial" w:eastAsia="Times New Roman" w:hAnsi="Arial" w:cs="Times New Roman"/>
                <w:b/>
                <w:bCs/>
                <w:snapToGrid w:val="0"/>
                <w:color w:val="233E90"/>
                <w:sz w:val="24"/>
                <w:szCs w:val="20"/>
              </w:rPr>
              <w:t>Europaea</w:t>
            </w:r>
            <w:proofErr w:type="spellEnd"/>
          </w:p>
          <w:p w:rsidR="00B05B43" w:rsidRPr="00683A5E" w:rsidRDefault="00B05B43" w:rsidP="00F1163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color w:val="233E90"/>
                <w:szCs w:val="20"/>
                <w:lang w:eastAsia="fr-FR"/>
              </w:rPr>
            </w:pPr>
          </w:p>
          <w:p w:rsidR="00B05B43" w:rsidRPr="00683A5E" w:rsidRDefault="00B05B43" w:rsidP="00F11637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</w:rPr>
            </w:pPr>
            <w:r w:rsidRPr="00683A5E"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</w:rPr>
              <w:t>Office of the Secretary-General</w:t>
            </w:r>
          </w:p>
          <w:p w:rsidR="00B05B43" w:rsidRPr="00683A5E" w:rsidRDefault="00B05B43" w:rsidP="00F11637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</w:rPr>
            </w:pPr>
          </w:p>
          <w:p w:rsidR="00B05B43" w:rsidRPr="00683A5E" w:rsidRDefault="00B05B43" w:rsidP="00F11637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20"/>
              </w:rPr>
            </w:pPr>
            <w:r w:rsidRPr="00683A5E"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</w:rPr>
              <w:t>General Secretariat</w:t>
            </w:r>
          </w:p>
          <w:p w:rsidR="00B05B43" w:rsidRPr="00683A5E" w:rsidRDefault="00B05B43" w:rsidP="00F11637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0000FF"/>
                <w:sz w:val="16"/>
                <w:szCs w:val="20"/>
              </w:rPr>
            </w:pPr>
          </w:p>
        </w:tc>
      </w:tr>
    </w:tbl>
    <w:p w:rsidR="00B05B43" w:rsidRPr="00683A5E" w:rsidRDefault="00B05B43" w:rsidP="00B05B43">
      <w:pPr>
        <w:spacing w:after="0" w:line="240" w:lineRule="auto"/>
        <w:jc w:val="both"/>
        <w:rPr>
          <w:rFonts w:ascii="Arial" w:eastAsia="Times New Roman" w:hAnsi="Arial" w:cs="Times New Roman"/>
          <w:b/>
          <w:lang w:eastAsia="fr-FR"/>
        </w:rPr>
      </w:pPr>
      <w:r w:rsidRPr="00683A5E">
        <w:rPr>
          <w:rFonts w:ascii="Arial" w:eastAsia="Times New Roman" w:hAnsi="Arial" w:cs="Times New Roman"/>
          <w:b/>
          <w:bCs/>
          <w:lang w:eastAsia="fr-FR"/>
        </w:rPr>
        <w:t>Ref.: 2019-11-D-17-en-1</w:t>
      </w:r>
      <w:r>
        <w:rPr>
          <w:rFonts w:ascii="Arial" w:eastAsia="Times New Roman" w:hAnsi="Arial" w:cs="Times New Roman"/>
          <w:b/>
          <w:bCs/>
          <w:lang w:eastAsia="fr-FR"/>
        </w:rPr>
        <w:t>-Annex</w:t>
      </w:r>
    </w:p>
    <w:p w:rsidR="00B05B43" w:rsidRPr="00683A5E" w:rsidRDefault="00B05B43" w:rsidP="00B05B43">
      <w:pPr>
        <w:spacing w:after="0" w:line="240" w:lineRule="auto"/>
        <w:jc w:val="both"/>
        <w:rPr>
          <w:rFonts w:ascii="Arial" w:eastAsia="Times New Roman" w:hAnsi="Arial" w:cs="Times New Roman"/>
          <w:b/>
          <w:lang w:eastAsia="fr-FR"/>
        </w:rPr>
      </w:pPr>
      <w:r w:rsidRPr="00683A5E">
        <w:rPr>
          <w:rFonts w:ascii="Arial" w:eastAsia="Times New Roman" w:hAnsi="Arial" w:cs="Times New Roman"/>
          <w:b/>
          <w:bCs/>
          <w:lang w:eastAsia="fr-FR"/>
        </w:rPr>
        <w:t>Original: EN</w:t>
      </w:r>
    </w:p>
    <w:p w:rsidR="00B05B43" w:rsidRPr="00683A5E" w:rsidRDefault="00B05B43" w:rsidP="00B05B43">
      <w:pPr>
        <w:spacing w:after="0" w:line="240" w:lineRule="auto"/>
        <w:jc w:val="both"/>
        <w:rPr>
          <w:rFonts w:ascii="Arial" w:eastAsia="Times New Roman" w:hAnsi="Arial" w:cs="Times New Roman"/>
          <w:b/>
          <w:lang w:eastAsia="fr-FR"/>
        </w:rPr>
      </w:pPr>
    </w:p>
    <w:p w:rsidR="00B05B43" w:rsidRPr="00683A5E" w:rsidRDefault="00B05B43" w:rsidP="00B05B43">
      <w:pPr>
        <w:spacing w:after="0" w:line="240" w:lineRule="auto"/>
        <w:jc w:val="both"/>
        <w:rPr>
          <w:rFonts w:ascii="Arial" w:eastAsia="Times New Roman" w:hAnsi="Arial" w:cs="Times New Roman"/>
          <w:b/>
          <w:lang w:eastAsia="fr-FR"/>
        </w:rPr>
      </w:pPr>
    </w:p>
    <w:p w:rsidR="00B05B43" w:rsidRPr="00683A5E" w:rsidRDefault="00B05B43" w:rsidP="00B05B43">
      <w:pPr>
        <w:pBdr>
          <w:bottom w:val="single" w:sz="4" w:space="1" w:color="auto"/>
        </w:pBdr>
        <w:spacing w:before="3120" w:after="120" w:line="240" w:lineRule="auto"/>
        <w:jc w:val="both"/>
        <w:outlineLvl w:val="0"/>
        <w:rPr>
          <w:rFonts w:ascii="Arial" w:eastAsia="Times" w:hAnsi="Arial" w:cs="Times New Roman"/>
          <w:b/>
          <w:color w:val="003399"/>
          <w:kern w:val="28"/>
          <w:sz w:val="32"/>
          <w:szCs w:val="20"/>
          <w:lang w:eastAsia="fr-FR"/>
        </w:rPr>
      </w:pPr>
      <w:r w:rsidRPr="00683A5E">
        <w:rPr>
          <w:rFonts w:ascii="Arial" w:eastAsia="Times" w:hAnsi="Arial" w:cs="Times New Roman"/>
          <w:b/>
          <w:bCs/>
          <w:color w:val="003399"/>
          <w:kern w:val="28"/>
          <w:sz w:val="32"/>
          <w:szCs w:val="20"/>
          <w:lang w:eastAsia="fr-FR"/>
        </w:rPr>
        <w:t>S</w:t>
      </w:r>
      <w:r>
        <w:rPr>
          <w:rFonts w:ascii="Arial" w:eastAsia="Times" w:hAnsi="Arial" w:cs="Times New Roman"/>
          <w:b/>
          <w:bCs/>
          <w:color w:val="003399"/>
          <w:kern w:val="28"/>
          <w:sz w:val="32"/>
          <w:szCs w:val="20"/>
          <w:lang w:eastAsia="fr-FR"/>
        </w:rPr>
        <w:t xml:space="preserve">tatement of the Board of Governors on the situation of </w:t>
      </w:r>
      <w:r w:rsidR="00AD1602">
        <w:rPr>
          <w:rFonts w:ascii="Arial" w:eastAsia="Times" w:hAnsi="Arial" w:cs="Times New Roman"/>
          <w:b/>
          <w:bCs/>
          <w:color w:val="003399"/>
          <w:kern w:val="28"/>
          <w:sz w:val="32"/>
          <w:szCs w:val="20"/>
          <w:lang w:eastAsia="fr-FR"/>
        </w:rPr>
        <w:t>the European Schools in</w:t>
      </w:r>
      <w:r w:rsidRPr="00683A5E">
        <w:rPr>
          <w:rFonts w:ascii="Arial" w:eastAsia="Times" w:hAnsi="Arial" w:cs="Times New Roman"/>
          <w:b/>
          <w:bCs/>
          <w:color w:val="003399"/>
          <w:kern w:val="28"/>
          <w:sz w:val="32"/>
          <w:szCs w:val="20"/>
          <w:lang w:eastAsia="fr-FR"/>
        </w:rPr>
        <w:t xml:space="preserve"> Brussels</w:t>
      </w:r>
    </w:p>
    <w:p w:rsidR="00B05B43" w:rsidRPr="00683A5E" w:rsidRDefault="00B05B43" w:rsidP="00B05B43">
      <w:pPr>
        <w:spacing w:after="720" w:line="240" w:lineRule="auto"/>
        <w:jc w:val="both"/>
        <w:rPr>
          <w:rFonts w:ascii="Arial" w:eastAsia="Times" w:hAnsi="Arial" w:cs="Times New Roman"/>
          <w:b/>
          <w:szCs w:val="20"/>
          <w:lang w:eastAsia="fr-FR"/>
        </w:rPr>
      </w:pPr>
      <w:r w:rsidRPr="00683A5E">
        <w:rPr>
          <w:rFonts w:ascii="Arial" w:eastAsia="Times" w:hAnsi="Arial" w:cs="Times New Roman"/>
          <w:b/>
          <w:szCs w:val="20"/>
          <w:lang w:eastAsia="fr-FR"/>
        </w:rPr>
        <w:t xml:space="preserve">Board of Governors of the European Schools </w:t>
      </w:r>
    </w:p>
    <w:p w:rsidR="00B05B43" w:rsidRPr="00683A5E" w:rsidRDefault="00B05B43" w:rsidP="00B05B43">
      <w:pPr>
        <w:pBdr>
          <w:bottom w:val="single" w:sz="4" w:space="1" w:color="auto"/>
        </w:pBdr>
        <w:spacing w:before="120" w:after="1000" w:line="240" w:lineRule="auto"/>
        <w:jc w:val="both"/>
        <w:rPr>
          <w:rFonts w:ascii="Arial" w:eastAsia="Times" w:hAnsi="Arial" w:cs="Times New Roman"/>
          <w:szCs w:val="20"/>
          <w:lang w:eastAsia="fr-FR"/>
        </w:rPr>
      </w:pPr>
      <w:r w:rsidRPr="00683A5E">
        <w:rPr>
          <w:rFonts w:ascii="Arial" w:eastAsia="Times" w:hAnsi="Arial" w:cs="Times New Roman"/>
          <w:szCs w:val="20"/>
          <w:lang w:eastAsia="fr-FR"/>
        </w:rPr>
        <w:t xml:space="preserve">Meeting from 3 to 5 December 2019 – Brussels </w:t>
      </w:r>
    </w:p>
    <w:p w:rsidR="00B05B43" w:rsidRDefault="00B05B43" w:rsidP="00B05B43">
      <w:r>
        <w:br w:type="page"/>
      </w:r>
    </w:p>
    <w:p w:rsidR="003A138D" w:rsidRPr="00017A7A" w:rsidRDefault="003A138D" w:rsidP="003A138D">
      <w:pPr>
        <w:jc w:val="center"/>
        <w:rPr>
          <w:rFonts w:ascii="Arial" w:hAnsi="Arial" w:cs="Arial"/>
          <w:b/>
        </w:rPr>
      </w:pPr>
      <w:r w:rsidRPr="00017A7A">
        <w:rPr>
          <w:rFonts w:ascii="Arial" w:hAnsi="Arial" w:cs="Arial"/>
          <w:b/>
        </w:rPr>
        <w:lastRenderedPageBreak/>
        <w:t>Statement of the Board of Governors on the situation of the European Schools in Brussels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>The Secretary</w:t>
      </w:r>
      <w:r w:rsidR="003C6C1E" w:rsidRPr="00017A7A">
        <w:rPr>
          <w:rFonts w:ascii="Arial" w:hAnsi="Arial" w:cs="Arial"/>
        </w:rPr>
        <w:t>-</w:t>
      </w:r>
      <w:r w:rsidRPr="00017A7A">
        <w:rPr>
          <w:rFonts w:ascii="Arial" w:hAnsi="Arial" w:cs="Arial"/>
        </w:rPr>
        <w:t>General of the European Schools brought to the attention of the Board of Governors</w:t>
      </w:r>
      <w:r w:rsidR="003C6C1E" w:rsidRPr="00017A7A">
        <w:rPr>
          <w:rFonts w:ascii="Arial" w:hAnsi="Arial" w:cs="Arial"/>
        </w:rPr>
        <w:t>,</w:t>
      </w:r>
      <w:r w:rsidRPr="00017A7A">
        <w:rPr>
          <w:rFonts w:ascii="Arial" w:hAnsi="Arial" w:cs="Arial"/>
        </w:rPr>
        <w:t xml:space="preserve"> </w:t>
      </w:r>
      <w:r w:rsidR="003C6C1E" w:rsidRPr="00017A7A">
        <w:rPr>
          <w:rFonts w:ascii="Arial" w:hAnsi="Arial" w:cs="Arial"/>
        </w:rPr>
        <w:t>at</w:t>
      </w:r>
      <w:r w:rsidRPr="00017A7A">
        <w:rPr>
          <w:rFonts w:ascii="Arial" w:hAnsi="Arial" w:cs="Arial"/>
        </w:rPr>
        <w:t xml:space="preserve"> </w:t>
      </w:r>
      <w:r w:rsidR="00A01DE2" w:rsidRPr="00017A7A">
        <w:rPr>
          <w:rFonts w:ascii="Arial" w:hAnsi="Arial" w:cs="Arial"/>
        </w:rPr>
        <w:t>its</w:t>
      </w:r>
      <w:r w:rsidR="00787D12" w:rsidRPr="00017A7A">
        <w:rPr>
          <w:rFonts w:ascii="Arial" w:hAnsi="Arial" w:cs="Arial"/>
        </w:rPr>
        <w:t xml:space="preserve"> meeting </w:t>
      </w:r>
      <w:r w:rsidRPr="00017A7A">
        <w:rPr>
          <w:rFonts w:ascii="Arial" w:hAnsi="Arial" w:cs="Arial"/>
        </w:rPr>
        <w:t xml:space="preserve">held in Brussels on 3-5 </w:t>
      </w:r>
      <w:proofErr w:type="gramStart"/>
      <w:r w:rsidRPr="00017A7A">
        <w:rPr>
          <w:rFonts w:ascii="Arial" w:hAnsi="Arial" w:cs="Arial"/>
        </w:rPr>
        <w:t>December,  the</w:t>
      </w:r>
      <w:proofErr w:type="gramEnd"/>
      <w:r w:rsidRPr="00017A7A">
        <w:rPr>
          <w:rFonts w:ascii="Arial" w:hAnsi="Arial" w:cs="Arial"/>
        </w:rPr>
        <w:t xml:space="preserve"> </w:t>
      </w:r>
      <w:r w:rsidR="00787D12" w:rsidRPr="00017A7A">
        <w:rPr>
          <w:rFonts w:ascii="Arial" w:hAnsi="Arial" w:cs="Arial"/>
        </w:rPr>
        <w:t xml:space="preserve"> extremely </w:t>
      </w:r>
      <w:r w:rsidRPr="00017A7A">
        <w:rPr>
          <w:rFonts w:ascii="Arial" w:hAnsi="Arial" w:cs="Arial"/>
        </w:rPr>
        <w:t xml:space="preserve">critical situation </w:t>
      </w:r>
      <w:r w:rsidR="00A01DE2" w:rsidRPr="00017A7A">
        <w:rPr>
          <w:rFonts w:ascii="Arial" w:hAnsi="Arial" w:cs="Arial"/>
        </w:rPr>
        <w:t>under which</w:t>
      </w:r>
      <w:r w:rsidRPr="00017A7A">
        <w:rPr>
          <w:rFonts w:ascii="Arial" w:hAnsi="Arial" w:cs="Arial"/>
        </w:rPr>
        <w:t xml:space="preserve"> the European Schools in Brussels are operating. The four main sites (</w:t>
      </w:r>
      <w:r w:rsidR="00DD37AE" w:rsidRPr="00017A7A">
        <w:rPr>
          <w:rFonts w:ascii="Arial" w:hAnsi="Arial" w:cs="Arial"/>
        </w:rPr>
        <w:t>European Schools</w:t>
      </w:r>
      <w:r w:rsidR="003C6C1E" w:rsidRPr="00017A7A">
        <w:rPr>
          <w:rFonts w:ascii="Arial" w:hAnsi="Arial" w:cs="Arial"/>
        </w:rPr>
        <w:t>,</w:t>
      </w:r>
      <w:r w:rsidR="00DD37AE" w:rsidRPr="00017A7A">
        <w:rPr>
          <w:rFonts w:ascii="Arial" w:hAnsi="Arial" w:cs="Arial"/>
        </w:rPr>
        <w:t xml:space="preserve"> </w:t>
      </w:r>
      <w:r w:rsidRPr="00017A7A">
        <w:rPr>
          <w:rFonts w:ascii="Arial" w:hAnsi="Arial" w:cs="Arial"/>
        </w:rPr>
        <w:t>B</w:t>
      </w:r>
      <w:r w:rsidR="00DD37AE" w:rsidRPr="00017A7A">
        <w:rPr>
          <w:rFonts w:ascii="Arial" w:hAnsi="Arial" w:cs="Arial"/>
        </w:rPr>
        <w:t xml:space="preserve">russels </w:t>
      </w:r>
      <w:r w:rsidRPr="00017A7A">
        <w:rPr>
          <w:rFonts w:ascii="Arial" w:hAnsi="Arial" w:cs="Arial"/>
        </w:rPr>
        <w:t>1</w:t>
      </w:r>
      <w:r w:rsidR="00960B1E" w:rsidRPr="00017A7A">
        <w:rPr>
          <w:rFonts w:ascii="Arial" w:hAnsi="Arial" w:cs="Arial"/>
        </w:rPr>
        <w:t xml:space="preserve"> </w:t>
      </w:r>
      <w:r w:rsidR="00DD37AE" w:rsidRPr="00017A7A">
        <w:rPr>
          <w:rFonts w:ascii="Arial" w:hAnsi="Arial" w:cs="Arial"/>
        </w:rPr>
        <w:t>-</w:t>
      </w:r>
      <w:r w:rsidR="00960B1E" w:rsidRPr="00017A7A">
        <w:rPr>
          <w:rFonts w:ascii="Arial" w:hAnsi="Arial" w:cs="Arial"/>
        </w:rPr>
        <w:t xml:space="preserve"> </w:t>
      </w:r>
      <w:r w:rsidR="00DD37AE" w:rsidRPr="00017A7A">
        <w:rPr>
          <w:rFonts w:ascii="Arial" w:hAnsi="Arial" w:cs="Arial"/>
        </w:rPr>
        <w:t>Uccle</w:t>
      </w:r>
      <w:r w:rsidRPr="00017A7A">
        <w:rPr>
          <w:rFonts w:ascii="Arial" w:hAnsi="Arial" w:cs="Arial"/>
        </w:rPr>
        <w:t>, B</w:t>
      </w:r>
      <w:r w:rsidR="00DD37AE" w:rsidRPr="00017A7A">
        <w:rPr>
          <w:rFonts w:ascii="Arial" w:hAnsi="Arial" w:cs="Arial"/>
        </w:rPr>
        <w:t xml:space="preserve">russels </w:t>
      </w:r>
      <w:r w:rsidRPr="00017A7A">
        <w:rPr>
          <w:rFonts w:ascii="Arial" w:hAnsi="Arial" w:cs="Arial"/>
        </w:rPr>
        <w:t>2</w:t>
      </w:r>
      <w:r w:rsidR="00960B1E" w:rsidRPr="00017A7A">
        <w:rPr>
          <w:rFonts w:ascii="Arial" w:hAnsi="Arial" w:cs="Arial"/>
        </w:rPr>
        <w:t xml:space="preserve"> - </w:t>
      </w:r>
      <w:proofErr w:type="spellStart"/>
      <w:r w:rsidR="00DD37AE" w:rsidRPr="00017A7A">
        <w:rPr>
          <w:rFonts w:ascii="Arial" w:hAnsi="Arial" w:cs="Arial"/>
        </w:rPr>
        <w:t>Woluw</w:t>
      </w:r>
      <w:r w:rsidR="003C6C1E" w:rsidRPr="00017A7A">
        <w:rPr>
          <w:rFonts w:ascii="Arial" w:hAnsi="Arial" w:cs="Arial"/>
        </w:rPr>
        <w:t>é</w:t>
      </w:r>
      <w:proofErr w:type="spellEnd"/>
      <w:r w:rsidR="003C6C1E" w:rsidRPr="00017A7A">
        <w:rPr>
          <w:rFonts w:ascii="Arial" w:hAnsi="Arial" w:cs="Arial"/>
        </w:rPr>
        <w:t>,</w:t>
      </w:r>
      <w:r w:rsidRPr="00017A7A">
        <w:rPr>
          <w:rFonts w:ascii="Arial" w:hAnsi="Arial" w:cs="Arial"/>
        </w:rPr>
        <w:t xml:space="preserve"> B</w:t>
      </w:r>
      <w:r w:rsidR="00DD37AE" w:rsidRPr="00017A7A">
        <w:rPr>
          <w:rFonts w:ascii="Arial" w:hAnsi="Arial" w:cs="Arial"/>
        </w:rPr>
        <w:t xml:space="preserve">russels </w:t>
      </w:r>
      <w:r w:rsidRPr="00017A7A">
        <w:rPr>
          <w:rFonts w:ascii="Arial" w:hAnsi="Arial" w:cs="Arial"/>
        </w:rPr>
        <w:t>3</w:t>
      </w:r>
      <w:r w:rsidR="00960B1E" w:rsidRPr="00017A7A">
        <w:rPr>
          <w:rFonts w:ascii="Arial" w:hAnsi="Arial" w:cs="Arial"/>
        </w:rPr>
        <w:t xml:space="preserve"> </w:t>
      </w:r>
      <w:r w:rsidR="00DD37AE" w:rsidRPr="00017A7A">
        <w:rPr>
          <w:rFonts w:ascii="Arial" w:hAnsi="Arial" w:cs="Arial"/>
        </w:rPr>
        <w:t>-</w:t>
      </w:r>
      <w:r w:rsidR="00960B1E" w:rsidRPr="00017A7A">
        <w:rPr>
          <w:rFonts w:ascii="Arial" w:hAnsi="Arial" w:cs="Arial"/>
        </w:rPr>
        <w:t xml:space="preserve"> </w:t>
      </w:r>
      <w:r w:rsidR="00DD37AE" w:rsidRPr="00017A7A">
        <w:rPr>
          <w:rFonts w:ascii="Arial" w:hAnsi="Arial" w:cs="Arial"/>
        </w:rPr>
        <w:t>Ixelles</w:t>
      </w:r>
      <w:r w:rsidRPr="00017A7A">
        <w:rPr>
          <w:rFonts w:ascii="Arial" w:hAnsi="Arial" w:cs="Arial"/>
        </w:rPr>
        <w:t xml:space="preserve"> and B</w:t>
      </w:r>
      <w:r w:rsidR="00DD37AE" w:rsidRPr="00017A7A">
        <w:rPr>
          <w:rFonts w:ascii="Arial" w:hAnsi="Arial" w:cs="Arial"/>
        </w:rPr>
        <w:t>russels</w:t>
      </w:r>
      <w:r w:rsidR="003C6C1E" w:rsidRPr="00017A7A">
        <w:rPr>
          <w:rFonts w:ascii="Arial" w:hAnsi="Arial" w:cs="Arial"/>
        </w:rPr>
        <w:t xml:space="preserve"> </w:t>
      </w:r>
      <w:r w:rsidRPr="00017A7A">
        <w:rPr>
          <w:rFonts w:ascii="Arial" w:hAnsi="Arial" w:cs="Arial"/>
        </w:rPr>
        <w:t>4</w:t>
      </w:r>
      <w:r w:rsidR="00DD37AE" w:rsidRPr="00017A7A">
        <w:rPr>
          <w:rFonts w:ascii="Arial" w:hAnsi="Arial" w:cs="Arial"/>
        </w:rPr>
        <w:t xml:space="preserve"> - </w:t>
      </w:r>
      <w:proofErr w:type="spellStart"/>
      <w:r w:rsidR="00DD37AE" w:rsidRPr="00017A7A">
        <w:rPr>
          <w:rFonts w:ascii="Arial" w:hAnsi="Arial" w:cs="Arial"/>
        </w:rPr>
        <w:t>Laeken</w:t>
      </w:r>
      <w:proofErr w:type="spellEnd"/>
      <w:r w:rsidR="00787D12" w:rsidRPr="00017A7A">
        <w:rPr>
          <w:rFonts w:ascii="Arial" w:hAnsi="Arial" w:cs="Arial"/>
        </w:rPr>
        <w:t xml:space="preserve">) </w:t>
      </w:r>
      <w:r w:rsidR="003C6C1E" w:rsidRPr="00017A7A">
        <w:rPr>
          <w:rFonts w:ascii="Arial" w:hAnsi="Arial" w:cs="Arial"/>
        </w:rPr>
        <w:t>operate</w:t>
      </w:r>
      <w:r w:rsidR="00787D12" w:rsidRPr="00017A7A">
        <w:rPr>
          <w:rFonts w:ascii="Arial" w:hAnsi="Arial" w:cs="Arial"/>
        </w:rPr>
        <w:t xml:space="preserve"> above their capacity, three of them ha</w:t>
      </w:r>
      <w:r w:rsidR="003C6C1E" w:rsidRPr="00017A7A">
        <w:rPr>
          <w:rFonts w:ascii="Arial" w:hAnsi="Arial" w:cs="Arial"/>
        </w:rPr>
        <w:t>ving</w:t>
      </w:r>
      <w:r w:rsidR="00787D12" w:rsidRPr="00017A7A">
        <w:rPr>
          <w:rFonts w:ascii="Arial" w:hAnsi="Arial" w:cs="Arial"/>
        </w:rPr>
        <w:t xml:space="preserve"> done so</w:t>
      </w:r>
      <w:r w:rsidRPr="00017A7A">
        <w:rPr>
          <w:rFonts w:ascii="Arial" w:hAnsi="Arial" w:cs="Arial"/>
        </w:rPr>
        <w:t xml:space="preserve"> </w:t>
      </w:r>
      <w:r w:rsidR="003C6C1E" w:rsidRPr="00017A7A">
        <w:rPr>
          <w:rFonts w:ascii="Arial" w:hAnsi="Arial" w:cs="Arial"/>
        </w:rPr>
        <w:t xml:space="preserve">for </w:t>
      </w:r>
      <w:r w:rsidRPr="00017A7A">
        <w:rPr>
          <w:rFonts w:ascii="Arial" w:hAnsi="Arial" w:cs="Arial"/>
        </w:rPr>
        <w:t>several years now.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The temporary </w:t>
      </w:r>
      <w:proofErr w:type="spellStart"/>
      <w:r w:rsidRPr="00017A7A">
        <w:rPr>
          <w:rFonts w:ascii="Arial" w:hAnsi="Arial" w:cs="Arial"/>
        </w:rPr>
        <w:t>Berkendael</w:t>
      </w:r>
      <w:proofErr w:type="spellEnd"/>
      <w:r w:rsidRPr="00017A7A">
        <w:rPr>
          <w:rFonts w:ascii="Arial" w:hAnsi="Arial" w:cs="Arial"/>
        </w:rPr>
        <w:t xml:space="preserve"> site</w:t>
      </w:r>
      <w:r w:rsidR="00C33FE5" w:rsidRPr="00017A7A">
        <w:rPr>
          <w:rFonts w:ascii="Arial" w:hAnsi="Arial" w:cs="Arial"/>
        </w:rPr>
        <w:t xml:space="preserve">, </w:t>
      </w:r>
      <w:r w:rsidR="003A138D" w:rsidRPr="00017A7A">
        <w:rPr>
          <w:rFonts w:ascii="Arial" w:hAnsi="Arial" w:cs="Arial"/>
        </w:rPr>
        <w:t xml:space="preserve">which has been </w:t>
      </w:r>
      <w:r w:rsidR="00C33FE5" w:rsidRPr="00017A7A">
        <w:rPr>
          <w:rFonts w:ascii="Arial" w:hAnsi="Arial" w:cs="Arial"/>
        </w:rPr>
        <w:t xml:space="preserve">made available </w:t>
      </w:r>
      <w:r w:rsidR="003C6C1E" w:rsidRPr="00017A7A">
        <w:rPr>
          <w:rFonts w:ascii="Arial" w:hAnsi="Arial" w:cs="Arial"/>
        </w:rPr>
        <w:t>pending</w:t>
      </w:r>
      <w:r w:rsidRPr="00017A7A">
        <w:rPr>
          <w:rFonts w:ascii="Arial" w:hAnsi="Arial" w:cs="Arial"/>
        </w:rPr>
        <w:t xml:space="preserve"> delivery of the fifth school, is likely to reach its maximum capacity during the enrolment </w:t>
      </w:r>
      <w:r w:rsidR="003C6C1E" w:rsidRPr="00017A7A">
        <w:rPr>
          <w:rFonts w:ascii="Arial" w:hAnsi="Arial" w:cs="Arial"/>
        </w:rPr>
        <w:t>session</w:t>
      </w:r>
      <w:r w:rsidRPr="00017A7A">
        <w:rPr>
          <w:rFonts w:ascii="Arial" w:hAnsi="Arial" w:cs="Arial"/>
        </w:rPr>
        <w:t xml:space="preserve"> for the </w:t>
      </w:r>
      <w:r w:rsidR="00787D12" w:rsidRPr="00017A7A">
        <w:rPr>
          <w:rFonts w:ascii="Arial" w:hAnsi="Arial" w:cs="Arial"/>
        </w:rPr>
        <w:t>2020-</w:t>
      </w:r>
      <w:r w:rsidR="003C6C1E" w:rsidRPr="00017A7A">
        <w:rPr>
          <w:rFonts w:ascii="Arial" w:hAnsi="Arial" w:cs="Arial"/>
        </w:rPr>
        <w:t>20</w:t>
      </w:r>
      <w:r w:rsidR="00787D12" w:rsidRPr="00017A7A">
        <w:rPr>
          <w:rFonts w:ascii="Arial" w:hAnsi="Arial" w:cs="Arial"/>
        </w:rPr>
        <w:t xml:space="preserve">21 </w:t>
      </w:r>
      <w:r w:rsidRPr="00017A7A">
        <w:rPr>
          <w:rFonts w:ascii="Arial" w:hAnsi="Arial" w:cs="Arial"/>
        </w:rPr>
        <w:t>school year.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The situation is illustrated in the annex, in which the past, the current and the projected school population is </w:t>
      </w:r>
      <w:r w:rsidR="003C6C1E" w:rsidRPr="00017A7A">
        <w:rPr>
          <w:rFonts w:ascii="Arial" w:hAnsi="Arial" w:cs="Arial"/>
        </w:rPr>
        <w:t>shown</w:t>
      </w:r>
      <w:r w:rsidRPr="00017A7A">
        <w:rPr>
          <w:rFonts w:ascii="Arial" w:hAnsi="Arial" w:cs="Arial"/>
        </w:rPr>
        <w:t xml:space="preserve">. The projected population has been calculated according to the growth recorded over </w:t>
      </w:r>
      <w:r w:rsidR="003C6C1E" w:rsidRPr="00017A7A">
        <w:rPr>
          <w:rFonts w:ascii="Arial" w:hAnsi="Arial" w:cs="Arial"/>
        </w:rPr>
        <w:t xml:space="preserve">recent </w:t>
      </w:r>
      <w:r w:rsidRPr="00017A7A">
        <w:rPr>
          <w:rFonts w:ascii="Arial" w:hAnsi="Arial" w:cs="Arial"/>
        </w:rPr>
        <w:t xml:space="preserve">years. Past projections have never </w:t>
      </w:r>
      <w:r w:rsidR="00787D12" w:rsidRPr="00017A7A">
        <w:rPr>
          <w:rFonts w:ascii="Arial" w:hAnsi="Arial" w:cs="Arial"/>
        </w:rPr>
        <w:t>been</w:t>
      </w:r>
      <w:r w:rsidRPr="00017A7A">
        <w:rPr>
          <w:rFonts w:ascii="Arial" w:hAnsi="Arial" w:cs="Arial"/>
        </w:rPr>
        <w:t xml:space="preserve"> overestimate</w:t>
      </w:r>
      <w:r w:rsidR="003C6C1E" w:rsidRPr="00017A7A">
        <w:rPr>
          <w:rFonts w:ascii="Arial" w:hAnsi="Arial" w:cs="Arial"/>
        </w:rPr>
        <w:t>s</w:t>
      </w:r>
      <w:r w:rsidRPr="00017A7A">
        <w:rPr>
          <w:rFonts w:ascii="Arial" w:hAnsi="Arial" w:cs="Arial"/>
        </w:rPr>
        <w:t>.</w:t>
      </w:r>
    </w:p>
    <w:p w:rsidR="00EE20B1" w:rsidRPr="00017A7A" w:rsidRDefault="00743F67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>In</w:t>
      </w:r>
      <w:r w:rsidR="00EE20B1" w:rsidRPr="00017A7A">
        <w:rPr>
          <w:rFonts w:ascii="Arial" w:hAnsi="Arial" w:cs="Arial"/>
        </w:rPr>
        <w:t xml:space="preserve"> 2010 the Board of Governors </w:t>
      </w:r>
      <w:r w:rsidRPr="00017A7A">
        <w:rPr>
          <w:rFonts w:ascii="Arial" w:hAnsi="Arial" w:cs="Arial"/>
        </w:rPr>
        <w:t xml:space="preserve">unanimously </w:t>
      </w:r>
      <w:r w:rsidR="00EE20B1" w:rsidRPr="00017A7A">
        <w:rPr>
          <w:rFonts w:ascii="Arial" w:hAnsi="Arial" w:cs="Arial"/>
        </w:rPr>
        <w:t>adopted, with the Kingdom of Belgium</w:t>
      </w:r>
      <w:r w:rsidRPr="00017A7A">
        <w:rPr>
          <w:rFonts w:ascii="Arial" w:hAnsi="Arial" w:cs="Arial"/>
        </w:rPr>
        <w:t xml:space="preserve"> voting in favour</w:t>
      </w:r>
      <w:r w:rsidR="00EE20B1" w:rsidRPr="00017A7A">
        <w:rPr>
          <w:rFonts w:ascii="Arial" w:hAnsi="Arial" w:cs="Arial"/>
        </w:rPr>
        <w:t xml:space="preserve">, the decision to request a fifth school in Brussels. </w:t>
      </w:r>
    </w:p>
    <w:p w:rsidR="0088561C" w:rsidRPr="00017A7A" w:rsidRDefault="00743F67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In </w:t>
      </w:r>
      <w:r w:rsidR="00B46F51" w:rsidRPr="00017A7A">
        <w:rPr>
          <w:rFonts w:ascii="Arial" w:hAnsi="Arial" w:cs="Arial"/>
        </w:rPr>
        <w:t>2015</w:t>
      </w:r>
      <w:r w:rsidR="0088561C" w:rsidRPr="00017A7A">
        <w:rPr>
          <w:rFonts w:ascii="Arial" w:hAnsi="Arial" w:cs="Arial"/>
        </w:rPr>
        <w:t>, the Council of Ministers</w:t>
      </w:r>
      <w:r w:rsidR="003C6C1E" w:rsidRPr="00017A7A">
        <w:rPr>
          <w:rFonts w:ascii="Arial" w:hAnsi="Arial" w:cs="Arial"/>
        </w:rPr>
        <w:t xml:space="preserve"> of the Belgian Federal Government</w:t>
      </w:r>
      <w:r w:rsidR="0088561C" w:rsidRPr="00017A7A">
        <w:rPr>
          <w:rFonts w:ascii="Arial" w:hAnsi="Arial" w:cs="Arial"/>
        </w:rPr>
        <w:t xml:space="preserve"> undertook to make </w:t>
      </w:r>
      <w:r w:rsidR="00787D12" w:rsidRPr="00017A7A">
        <w:rPr>
          <w:rFonts w:ascii="Arial" w:hAnsi="Arial" w:cs="Arial"/>
        </w:rPr>
        <w:t xml:space="preserve">a fifth school </w:t>
      </w:r>
      <w:r w:rsidR="0088561C" w:rsidRPr="00017A7A">
        <w:rPr>
          <w:rFonts w:ascii="Arial" w:hAnsi="Arial" w:cs="Arial"/>
        </w:rPr>
        <w:t xml:space="preserve">available to the European Schools, with a nominal capacity of 2500 pupils, </w:t>
      </w:r>
      <w:r w:rsidR="003C6C1E" w:rsidRPr="00017A7A">
        <w:rPr>
          <w:rFonts w:ascii="Arial" w:hAnsi="Arial" w:cs="Arial"/>
        </w:rPr>
        <w:t>as</w:t>
      </w:r>
      <w:r w:rsidR="0088561C" w:rsidRPr="00017A7A">
        <w:rPr>
          <w:rFonts w:ascii="Arial" w:hAnsi="Arial" w:cs="Arial"/>
        </w:rPr>
        <w:t xml:space="preserve"> from September 2019.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>In October 2018, the Council of Ministers decided on the location of the fifth school.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Since that date, despite the repeated requests </w:t>
      </w:r>
      <w:r w:rsidR="007E1EEC" w:rsidRPr="00017A7A">
        <w:rPr>
          <w:rFonts w:ascii="Arial" w:hAnsi="Arial" w:cs="Arial"/>
        </w:rPr>
        <w:t>made</w:t>
      </w:r>
      <w:r w:rsidRPr="00017A7A">
        <w:rPr>
          <w:rFonts w:ascii="Arial" w:hAnsi="Arial" w:cs="Arial"/>
        </w:rPr>
        <w:t xml:space="preserve"> by the Secretary</w:t>
      </w:r>
      <w:r w:rsidR="003C6C1E" w:rsidRPr="00017A7A">
        <w:rPr>
          <w:rFonts w:ascii="Arial" w:hAnsi="Arial" w:cs="Arial"/>
        </w:rPr>
        <w:t>-</w:t>
      </w:r>
      <w:r w:rsidRPr="00017A7A">
        <w:rPr>
          <w:rFonts w:ascii="Arial" w:hAnsi="Arial" w:cs="Arial"/>
        </w:rPr>
        <w:t xml:space="preserve">General and supported by </w:t>
      </w:r>
      <w:r w:rsidR="00787D12" w:rsidRPr="00017A7A">
        <w:rPr>
          <w:rFonts w:ascii="Arial" w:hAnsi="Arial" w:cs="Arial"/>
        </w:rPr>
        <w:t xml:space="preserve">the European Commission, </w:t>
      </w:r>
      <w:r w:rsidR="003C6C1E" w:rsidRPr="00017A7A">
        <w:rPr>
          <w:rFonts w:ascii="Arial" w:hAnsi="Arial" w:cs="Arial"/>
        </w:rPr>
        <w:t xml:space="preserve">and </w:t>
      </w:r>
      <w:r w:rsidR="00787D12" w:rsidRPr="00017A7A">
        <w:rPr>
          <w:rFonts w:ascii="Arial" w:hAnsi="Arial" w:cs="Arial"/>
        </w:rPr>
        <w:t>also</w:t>
      </w:r>
      <w:r w:rsidRPr="00017A7A">
        <w:rPr>
          <w:rFonts w:ascii="Arial" w:hAnsi="Arial" w:cs="Arial"/>
        </w:rPr>
        <w:t xml:space="preserve"> at the highest political level, </w:t>
      </w:r>
      <w:r w:rsidR="003C6C1E" w:rsidRPr="00017A7A">
        <w:rPr>
          <w:rFonts w:ascii="Arial" w:hAnsi="Arial" w:cs="Arial"/>
        </w:rPr>
        <w:t>Belgium’s</w:t>
      </w:r>
      <w:r w:rsidR="00787D12" w:rsidRPr="00017A7A">
        <w:rPr>
          <w:rFonts w:ascii="Arial" w:hAnsi="Arial" w:cs="Arial"/>
        </w:rPr>
        <w:t xml:space="preserve"> political </w:t>
      </w:r>
      <w:r w:rsidR="00B413EF" w:rsidRPr="00017A7A">
        <w:rPr>
          <w:rFonts w:ascii="Arial" w:hAnsi="Arial" w:cs="Arial"/>
        </w:rPr>
        <w:t>authorities have</w:t>
      </w:r>
      <w:r w:rsidR="00787D12" w:rsidRPr="00017A7A">
        <w:rPr>
          <w:rFonts w:ascii="Arial" w:hAnsi="Arial" w:cs="Arial"/>
        </w:rPr>
        <w:t xml:space="preserve"> issued </w:t>
      </w:r>
      <w:r w:rsidRPr="00017A7A">
        <w:rPr>
          <w:rFonts w:ascii="Arial" w:hAnsi="Arial" w:cs="Arial"/>
        </w:rPr>
        <w:t xml:space="preserve">no further information </w:t>
      </w:r>
      <w:r w:rsidR="00787D12" w:rsidRPr="00017A7A">
        <w:rPr>
          <w:rFonts w:ascii="Arial" w:hAnsi="Arial" w:cs="Arial"/>
        </w:rPr>
        <w:t>on the subject</w:t>
      </w:r>
      <w:r w:rsidRPr="00017A7A">
        <w:rPr>
          <w:rFonts w:ascii="Arial" w:hAnsi="Arial" w:cs="Arial"/>
        </w:rPr>
        <w:t>.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>The Board of Governors of the European Schools:</w:t>
      </w:r>
    </w:p>
    <w:p w:rsidR="0088561C" w:rsidRPr="00017A7A" w:rsidRDefault="003C6C1E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deeply </w:t>
      </w:r>
      <w:r w:rsidR="0088561C" w:rsidRPr="00017A7A">
        <w:rPr>
          <w:rFonts w:ascii="Arial" w:hAnsi="Arial" w:cs="Arial"/>
        </w:rPr>
        <w:t>regrets the situation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draws attention to the potential risks to the </w:t>
      </w:r>
      <w:r w:rsidR="00EE20B1" w:rsidRPr="00017A7A">
        <w:rPr>
          <w:rFonts w:ascii="Arial" w:hAnsi="Arial" w:cs="Arial"/>
        </w:rPr>
        <w:t xml:space="preserve">safety, security and </w:t>
      </w:r>
      <w:r w:rsidR="00787D12" w:rsidRPr="00017A7A">
        <w:rPr>
          <w:rFonts w:ascii="Arial" w:hAnsi="Arial" w:cs="Arial"/>
        </w:rPr>
        <w:t>well-being</w:t>
      </w:r>
      <w:r w:rsidRPr="00017A7A">
        <w:rPr>
          <w:rFonts w:ascii="Arial" w:hAnsi="Arial" w:cs="Arial"/>
        </w:rPr>
        <w:t xml:space="preserve"> of the </w:t>
      </w:r>
      <w:r w:rsidR="00787D12" w:rsidRPr="00017A7A">
        <w:rPr>
          <w:rFonts w:ascii="Arial" w:hAnsi="Arial" w:cs="Arial"/>
        </w:rPr>
        <w:t xml:space="preserve">pupils, staff and </w:t>
      </w:r>
      <w:r w:rsidRPr="00017A7A">
        <w:rPr>
          <w:rFonts w:ascii="Arial" w:hAnsi="Arial" w:cs="Arial"/>
        </w:rPr>
        <w:t xml:space="preserve">school </w:t>
      </w:r>
      <w:r w:rsidR="00787D12" w:rsidRPr="00017A7A">
        <w:rPr>
          <w:rFonts w:ascii="Arial" w:hAnsi="Arial" w:cs="Arial"/>
        </w:rPr>
        <w:t>community as a whole</w:t>
      </w:r>
      <w:r w:rsidRPr="00017A7A">
        <w:rPr>
          <w:rFonts w:ascii="Arial" w:hAnsi="Arial" w:cs="Arial"/>
        </w:rPr>
        <w:t xml:space="preserve"> tha</w:t>
      </w:r>
      <w:bookmarkStart w:id="0" w:name="_GoBack"/>
      <w:bookmarkEnd w:id="0"/>
      <w:r w:rsidRPr="00017A7A">
        <w:rPr>
          <w:rFonts w:ascii="Arial" w:hAnsi="Arial" w:cs="Arial"/>
        </w:rPr>
        <w:t>t the ov</w:t>
      </w:r>
      <w:r w:rsidR="00743F67" w:rsidRPr="00017A7A">
        <w:rPr>
          <w:rFonts w:ascii="Arial" w:hAnsi="Arial" w:cs="Arial"/>
        </w:rPr>
        <w:t>ercrowding</w:t>
      </w:r>
      <w:r w:rsidRPr="00017A7A">
        <w:rPr>
          <w:rFonts w:ascii="Arial" w:hAnsi="Arial" w:cs="Arial"/>
        </w:rPr>
        <w:t xml:space="preserve"> generate</w:t>
      </w:r>
      <w:r w:rsidR="00787D12" w:rsidRPr="00017A7A">
        <w:rPr>
          <w:rFonts w:ascii="Arial" w:hAnsi="Arial" w:cs="Arial"/>
        </w:rPr>
        <w:t>s</w:t>
      </w:r>
      <w:r w:rsidRPr="00017A7A">
        <w:rPr>
          <w:rFonts w:ascii="Arial" w:hAnsi="Arial" w:cs="Arial"/>
        </w:rPr>
        <w:t xml:space="preserve">, and 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>request</w:t>
      </w:r>
      <w:r w:rsidR="003C6C1E" w:rsidRPr="00017A7A">
        <w:rPr>
          <w:rFonts w:ascii="Arial" w:hAnsi="Arial" w:cs="Arial"/>
        </w:rPr>
        <w:t>s an</w:t>
      </w:r>
      <w:r w:rsidRPr="00017A7A">
        <w:rPr>
          <w:rFonts w:ascii="Arial" w:hAnsi="Arial" w:cs="Arial"/>
        </w:rPr>
        <w:t xml:space="preserve"> immediate response and urgent intervention by the </w:t>
      </w:r>
      <w:r w:rsidR="00787D12" w:rsidRPr="00017A7A">
        <w:rPr>
          <w:rFonts w:ascii="Arial" w:hAnsi="Arial" w:cs="Arial"/>
        </w:rPr>
        <w:t xml:space="preserve">relevant </w:t>
      </w:r>
      <w:r w:rsidRPr="00017A7A">
        <w:rPr>
          <w:rFonts w:ascii="Arial" w:hAnsi="Arial" w:cs="Arial"/>
        </w:rPr>
        <w:t>Belgian authorities</w:t>
      </w:r>
      <w:r w:rsidR="00787D12" w:rsidRPr="00017A7A">
        <w:rPr>
          <w:rFonts w:ascii="Arial" w:hAnsi="Arial" w:cs="Arial"/>
        </w:rPr>
        <w:t>, in line with the obligations stipulated in the Convention</w:t>
      </w:r>
      <w:r w:rsidRPr="00017A7A">
        <w:rPr>
          <w:rFonts w:ascii="Arial" w:hAnsi="Arial" w:cs="Arial"/>
        </w:rPr>
        <w:t>.</w:t>
      </w:r>
    </w:p>
    <w:p w:rsidR="0088561C" w:rsidRPr="00017A7A" w:rsidRDefault="0088561C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 xml:space="preserve">The Board of Governors also </w:t>
      </w:r>
      <w:r w:rsidR="00EE20B1" w:rsidRPr="00017A7A">
        <w:rPr>
          <w:rFonts w:ascii="Arial" w:hAnsi="Arial" w:cs="Arial"/>
        </w:rPr>
        <w:t>requests</w:t>
      </w:r>
      <w:r w:rsidRPr="00017A7A">
        <w:rPr>
          <w:rFonts w:ascii="Arial" w:hAnsi="Arial" w:cs="Arial"/>
        </w:rPr>
        <w:t xml:space="preserve"> that:</w:t>
      </w:r>
    </w:p>
    <w:p w:rsidR="0088561C" w:rsidRPr="00017A7A" w:rsidRDefault="003C6C1E" w:rsidP="003C6C1E">
      <w:pPr>
        <w:jc w:val="both"/>
        <w:rPr>
          <w:rFonts w:ascii="Arial" w:hAnsi="Arial" w:cs="Arial"/>
        </w:rPr>
      </w:pPr>
      <w:r w:rsidRPr="00017A7A">
        <w:rPr>
          <w:rFonts w:ascii="Arial" w:hAnsi="Arial" w:cs="Arial"/>
        </w:rPr>
        <w:t>t</w:t>
      </w:r>
      <w:r w:rsidR="0088561C" w:rsidRPr="00017A7A">
        <w:rPr>
          <w:rFonts w:ascii="Arial" w:hAnsi="Arial" w:cs="Arial"/>
        </w:rPr>
        <w:t xml:space="preserve">he additional capacity </w:t>
      </w:r>
      <w:r w:rsidR="007E1EEC" w:rsidRPr="00017A7A">
        <w:rPr>
          <w:rFonts w:ascii="Arial" w:hAnsi="Arial" w:cs="Arial"/>
        </w:rPr>
        <w:t xml:space="preserve">required </w:t>
      </w:r>
      <w:r w:rsidR="0088561C" w:rsidRPr="00017A7A">
        <w:rPr>
          <w:rFonts w:ascii="Arial" w:hAnsi="Arial" w:cs="Arial"/>
        </w:rPr>
        <w:t xml:space="preserve">to manage the steady and continuous increase in the school population in a safe and healthy </w:t>
      </w:r>
      <w:r w:rsidR="00787D12" w:rsidRPr="00017A7A">
        <w:rPr>
          <w:rFonts w:ascii="Arial" w:hAnsi="Arial" w:cs="Arial"/>
        </w:rPr>
        <w:t>environment</w:t>
      </w:r>
      <w:r w:rsidR="0088561C" w:rsidRPr="00017A7A">
        <w:rPr>
          <w:rFonts w:ascii="Arial" w:hAnsi="Arial" w:cs="Arial"/>
        </w:rPr>
        <w:t xml:space="preserve"> should be made available </w:t>
      </w:r>
      <w:r w:rsidRPr="00017A7A">
        <w:rPr>
          <w:rFonts w:ascii="Arial" w:hAnsi="Arial" w:cs="Arial"/>
        </w:rPr>
        <w:t xml:space="preserve">as </w:t>
      </w:r>
      <w:r w:rsidR="0088561C" w:rsidRPr="00017A7A">
        <w:rPr>
          <w:rFonts w:ascii="Arial" w:hAnsi="Arial" w:cs="Arial"/>
        </w:rPr>
        <w:t xml:space="preserve">from the </w:t>
      </w:r>
      <w:r w:rsidR="00787D12" w:rsidRPr="00017A7A">
        <w:rPr>
          <w:rFonts w:ascii="Arial" w:hAnsi="Arial" w:cs="Arial"/>
        </w:rPr>
        <w:t>2020-</w:t>
      </w:r>
      <w:r w:rsidRPr="00017A7A">
        <w:rPr>
          <w:rFonts w:ascii="Arial" w:hAnsi="Arial" w:cs="Arial"/>
        </w:rPr>
        <w:t>20</w:t>
      </w:r>
      <w:r w:rsidR="00787D12" w:rsidRPr="00017A7A">
        <w:rPr>
          <w:rFonts w:ascii="Arial" w:hAnsi="Arial" w:cs="Arial"/>
        </w:rPr>
        <w:t xml:space="preserve">21 </w:t>
      </w:r>
      <w:r w:rsidR="00EE20B1" w:rsidRPr="00017A7A">
        <w:rPr>
          <w:rFonts w:ascii="Arial" w:hAnsi="Arial" w:cs="Arial"/>
        </w:rPr>
        <w:t>school year, pending delivery of the fifth school in Brussels</w:t>
      </w:r>
    </w:p>
    <w:p w:rsidR="001C5573" w:rsidRPr="00017A7A" w:rsidRDefault="001C5573" w:rsidP="003C6C1E">
      <w:pPr>
        <w:jc w:val="both"/>
        <w:rPr>
          <w:rFonts w:ascii="Arial" w:hAnsi="Arial" w:cs="Arial"/>
        </w:rPr>
        <w:sectPr w:rsidR="001C5573" w:rsidRPr="00017A7A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17A7A">
        <w:rPr>
          <w:rFonts w:ascii="Arial" w:hAnsi="Arial" w:cs="Arial"/>
        </w:rPr>
        <w:br w:type="page"/>
      </w:r>
    </w:p>
    <w:p w:rsidR="00E75237" w:rsidRPr="00017A7A" w:rsidRDefault="00E75237" w:rsidP="00E75237">
      <w:pPr>
        <w:rPr>
          <w:rFonts w:ascii="Arial" w:hAnsi="Arial" w:cs="Arial"/>
        </w:rPr>
      </w:pPr>
      <w:r w:rsidRPr="00017A7A">
        <w:rPr>
          <w:rFonts w:ascii="Arial" w:hAnsi="Arial" w:cs="Arial"/>
        </w:rPr>
        <w:lastRenderedPageBreak/>
        <w:t>ANNEX</w:t>
      </w:r>
    </w:p>
    <w:p w:rsidR="00E75237" w:rsidRPr="00017A7A" w:rsidRDefault="00E75237" w:rsidP="00E75237">
      <w:pPr>
        <w:jc w:val="center"/>
        <w:rPr>
          <w:rFonts w:ascii="Arial" w:hAnsi="Arial" w:cs="Arial"/>
        </w:rPr>
      </w:pPr>
      <w:r w:rsidRPr="00017A7A">
        <w:rPr>
          <w:rFonts w:ascii="Arial" w:hAnsi="Arial" w:cs="Arial"/>
          <w:noProof/>
          <w:lang w:eastAsia="en-GB"/>
        </w:rPr>
        <w:drawing>
          <wp:inline distT="0" distB="0" distL="0" distR="0" wp14:anchorId="36AA7567" wp14:editId="4466CBFB">
            <wp:extent cx="4192884" cy="44798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42" cy="4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37" w:rsidRPr="00017A7A" w:rsidRDefault="00E75237" w:rsidP="00E75237">
      <w:pPr>
        <w:jc w:val="center"/>
        <w:rPr>
          <w:rFonts w:ascii="Arial" w:hAnsi="Arial" w:cs="Arial"/>
        </w:rPr>
      </w:pPr>
      <w:r w:rsidRPr="00017A7A">
        <w:rPr>
          <w:rFonts w:ascii="Arial" w:hAnsi="Arial" w:cs="Arial"/>
          <w:noProof/>
          <w:lang w:eastAsia="en-GB"/>
        </w:rPr>
        <w:drawing>
          <wp:inline distT="0" distB="0" distL="0" distR="0" wp14:anchorId="36AC34AD" wp14:editId="076D982F">
            <wp:extent cx="4810969" cy="1258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764" cy="127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37" w:rsidRPr="00017A7A" w:rsidRDefault="00E75237" w:rsidP="00E75237">
      <w:pPr>
        <w:shd w:val="clear" w:color="auto" w:fill="DEEAF6" w:themeFill="accent1" w:themeFillTint="3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17A7A">
        <w:rPr>
          <w:rFonts w:ascii="Arial" w:hAnsi="Arial" w:cs="Arial"/>
          <w:b/>
          <w:sz w:val="28"/>
          <w:szCs w:val="28"/>
          <w:u w:val="single"/>
        </w:rPr>
        <w:t xml:space="preserve"> Development by + 400 pupils per year with temporary site for 1500 pupils available in 2021</w:t>
      </w:r>
    </w:p>
    <w:p w:rsidR="00E75237" w:rsidRPr="00017A7A" w:rsidRDefault="00E75237" w:rsidP="00E75237">
      <w:pPr>
        <w:tabs>
          <w:tab w:val="left" w:pos="284"/>
        </w:tabs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</w:p>
    <w:p w:rsidR="004863BF" w:rsidRPr="00017A7A" w:rsidRDefault="00E75237" w:rsidP="00E75237">
      <w:pPr>
        <w:tabs>
          <w:tab w:val="left" w:pos="284"/>
        </w:tabs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  <w:r w:rsidRPr="00017A7A">
        <w:rPr>
          <w:rFonts w:ascii="Arial" w:hAnsi="Arial" w:cs="Arial"/>
          <w:noProof/>
          <w:lang w:eastAsia="en-GB"/>
        </w:rPr>
        <w:drawing>
          <wp:inline distT="0" distB="0" distL="0" distR="0" wp14:anchorId="1273F38E" wp14:editId="05535612">
            <wp:extent cx="9395460" cy="2694940"/>
            <wp:effectExtent l="0" t="0" r="15240" b="1016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863BF" w:rsidRPr="00017A7A" w:rsidSect="001C55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7A" w:rsidRDefault="00017A7A" w:rsidP="00017A7A">
      <w:pPr>
        <w:spacing w:after="0" w:line="240" w:lineRule="auto"/>
      </w:pPr>
      <w:r>
        <w:separator/>
      </w:r>
    </w:p>
  </w:endnote>
  <w:endnote w:type="continuationSeparator" w:id="0">
    <w:p w:rsidR="00017A7A" w:rsidRDefault="00017A7A" w:rsidP="0001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7A" w:rsidRDefault="00017A7A" w:rsidP="00017A7A">
      <w:pPr>
        <w:spacing w:after="0" w:line="240" w:lineRule="auto"/>
      </w:pPr>
      <w:r>
        <w:separator/>
      </w:r>
    </w:p>
  </w:footnote>
  <w:footnote w:type="continuationSeparator" w:id="0">
    <w:p w:rsidR="00017A7A" w:rsidRDefault="00017A7A" w:rsidP="0001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7A" w:rsidRDefault="00017A7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1C"/>
    <w:rsid w:val="00017A7A"/>
    <w:rsid w:val="0004003B"/>
    <w:rsid w:val="001C5573"/>
    <w:rsid w:val="00204BAE"/>
    <w:rsid w:val="00222C8D"/>
    <w:rsid w:val="003A138D"/>
    <w:rsid w:val="003C6C1E"/>
    <w:rsid w:val="00671645"/>
    <w:rsid w:val="00743F67"/>
    <w:rsid w:val="00757BF9"/>
    <w:rsid w:val="00787D12"/>
    <w:rsid w:val="007E1EEC"/>
    <w:rsid w:val="00880006"/>
    <w:rsid w:val="0088561C"/>
    <w:rsid w:val="008B3322"/>
    <w:rsid w:val="00960B1E"/>
    <w:rsid w:val="009A0CFC"/>
    <w:rsid w:val="00A01DE2"/>
    <w:rsid w:val="00AD1602"/>
    <w:rsid w:val="00B05B43"/>
    <w:rsid w:val="00B413EF"/>
    <w:rsid w:val="00B46F51"/>
    <w:rsid w:val="00C2317F"/>
    <w:rsid w:val="00C33FE5"/>
    <w:rsid w:val="00DD37AE"/>
    <w:rsid w:val="00E14525"/>
    <w:rsid w:val="00E75237"/>
    <w:rsid w:val="00E830CA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B22D"/>
  <w15:chartTrackingRefBased/>
  <w15:docId w15:val="{AEF447F8-DE82-4926-A544-6DDB8692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7A"/>
  </w:style>
  <w:style w:type="paragraph" w:styleId="Footer">
    <w:name w:val="footer"/>
    <w:basedOn w:val="Normal"/>
    <w:link w:val="FooterChar"/>
    <w:uiPriority w:val="99"/>
    <w:unhideWhenUsed/>
    <w:rsid w:val="0001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uosgdfs01\OSG\UNITS\SECRETARY%20GENERAL\ACI\Bilan%20et%20Statistiques\GENERAL\2%20-%20evolutions%20des%20effectifs%20par%20cycle%20depuis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 u="none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Pattern of development of the pupil population in relation to capacity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areaChart>
        <c:grouping val="stacked"/>
        <c:varyColors val="0"/>
        <c:ser>
          <c:idx val="4"/>
          <c:order val="1"/>
          <c:tx>
            <c:strRef>
              <c:f>'Graphs nov 2019 '!$AG$3</c:f>
              <c:strCache>
                <c:ptCount val="1"/>
                <c:pt idx="0">
                  <c:v> theoritical capacity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30000"/>
                    <a:tint val="50000"/>
                    <a:satMod val="300000"/>
                  </a:schemeClr>
                </a:gs>
                <a:gs pos="35000">
                  <a:schemeClr val="dk1">
                    <a:tint val="30000"/>
                    <a:tint val="37000"/>
                    <a:satMod val="300000"/>
                  </a:schemeClr>
                </a:gs>
                <a:gs pos="100000">
                  <a:schemeClr val="dk1">
                    <a:tint val="3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dk1">
                  <a:tint val="3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cat>
            <c:strRef>
              <c:f>'Graphs nov 2019 '!$AH$1:$AU$1</c:f>
              <c:strCache>
                <c:ptCount val="1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  <c:pt idx="6">
                  <c:v>2018-2019</c:v>
                </c:pt>
                <c:pt idx="7">
                  <c:v>2019-2020</c:v>
                </c:pt>
                <c:pt idx="8">
                  <c:v>2020-2021</c:v>
                </c:pt>
                <c:pt idx="9">
                  <c:v>2021-2022</c:v>
                </c:pt>
                <c:pt idx="10">
                  <c:v>2022-2023</c:v>
                </c:pt>
                <c:pt idx="11">
                  <c:v>2023-2024</c:v>
                </c:pt>
                <c:pt idx="12">
                  <c:v>2024-2025</c:v>
                </c:pt>
                <c:pt idx="13">
                  <c:v>2025-2026</c:v>
                </c:pt>
              </c:strCache>
            </c:strRef>
          </c:cat>
          <c:val>
            <c:numRef>
              <c:f>'Graphs nov 2019 '!$AH$3:$AU$3</c:f>
              <c:numCache>
                <c:formatCode>#,##0</c:formatCode>
                <c:ptCount val="14"/>
                <c:pt idx="0">
                  <c:v>12400</c:v>
                </c:pt>
                <c:pt idx="1">
                  <c:v>12400</c:v>
                </c:pt>
                <c:pt idx="2">
                  <c:v>12400</c:v>
                </c:pt>
                <c:pt idx="3">
                  <c:v>12400</c:v>
                </c:pt>
                <c:pt idx="4">
                  <c:v>12400</c:v>
                </c:pt>
                <c:pt idx="5">
                  <c:v>12400</c:v>
                </c:pt>
                <c:pt idx="6">
                  <c:v>12400</c:v>
                </c:pt>
                <c:pt idx="7">
                  <c:v>12400</c:v>
                </c:pt>
                <c:pt idx="8">
                  <c:v>12400</c:v>
                </c:pt>
                <c:pt idx="9">
                  <c:v>13900</c:v>
                </c:pt>
                <c:pt idx="10">
                  <c:v>13900</c:v>
                </c:pt>
                <c:pt idx="11">
                  <c:v>13900</c:v>
                </c:pt>
                <c:pt idx="12">
                  <c:v>13900</c:v>
                </c:pt>
                <c:pt idx="13">
                  <c:v>13900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87-489D-96C1-BDCC35953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8670256"/>
        <c:axId val="538673864"/>
      </c:areaChart>
      <c:barChart>
        <c:barDir val="col"/>
        <c:grouping val="clustered"/>
        <c:varyColors val="0"/>
        <c:ser>
          <c:idx val="3"/>
          <c:order val="0"/>
          <c:tx>
            <c:strRef>
              <c:f>'Graphs nov 2019 '!$AG$2</c:f>
              <c:strCache>
                <c:ptCount val="1"/>
                <c:pt idx="0">
                  <c:v> pupil population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7"/>
            <c:invertIfNegative val="0"/>
            <c:bubble3D val="0"/>
            <c:spPr>
              <a:solidFill>
                <a:schemeClr val="tx1"/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487-489D-96C1-BDCC359536DD}"/>
              </c:ext>
            </c:extLst>
          </c:dPt>
          <c:dLbls>
            <c:dLbl>
              <c:idx val="0"/>
              <c:layout>
                <c:manualLayout>
                  <c:x val="2.1948949608390585E-4"/>
                  <c:y val="-2.2801837270341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487-489D-96C1-BDCC359536DD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'Graphs nov 2019 '!$AH$1:$AU$1</c:f>
              <c:strCache>
                <c:ptCount val="1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  <c:pt idx="6">
                  <c:v>2018-2019</c:v>
                </c:pt>
                <c:pt idx="7">
                  <c:v>2019-2020</c:v>
                </c:pt>
                <c:pt idx="8">
                  <c:v>2020-2021</c:v>
                </c:pt>
                <c:pt idx="9">
                  <c:v>2021-2022</c:v>
                </c:pt>
                <c:pt idx="10">
                  <c:v>2022-2023</c:v>
                </c:pt>
                <c:pt idx="11">
                  <c:v>2023-2024</c:v>
                </c:pt>
                <c:pt idx="12">
                  <c:v>2024-2025</c:v>
                </c:pt>
                <c:pt idx="13">
                  <c:v>2025-2026</c:v>
                </c:pt>
              </c:strCache>
            </c:strRef>
          </c:cat>
          <c:val>
            <c:numRef>
              <c:f>'Graphs nov 2019 '!$AH$2:$AU$2</c:f>
              <c:numCache>
                <c:formatCode>#,##0</c:formatCode>
                <c:ptCount val="14"/>
                <c:pt idx="0">
                  <c:v>10606</c:v>
                </c:pt>
                <c:pt idx="1">
                  <c:v>10977</c:v>
                </c:pt>
                <c:pt idx="2">
                  <c:v>11406</c:v>
                </c:pt>
                <c:pt idx="3">
                  <c:v>11885</c:v>
                </c:pt>
                <c:pt idx="4">
                  <c:v>12309</c:v>
                </c:pt>
                <c:pt idx="5">
                  <c:v>12691</c:v>
                </c:pt>
                <c:pt idx="6">
                  <c:v>12958</c:v>
                </c:pt>
                <c:pt idx="7">
                  <c:v>13430</c:v>
                </c:pt>
                <c:pt idx="8">
                  <c:v>13830</c:v>
                </c:pt>
                <c:pt idx="9">
                  <c:v>14230</c:v>
                </c:pt>
                <c:pt idx="10">
                  <c:v>14630</c:v>
                </c:pt>
                <c:pt idx="11">
                  <c:v>15030</c:v>
                </c:pt>
                <c:pt idx="12">
                  <c:v>15430</c:v>
                </c:pt>
                <c:pt idx="13">
                  <c:v>15830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87-489D-96C1-BDCC35953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8670256"/>
        <c:axId val="538673864"/>
        <c:extLst/>
      </c:barChart>
      <c:catAx>
        <c:axId val="53867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38673864"/>
        <c:crosses val="autoZero"/>
        <c:auto val="1"/>
        <c:lblAlgn val="ctr"/>
        <c:lblOffset val="100"/>
        <c:noMultiLvlLbl val="0"/>
      </c:catAx>
      <c:valAx>
        <c:axId val="538673864"/>
        <c:scaling>
          <c:orientation val="minMax"/>
          <c:min val="8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3867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03555332475871"/>
          <c:y val="0.89409667541557303"/>
          <c:w val="0.41868055337704296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Schools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MARCHEGGIANO Giancarlo (OSG)</dc:creator>
  <cp:keywords/>
  <dc:description/>
  <cp:lastModifiedBy>BALOGH Katalin (OSG)</cp:lastModifiedBy>
  <cp:revision>7</cp:revision>
  <cp:lastPrinted>2019-12-04T18:30:00Z</cp:lastPrinted>
  <dcterms:created xsi:type="dcterms:W3CDTF">2019-12-06T10:55:00Z</dcterms:created>
  <dcterms:modified xsi:type="dcterms:W3CDTF">2019-12-10T10:36:00Z</dcterms:modified>
</cp:coreProperties>
</file>