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F6" w:rsidRPr="007B5C0D" w:rsidRDefault="004814F6">
      <w:pPr>
        <w:pStyle w:val="References"/>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7B5C0D">
        <w:trPr>
          <w:trHeight w:val="1440"/>
        </w:trPr>
        <w:tc>
          <w:tcPr>
            <w:tcW w:w="5103" w:type="dxa"/>
          </w:tcPr>
          <w:p w:rsidR="005C0ACF" w:rsidRPr="007B5C0D" w:rsidRDefault="000E2B94" w:rsidP="00C77DE1">
            <w:pPr>
              <w:jc w:val="left"/>
            </w:pPr>
            <w:bookmarkStart w:id="0" w:name="WorDocTitle"/>
            <w:r>
              <w:rPr>
                <w:noProof/>
                <w:lang w:val="en-US" w:eastAsia="en-US"/>
              </w:rPr>
              <w:drawing>
                <wp:inline distT="0" distB="0" distL="0" distR="0" wp14:anchorId="5F56DA67" wp14:editId="4C4CEB7C">
                  <wp:extent cx="2385060" cy="1021080"/>
                  <wp:effectExtent l="0" t="0" r="0" b="7620"/>
                  <wp:docPr id="2" name="Picture 2" descr="C:\Users\helene.matundu_luzol\AppData\Local\Microsoft\Windows\Temporary Internet Files\Content.Outlook\8MKC54EL\Logo Schola Europaea - pour documents (2).jpg"/>
                  <wp:cNvGraphicFramePr/>
                  <a:graphic xmlns:a="http://schemas.openxmlformats.org/drawingml/2006/main">
                    <a:graphicData uri="http://schemas.openxmlformats.org/drawingml/2006/picture">
                      <pic:pic xmlns:pic="http://schemas.openxmlformats.org/drawingml/2006/picture">
                        <pic:nvPicPr>
                          <pic:cNvPr id="1" name="Picture 1" descr="C:\Users\helene.matundu_luzol\AppData\Local\Microsoft\Windows\Temporary Internet Files\Content.Outlook\8MKC54EL\Logo Schola Europaea - pour documents (2).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Pr>
          <w:p w:rsidR="000E2B94" w:rsidRDefault="000E2B94" w:rsidP="000E2B94">
            <w:pPr>
              <w:pStyle w:val="ZCom"/>
              <w:rPr>
                <w:b/>
                <w:color w:val="233E90"/>
              </w:rPr>
            </w:pPr>
          </w:p>
          <w:p w:rsidR="000E2B94" w:rsidRDefault="000E2B94" w:rsidP="000E2B94">
            <w:pPr>
              <w:pStyle w:val="ZCom"/>
              <w:rPr>
                <w:b/>
                <w:color w:val="233E90"/>
              </w:rPr>
            </w:pPr>
            <w:r>
              <w:rPr>
                <w:b/>
                <w:color w:val="233E90"/>
              </w:rPr>
              <w:t>Schola Europaea</w:t>
            </w:r>
          </w:p>
          <w:p w:rsidR="000E2B94" w:rsidRDefault="000E2B94" w:rsidP="000E2B94">
            <w:pPr>
              <w:rPr>
                <w:color w:val="233E90"/>
                <w:lang w:eastAsia="en-US"/>
              </w:rPr>
            </w:pPr>
          </w:p>
          <w:p w:rsidR="000E2B94" w:rsidRDefault="000E2B94" w:rsidP="000E2B94">
            <w:pPr>
              <w:pStyle w:val="ZDGName"/>
              <w:rPr>
                <w:color w:val="233E90"/>
              </w:rPr>
            </w:pPr>
            <w:r>
              <w:rPr>
                <w:color w:val="233E90"/>
              </w:rPr>
              <w:t xml:space="preserve">Bureau du Secrétaire général </w:t>
            </w:r>
          </w:p>
          <w:p w:rsidR="000E2B94" w:rsidRDefault="000E2B94" w:rsidP="000E2B94">
            <w:pPr>
              <w:pStyle w:val="ZDGName"/>
              <w:rPr>
                <w:color w:val="233E90"/>
              </w:rPr>
            </w:pPr>
          </w:p>
          <w:p w:rsidR="000E2B94" w:rsidRDefault="000E2B94" w:rsidP="000E2B94">
            <w:pPr>
              <w:pStyle w:val="ZDGName"/>
            </w:pPr>
            <w:r>
              <w:rPr>
                <w:color w:val="233E90"/>
              </w:rPr>
              <w:t>Secrétariat général</w:t>
            </w:r>
            <w:r>
              <w:rPr>
                <w:color w:val="0000CC"/>
              </w:rPr>
              <w:t xml:space="preserve"> </w:t>
            </w:r>
          </w:p>
          <w:p w:rsidR="00DC5808" w:rsidRPr="007B5C0D" w:rsidRDefault="00DC5808" w:rsidP="007B5C0D">
            <w:pPr>
              <w:pStyle w:val="ZDGName"/>
              <w:rPr>
                <w:color w:val="0000FF"/>
              </w:rPr>
            </w:pPr>
          </w:p>
        </w:tc>
      </w:tr>
    </w:tbl>
    <w:p w:rsidR="007B5C0D" w:rsidRDefault="007B5C0D" w:rsidP="005C0ACF">
      <w:pPr>
        <w:pStyle w:val="References"/>
        <w:spacing w:before="0"/>
        <w:rPr>
          <w:szCs w:val="22"/>
        </w:rPr>
      </w:pPr>
    </w:p>
    <w:p w:rsidR="005C0ACF" w:rsidRPr="007B5C0D" w:rsidRDefault="005C0ACF" w:rsidP="005C0ACF">
      <w:pPr>
        <w:pStyle w:val="References"/>
        <w:spacing w:before="0"/>
        <w:rPr>
          <w:szCs w:val="22"/>
        </w:rPr>
      </w:pPr>
      <w:r w:rsidRPr="007B5C0D">
        <w:rPr>
          <w:szCs w:val="22"/>
        </w:rPr>
        <w:t>Réf.</w:t>
      </w:r>
      <w:r w:rsidR="007B5C0D">
        <w:rPr>
          <w:szCs w:val="22"/>
        </w:rPr>
        <w:t xml:space="preserve"> : </w:t>
      </w:r>
      <w:r w:rsidR="00C554C8">
        <w:rPr>
          <w:szCs w:val="22"/>
        </w:rPr>
        <w:t>201</w:t>
      </w:r>
      <w:r w:rsidR="000D5BC1">
        <w:rPr>
          <w:szCs w:val="22"/>
        </w:rPr>
        <w:t>9</w:t>
      </w:r>
      <w:r w:rsidR="00C554C8">
        <w:rPr>
          <w:szCs w:val="22"/>
        </w:rPr>
        <w:t>-1</w:t>
      </w:r>
      <w:r w:rsidR="00035E1B">
        <w:rPr>
          <w:szCs w:val="22"/>
        </w:rPr>
        <w:t>1</w:t>
      </w:r>
      <w:r w:rsidR="00C554C8">
        <w:rPr>
          <w:szCs w:val="22"/>
        </w:rPr>
        <w:t>-D-</w:t>
      </w:r>
      <w:r w:rsidR="00386C30">
        <w:rPr>
          <w:szCs w:val="22"/>
        </w:rPr>
        <w:t>15</w:t>
      </w:r>
      <w:r w:rsidR="006D0DB0">
        <w:rPr>
          <w:szCs w:val="22"/>
        </w:rPr>
        <w:t>-fr-1</w:t>
      </w:r>
    </w:p>
    <w:p w:rsidR="005C0ACF" w:rsidRPr="007B5C0D" w:rsidRDefault="005C0ACF" w:rsidP="005C0ACF">
      <w:pPr>
        <w:pStyle w:val="References"/>
        <w:spacing w:before="0"/>
        <w:rPr>
          <w:szCs w:val="22"/>
        </w:rPr>
      </w:pPr>
    </w:p>
    <w:p w:rsidR="005C0ACF" w:rsidRPr="007B5C0D" w:rsidRDefault="007B5C0D" w:rsidP="005C0ACF">
      <w:pPr>
        <w:pStyle w:val="References"/>
        <w:spacing w:before="0"/>
        <w:rPr>
          <w:szCs w:val="22"/>
        </w:rPr>
      </w:pPr>
      <w:r>
        <w:rPr>
          <w:szCs w:val="22"/>
        </w:rPr>
        <w:t>Original </w:t>
      </w:r>
      <w:r w:rsidR="00F5638E">
        <w:rPr>
          <w:szCs w:val="22"/>
        </w:rPr>
        <w:t xml:space="preserve">: </w:t>
      </w:r>
      <w:r w:rsidR="00C1637C">
        <w:rPr>
          <w:szCs w:val="22"/>
        </w:rPr>
        <w:t>FR</w:t>
      </w:r>
    </w:p>
    <w:p w:rsidR="005C0ACF" w:rsidRPr="00ED6E3C" w:rsidRDefault="00035E1B" w:rsidP="00FA2EC0">
      <w:pPr>
        <w:pStyle w:val="DocumentTitle"/>
        <w:spacing w:before="3120"/>
        <w:jc w:val="both"/>
      </w:pPr>
      <w:r>
        <w:t>Autorité centrale des inscriptions des Ecoles européennes de Bruxelles : b</w:t>
      </w:r>
      <w:r w:rsidR="00B13903">
        <w:t>ilan de la politique d’inscription</w:t>
      </w:r>
      <w:r w:rsidR="00C1637C">
        <w:t xml:space="preserve"> 20</w:t>
      </w:r>
      <w:r w:rsidR="008D141B">
        <w:t>1</w:t>
      </w:r>
      <w:r w:rsidR="000D5BC1">
        <w:t>9</w:t>
      </w:r>
      <w:r w:rsidR="001E062C">
        <w:t>-20</w:t>
      </w:r>
      <w:r w:rsidR="000D5BC1">
        <w:t>20</w:t>
      </w:r>
      <w:r w:rsidR="00C1637C">
        <w:t xml:space="preserve"> </w:t>
      </w:r>
      <w:r>
        <w:t>et propositions de lignes directrices pour la politique 20</w:t>
      </w:r>
      <w:r w:rsidR="000D5BC1">
        <w:t>20</w:t>
      </w:r>
      <w:r>
        <w:t>-20</w:t>
      </w:r>
      <w:r w:rsidR="007A40F5">
        <w:t>2</w:t>
      </w:r>
      <w:r w:rsidR="000D5BC1">
        <w:t>1</w:t>
      </w:r>
      <w:r w:rsidR="00B13903" w:rsidRPr="00ED6E3C">
        <w:t xml:space="preserve"> </w:t>
      </w:r>
      <w:r w:rsidR="00C1637C" w:rsidRPr="00ED6E3C">
        <w:t xml:space="preserve"> </w:t>
      </w:r>
    </w:p>
    <w:p w:rsidR="0051403D" w:rsidRPr="00ED6E3C" w:rsidRDefault="00C1637C" w:rsidP="005C0ACF">
      <w:pPr>
        <w:pStyle w:val="SubTitle1"/>
      </w:pPr>
      <w:r w:rsidRPr="00ED6E3C">
        <w:t>Co</w:t>
      </w:r>
      <w:r w:rsidR="00035E1B">
        <w:t>nseil supérieur des Ecoles européennes</w:t>
      </w:r>
    </w:p>
    <w:p w:rsidR="005C0ACF" w:rsidRPr="00ED6E3C" w:rsidRDefault="00035E1B" w:rsidP="005C0ACF">
      <w:pPr>
        <w:pStyle w:val="SubTitle2"/>
      </w:pPr>
      <w:r>
        <w:t xml:space="preserve">Réunion des </w:t>
      </w:r>
      <w:r w:rsidR="00A64516">
        <w:t>3</w:t>
      </w:r>
      <w:r w:rsidR="007A40F5">
        <w:t xml:space="preserve">, </w:t>
      </w:r>
      <w:r w:rsidR="00A64516">
        <w:t xml:space="preserve">4 </w:t>
      </w:r>
      <w:r>
        <w:t xml:space="preserve">et </w:t>
      </w:r>
      <w:r w:rsidR="00A64516">
        <w:t>5</w:t>
      </w:r>
      <w:r>
        <w:t xml:space="preserve"> décembre </w:t>
      </w:r>
      <w:r w:rsidR="007B5C0D" w:rsidRPr="00ED6E3C">
        <w:t>20</w:t>
      </w:r>
      <w:r w:rsidR="008D141B" w:rsidRPr="00ED6E3C">
        <w:t>1</w:t>
      </w:r>
      <w:r w:rsidR="000D5BC1">
        <w:t>9</w:t>
      </w:r>
      <w:r w:rsidR="007B5C0D" w:rsidRPr="00ED6E3C">
        <w:t xml:space="preserve"> à </w:t>
      </w:r>
      <w:r w:rsidR="00C1637C" w:rsidRPr="00ED6E3C">
        <w:t>Bruxelles</w:t>
      </w:r>
    </w:p>
    <w:p w:rsidR="00BB6E57" w:rsidRDefault="00BB6E57" w:rsidP="007D2759">
      <w:pPr>
        <w:tabs>
          <w:tab w:val="left" w:pos="284"/>
        </w:tabs>
        <w:spacing w:before="0" w:after="240"/>
      </w:pPr>
    </w:p>
    <w:p w:rsidR="00BB6E57" w:rsidRPr="00BB6E57" w:rsidRDefault="00BB6E57" w:rsidP="00BB6E57"/>
    <w:p w:rsidR="00BB6E57" w:rsidRPr="00BB6E57" w:rsidRDefault="00BB6E57" w:rsidP="00BB6E57"/>
    <w:p w:rsidR="00BB6E57" w:rsidRPr="00BB6E57" w:rsidRDefault="00BB6E57" w:rsidP="00BB6E57"/>
    <w:p w:rsidR="00BB6E57" w:rsidRPr="00BB6E57" w:rsidRDefault="00BB6E57" w:rsidP="00BB6E57"/>
    <w:p w:rsidR="00BB6E57" w:rsidRPr="00BB6E57" w:rsidRDefault="00BB6E57" w:rsidP="00BB6E57"/>
    <w:p w:rsidR="00BB6E57" w:rsidRPr="00BB6E57" w:rsidRDefault="00BB6E57" w:rsidP="00BB6E57"/>
    <w:p w:rsidR="00BB6E57" w:rsidRPr="00BB6E57" w:rsidRDefault="00BB6E57" w:rsidP="00BB6E57"/>
    <w:p w:rsidR="00BB6E57" w:rsidRPr="00BB6E57" w:rsidRDefault="00BB6E57" w:rsidP="00BB6E57"/>
    <w:p w:rsidR="00BB6E57" w:rsidRPr="00BB6E57" w:rsidRDefault="00BB6E57" w:rsidP="00BB6E57"/>
    <w:p w:rsidR="00BB6E57" w:rsidRDefault="00BB6E57" w:rsidP="00386C30">
      <w:pPr>
        <w:tabs>
          <w:tab w:val="left" w:pos="284"/>
        </w:tabs>
        <w:spacing w:before="0" w:after="240"/>
        <w:ind w:firstLine="720"/>
      </w:pPr>
    </w:p>
    <w:p w:rsidR="00C1637C" w:rsidRDefault="005C0ACF" w:rsidP="007D2759">
      <w:pPr>
        <w:tabs>
          <w:tab w:val="left" w:pos="284"/>
        </w:tabs>
        <w:spacing w:before="0" w:after="240"/>
        <w:rPr>
          <w:rFonts w:cs="Arial"/>
          <w:b/>
          <w:sz w:val="24"/>
          <w:szCs w:val="24"/>
          <w:u w:val="single"/>
        </w:rPr>
      </w:pPr>
      <w:r w:rsidRPr="00386C30">
        <w:br w:type="page"/>
      </w:r>
      <w:bookmarkEnd w:id="0"/>
      <w:r w:rsidR="00C1637C" w:rsidRPr="00ED6E3C">
        <w:rPr>
          <w:b/>
          <w:sz w:val="24"/>
          <w:szCs w:val="24"/>
        </w:rPr>
        <w:lastRenderedPageBreak/>
        <w:t xml:space="preserve">I. </w:t>
      </w:r>
      <w:r w:rsidR="00C1637C" w:rsidRPr="00ED6E3C">
        <w:rPr>
          <w:rFonts w:cs="Arial"/>
          <w:b/>
          <w:sz w:val="24"/>
          <w:szCs w:val="24"/>
          <w:u w:val="single"/>
        </w:rPr>
        <w:t>I</w:t>
      </w:r>
      <w:r w:rsidR="00035E1B">
        <w:rPr>
          <w:rFonts w:cs="Arial"/>
          <w:b/>
          <w:sz w:val="24"/>
          <w:szCs w:val="24"/>
          <w:u w:val="single"/>
        </w:rPr>
        <w:t>ntroduction</w:t>
      </w:r>
    </w:p>
    <w:p w:rsidR="005702AB" w:rsidRDefault="00F566A4" w:rsidP="00D51628">
      <w:pPr>
        <w:tabs>
          <w:tab w:val="left" w:pos="284"/>
        </w:tabs>
        <w:spacing w:before="0" w:after="0" w:line="276" w:lineRule="auto"/>
        <w:rPr>
          <w:rFonts w:cs="Arial"/>
          <w:szCs w:val="22"/>
        </w:rPr>
      </w:pPr>
      <w:r>
        <w:rPr>
          <w:rFonts w:cs="Arial"/>
          <w:szCs w:val="22"/>
        </w:rPr>
        <w:t>Depuis plusieurs années l’augmentation de la population scolaire globale est d’environ 400 nouveaux élèves supplémentaires</w:t>
      </w:r>
      <w:r w:rsidR="00997196">
        <w:rPr>
          <w:rFonts w:cs="Arial"/>
          <w:szCs w:val="22"/>
        </w:rPr>
        <w:t xml:space="preserve"> par an</w:t>
      </w:r>
      <w:r>
        <w:rPr>
          <w:rFonts w:cs="Arial"/>
          <w:szCs w:val="22"/>
        </w:rPr>
        <w:t xml:space="preserve">. A </w:t>
      </w:r>
      <w:r w:rsidR="005702AB">
        <w:rPr>
          <w:rFonts w:cs="Arial"/>
          <w:szCs w:val="22"/>
        </w:rPr>
        <w:t>l’issue de la campagne d’inscription</w:t>
      </w:r>
      <w:r>
        <w:rPr>
          <w:rFonts w:cs="Arial"/>
          <w:szCs w:val="22"/>
        </w:rPr>
        <w:t xml:space="preserve"> 2018-2019, cette augmentation ét</w:t>
      </w:r>
      <w:r w:rsidR="00442097">
        <w:rPr>
          <w:rFonts w:cs="Arial"/>
          <w:szCs w:val="22"/>
        </w:rPr>
        <w:t>ait</w:t>
      </w:r>
      <w:r>
        <w:rPr>
          <w:rFonts w:cs="Arial"/>
          <w:szCs w:val="22"/>
        </w:rPr>
        <w:t xml:space="preserve"> en légère baisse (267 élèves), mais cette année le nombre d’élèves supplémentaires inscrits au 15 octobre 2019</w:t>
      </w:r>
      <w:r w:rsidR="00017926">
        <w:rPr>
          <w:rFonts w:cs="Arial"/>
          <w:szCs w:val="22"/>
        </w:rPr>
        <w:t>, soit 472 nouveaux élèves,</w:t>
      </w:r>
      <w:r>
        <w:rPr>
          <w:rFonts w:cs="Arial"/>
          <w:szCs w:val="22"/>
        </w:rPr>
        <w:t xml:space="preserve"> est supérieur à la croissance moyenne. </w:t>
      </w:r>
    </w:p>
    <w:p w:rsidR="00846E84" w:rsidRDefault="00846E84" w:rsidP="00D51628">
      <w:pPr>
        <w:tabs>
          <w:tab w:val="left" w:pos="284"/>
        </w:tabs>
        <w:spacing w:before="0" w:after="0" w:line="276" w:lineRule="auto"/>
        <w:rPr>
          <w:rFonts w:cs="Arial"/>
          <w:szCs w:val="22"/>
        </w:rPr>
      </w:pPr>
    </w:p>
    <w:p w:rsidR="001B1098" w:rsidRDefault="00846E84" w:rsidP="00D51628">
      <w:pPr>
        <w:tabs>
          <w:tab w:val="left" w:pos="284"/>
        </w:tabs>
        <w:spacing w:before="0" w:after="0" w:line="276" w:lineRule="auto"/>
        <w:rPr>
          <w:rFonts w:cs="Arial"/>
          <w:szCs w:val="22"/>
        </w:rPr>
      </w:pPr>
      <w:r>
        <w:rPr>
          <w:rFonts w:cs="Arial"/>
          <w:szCs w:val="22"/>
        </w:rPr>
        <w:t xml:space="preserve">Dans la mesure où </w:t>
      </w:r>
      <w:r w:rsidR="00AE51AB">
        <w:rPr>
          <w:rFonts w:cs="Arial"/>
          <w:szCs w:val="22"/>
        </w:rPr>
        <w:t xml:space="preserve">l’Ecole de Bruxelles I – site Berkendael </w:t>
      </w:r>
      <w:r>
        <w:rPr>
          <w:rFonts w:cs="Arial"/>
          <w:szCs w:val="22"/>
        </w:rPr>
        <w:t xml:space="preserve">disposait encore de places et compte tenu des </w:t>
      </w:r>
      <w:r w:rsidR="00AE51AB">
        <w:rPr>
          <w:rFonts w:cs="Arial"/>
          <w:szCs w:val="22"/>
        </w:rPr>
        <w:t>contraintes logistiques exercées sur les autres écoles/sites, l’u</w:t>
      </w:r>
      <w:r w:rsidR="00496433">
        <w:rPr>
          <w:rFonts w:cs="Arial"/>
          <w:szCs w:val="22"/>
        </w:rPr>
        <w:t xml:space="preserve">n des principaux objectifs de la Politique d’inscription </w:t>
      </w:r>
      <w:r w:rsidR="001F6946">
        <w:rPr>
          <w:rFonts w:cs="Arial"/>
          <w:szCs w:val="22"/>
        </w:rPr>
        <w:t>2019</w:t>
      </w:r>
      <w:r w:rsidR="00AE51AB">
        <w:rPr>
          <w:rFonts w:cs="Arial"/>
          <w:szCs w:val="22"/>
        </w:rPr>
        <w:t>-20</w:t>
      </w:r>
      <w:r w:rsidR="001F6946">
        <w:rPr>
          <w:rFonts w:cs="Arial"/>
          <w:szCs w:val="22"/>
        </w:rPr>
        <w:t>20</w:t>
      </w:r>
      <w:r w:rsidR="00342DA3">
        <w:rPr>
          <w:rStyle w:val="FootnoteReference"/>
          <w:rFonts w:cs="Arial"/>
          <w:szCs w:val="22"/>
        </w:rPr>
        <w:footnoteReference w:id="1"/>
      </w:r>
      <w:r w:rsidR="00AE51AB">
        <w:rPr>
          <w:rFonts w:cs="Arial"/>
          <w:szCs w:val="22"/>
        </w:rPr>
        <w:t xml:space="preserve"> </w:t>
      </w:r>
      <w:r w:rsidR="00496433">
        <w:rPr>
          <w:rFonts w:cs="Arial"/>
          <w:szCs w:val="22"/>
        </w:rPr>
        <w:t>é</w:t>
      </w:r>
      <w:r w:rsidR="001B1098">
        <w:rPr>
          <w:rFonts w:cs="Arial"/>
          <w:szCs w:val="22"/>
        </w:rPr>
        <w:t>tait d</w:t>
      </w:r>
      <w:r w:rsidR="006D419F">
        <w:rPr>
          <w:rFonts w:cs="Arial"/>
          <w:szCs w:val="22"/>
        </w:rPr>
        <w:t>’organiser le maintien, le développement</w:t>
      </w:r>
      <w:r w:rsidR="008A6B09">
        <w:rPr>
          <w:rFonts w:cs="Arial"/>
          <w:szCs w:val="22"/>
        </w:rPr>
        <w:t>,</w:t>
      </w:r>
      <w:r w:rsidR="006D419F">
        <w:rPr>
          <w:rFonts w:cs="Arial"/>
          <w:szCs w:val="22"/>
        </w:rPr>
        <w:t xml:space="preserve"> voire la création de </w:t>
      </w:r>
      <w:r w:rsidR="00AE51AB">
        <w:rPr>
          <w:rFonts w:cs="Arial"/>
          <w:szCs w:val="22"/>
        </w:rPr>
        <w:t>classes satellites</w:t>
      </w:r>
      <w:r w:rsidR="007D2759">
        <w:rPr>
          <w:rStyle w:val="FootnoteReference"/>
          <w:rFonts w:cs="Arial"/>
          <w:szCs w:val="22"/>
        </w:rPr>
        <w:footnoteReference w:id="2"/>
      </w:r>
      <w:r w:rsidR="00AE51AB">
        <w:rPr>
          <w:rFonts w:cs="Arial"/>
          <w:szCs w:val="22"/>
        </w:rPr>
        <w:t xml:space="preserve"> </w:t>
      </w:r>
      <w:r w:rsidR="007D2759">
        <w:rPr>
          <w:rFonts w:cs="Arial"/>
          <w:szCs w:val="22"/>
        </w:rPr>
        <w:t xml:space="preserve">selon des conditions définies </w:t>
      </w:r>
      <w:r w:rsidR="00497539">
        <w:rPr>
          <w:rFonts w:cs="Arial"/>
          <w:szCs w:val="22"/>
        </w:rPr>
        <w:t xml:space="preserve">dans la Politique d’inscription </w:t>
      </w:r>
      <w:r w:rsidR="00AE51AB">
        <w:rPr>
          <w:rFonts w:cs="Arial"/>
          <w:szCs w:val="22"/>
        </w:rPr>
        <w:t xml:space="preserve">en examinant par priorité leur emplacement sur </w:t>
      </w:r>
      <w:r w:rsidR="006D419F">
        <w:rPr>
          <w:rFonts w:cs="Arial"/>
          <w:szCs w:val="22"/>
        </w:rPr>
        <w:t>c</w:t>
      </w:r>
      <w:r w:rsidR="00AE51AB">
        <w:rPr>
          <w:rFonts w:cs="Arial"/>
          <w:szCs w:val="22"/>
        </w:rPr>
        <w:t xml:space="preserve">e site. </w:t>
      </w:r>
    </w:p>
    <w:p w:rsidR="00846E84" w:rsidRDefault="00846E84" w:rsidP="00D51628">
      <w:pPr>
        <w:tabs>
          <w:tab w:val="left" w:pos="284"/>
        </w:tabs>
        <w:spacing w:before="0" w:after="0" w:line="276" w:lineRule="auto"/>
        <w:rPr>
          <w:rFonts w:cs="Arial"/>
          <w:szCs w:val="22"/>
        </w:rPr>
      </w:pPr>
    </w:p>
    <w:p w:rsidR="00035E1B" w:rsidRDefault="00846E84" w:rsidP="00532D14">
      <w:pPr>
        <w:tabs>
          <w:tab w:val="left" w:pos="284"/>
        </w:tabs>
        <w:spacing w:before="0" w:after="0" w:line="276" w:lineRule="auto"/>
        <w:rPr>
          <w:rFonts w:cs="Arial"/>
          <w:szCs w:val="22"/>
        </w:rPr>
      </w:pPr>
      <w:r>
        <w:rPr>
          <w:rFonts w:cs="Arial"/>
          <w:szCs w:val="22"/>
        </w:rPr>
        <w:t>C’est dans ce contexte que l’Autorité centrale des inscriptions (ACI) doit continuer à garantir l’optimalisation des possibilités d’accueil des élèves dans les Ecoles européennes de Bruxelles, tout en veillant à une répartition harmonieuse de ceux-ci entre les sites et les sections linguistiques, alors que les infrastructures à disposition demeurent inchangées.</w:t>
      </w:r>
      <w:r w:rsidR="00017926">
        <w:rPr>
          <w:rFonts w:cs="Arial"/>
          <w:szCs w:val="22"/>
        </w:rPr>
        <w:t xml:space="preserve"> </w:t>
      </w:r>
      <w:r w:rsidR="007D2759">
        <w:rPr>
          <w:rFonts w:cs="Arial"/>
          <w:szCs w:val="22"/>
        </w:rPr>
        <w:t>Au 15 octobre 201</w:t>
      </w:r>
      <w:r>
        <w:rPr>
          <w:rFonts w:cs="Arial"/>
          <w:szCs w:val="22"/>
        </w:rPr>
        <w:t>9</w:t>
      </w:r>
      <w:r w:rsidR="007D2759">
        <w:rPr>
          <w:rFonts w:cs="Arial"/>
          <w:szCs w:val="22"/>
        </w:rPr>
        <w:t xml:space="preserve">, </w:t>
      </w:r>
      <w:r w:rsidR="00497539" w:rsidRPr="00E75485">
        <w:rPr>
          <w:rFonts w:cs="Arial"/>
          <w:szCs w:val="22"/>
        </w:rPr>
        <w:t>1</w:t>
      </w:r>
      <w:r>
        <w:rPr>
          <w:rFonts w:cs="Arial"/>
          <w:szCs w:val="22"/>
        </w:rPr>
        <w:t>3</w:t>
      </w:r>
      <w:r w:rsidR="00497539" w:rsidRPr="00E75485">
        <w:rPr>
          <w:rFonts w:cs="Arial"/>
          <w:szCs w:val="22"/>
        </w:rPr>
        <w:t xml:space="preserve"> </w:t>
      </w:r>
      <w:r>
        <w:rPr>
          <w:rFonts w:cs="Arial"/>
          <w:szCs w:val="22"/>
        </w:rPr>
        <w:t>430</w:t>
      </w:r>
      <w:r w:rsidR="00497539">
        <w:rPr>
          <w:rFonts w:cs="Arial"/>
          <w:szCs w:val="22"/>
        </w:rPr>
        <w:t xml:space="preserve"> élèves étaient accueillis dans les écoles/sites, dont la capacité théorique est de 12 400 élèves.  </w:t>
      </w:r>
    </w:p>
    <w:p w:rsidR="00497539" w:rsidRPr="00EB62C3" w:rsidRDefault="00497539" w:rsidP="00532D14">
      <w:pPr>
        <w:tabs>
          <w:tab w:val="left" w:pos="284"/>
        </w:tabs>
        <w:spacing w:before="0" w:after="0" w:line="276" w:lineRule="auto"/>
        <w:rPr>
          <w:rFonts w:cs="Arial"/>
          <w:color w:val="244061" w:themeColor="accent1" w:themeShade="80"/>
          <w:szCs w:val="22"/>
        </w:rPr>
      </w:pPr>
    </w:p>
    <w:p w:rsidR="00035E1B" w:rsidRPr="00357FAA" w:rsidRDefault="006D419F" w:rsidP="00532D14">
      <w:pPr>
        <w:tabs>
          <w:tab w:val="left" w:pos="284"/>
        </w:tabs>
        <w:spacing w:before="0" w:after="0" w:line="276" w:lineRule="auto"/>
        <w:rPr>
          <w:rFonts w:cs="Arial"/>
          <w:szCs w:val="22"/>
        </w:rPr>
      </w:pPr>
      <w:r>
        <w:rPr>
          <w:rFonts w:cs="Arial"/>
          <w:szCs w:val="22"/>
        </w:rPr>
        <w:t>D</w:t>
      </w:r>
      <w:r w:rsidR="00017926">
        <w:rPr>
          <w:rFonts w:cs="Arial"/>
          <w:szCs w:val="22"/>
        </w:rPr>
        <w:t xml:space="preserve">ans ce cadre, </w:t>
      </w:r>
      <w:r w:rsidR="00D51628">
        <w:rPr>
          <w:rFonts w:cs="Arial"/>
          <w:szCs w:val="22"/>
        </w:rPr>
        <w:t>d</w:t>
      </w:r>
      <w:r w:rsidR="00035E1B" w:rsidRPr="00EB62C3">
        <w:rPr>
          <w:rFonts w:cs="Arial"/>
          <w:szCs w:val="22"/>
        </w:rPr>
        <w:t>es propositions de lignes directrices pour la politique 20</w:t>
      </w:r>
      <w:r w:rsidR="00846E84">
        <w:rPr>
          <w:rFonts w:cs="Arial"/>
          <w:szCs w:val="22"/>
        </w:rPr>
        <w:t>20</w:t>
      </w:r>
      <w:r w:rsidR="00035E1B" w:rsidRPr="00EB62C3">
        <w:rPr>
          <w:rFonts w:cs="Arial"/>
          <w:szCs w:val="22"/>
        </w:rPr>
        <w:t>-20</w:t>
      </w:r>
      <w:r w:rsidR="00C54529">
        <w:rPr>
          <w:rFonts w:cs="Arial"/>
          <w:szCs w:val="22"/>
        </w:rPr>
        <w:t>2</w:t>
      </w:r>
      <w:r w:rsidR="00846E84">
        <w:rPr>
          <w:rFonts w:cs="Arial"/>
          <w:szCs w:val="22"/>
        </w:rPr>
        <w:t>1</w:t>
      </w:r>
      <w:r w:rsidR="00035E1B" w:rsidRPr="00EB62C3">
        <w:rPr>
          <w:rFonts w:cs="Arial"/>
          <w:szCs w:val="22"/>
        </w:rPr>
        <w:t xml:space="preserve"> sont présentées.</w:t>
      </w:r>
      <w:r w:rsidR="00050016">
        <w:rPr>
          <w:rFonts w:cs="Arial"/>
          <w:szCs w:val="22"/>
        </w:rPr>
        <w:t xml:space="preserve"> </w:t>
      </w:r>
    </w:p>
    <w:p w:rsidR="00087BDD" w:rsidRPr="0015174A" w:rsidRDefault="00087BDD" w:rsidP="00532D14">
      <w:pPr>
        <w:tabs>
          <w:tab w:val="left" w:pos="284"/>
        </w:tabs>
        <w:spacing w:before="0" w:after="0" w:line="276" w:lineRule="auto"/>
        <w:rPr>
          <w:rFonts w:cs="Arial"/>
          <w:color w:val="244061" w:themeColor="accent1" w:themeShade="80"/>
          <w:szCs w:val="22"/>
        </w:rPr>
      </w:pPr>
    </w:p>
    <w:p w:rsidR="00C1637C" w:rsidRDefault="00C1637C" w:rsidP="00B07A67">
      <w:pPr>
        <w:tabs>
          <w:tab w:val="left" w:pos="284"/>
        </w:tabs>
        <w:spacing w:before="240"/>
        <w:rPr>
          <w:b/>
          <w:sz w:val="24"/>
          <w:szCs w:val="24"/>
          <w:u w:val="single"/>
        </w:rPr>
      </w:pPr>
      <w:r w:rsidRPr="002B31B6">
        <w:rPr>
          <w:b/>
          <w:sz w:val="24"/>
          <w:szCs w:val="24"/>
        </w:rPr>
        <w:t xml:space="preserve">II. </w:t>
      </w:r>
      <w:r w:rsidR="00035E1B">
        <w:rPr>
          <w:b/>
          <w:sz w:val="24"/>
          <w:szCs w:val="24"/>
          <w:u w:val="single"/>
        </w:rPr>
        <w:t>Campagne d’inscription 201</w:t>
      </w:r>
      <w:r w:rsidR="00BB6E57">
        <w:rPr>
          <w:b/>
          <w:sz w:val="24"/>
          <w:szCs w:val="24"/>
          <w:u w:val="single"/>
        </w:rPr>
        <w:t>9</w:t>
      </w:r>
      <w:r w:rsidR="00035E1B">
        <w:rPr>
          <w:b/>
          <w:sz w:val="24"/>
          <w:szCs w:val="24"/>
          <w:u w:val="single"/>
        </w:rPr>
        <w:t>-</w:t>
      </w:r>
      <w:r w:rsidR="004B17BD" w:rsidRPr="00C554C8">
        <w:rPr>
          <w:b/>
          <w:sz w:val="24"/>
          <w:szCs w:val="24"/>
          <w:u w:val="single"/>
        </w:rPr>
        <w:t>20</w:t>
      </w:r>
      <w:r w:rsidR="00BB6E57">
        <w:rPr>
          <w:b/>
          <w:sz w:val="24"/>
          <w:szCs w:val="24"/>
          <w:u w:val="single"/>
        </w:rPr>
        <w:t>20</w:t>
      </w:r>
    </w:p>
    <w:p w:rsidR="007F72B9" w:rsidRDefault="009E5ED8" w:rsidP="007D2759">
      <w:pPr>
        <w:tabs>
          <w:tab w:val="left" w:pos="284"/>
        </w:tabs>
        <w:spacing w:before="360"/>
        <w:rPr>
          <w:b/>
          <w:szCs w:val="22"/>
        </w:rPr>
      </w:pPr>
      <w:r>
        <w:rPr>
          <w:b/>
          <w:szCs w:val="22"/>
        </w:rPr>
        <w:tab/>
        <w:t>2</w:t>
      </w:r>
      <w:r w:rsidR="007F72B9" w:rsidRPr="007F72B9">
        <w:rPr>
          <w:b/>
          <w:szCs w:val="22"/>
        </w:rPr>
        <w:t>.1</w:t>
      </w:r>
      <w:r w:rsidR="0093616F">
        <w:rPr>
          <w:b/>
          <w:szCs w:val="22"/>
        </w:rPr>
        <w:t xml:space="preserve"> </w:t>
      </w:r>
      <w:r w:rsidR="00035E1B">
        <w:rPr>
          <w:b/>
          <w:szCs w:val="22"/>
        </w:rPr>
        <w:t xml:space="preserve">Rappel des objectifs pour </w:t>
      </w:r>
      <w:r w:rsidR="004419CC" w:rsidRPr="00C554C8">
        <w:rPr>
          <w:b/>
          <w:szCs w:val="22"/>
        </w:rPr>
        <w:t>201</w:t>
      </w:r>
      <w:r w:rsidR="00BB6E57">
        <w:rPr>
          <w:b/>
          <w:szCs w:val="22"/>
        </w:rPr>
        <w:t>9</w:t>
      </w:r>
      <w:r w:rsidR="00F16560" w:rsidRPr="00C554C8">
        <w:rPr>
          <w:b/>
          <w:szCs w:val="22"/>
        </w:rPr>
        <w:t>-20</w:t>
      </w:r>
      <w:r w:rsidR="00BB6E57">
        <w:rPr>
          <w:b/>
          <w:szCs w:val="22"/>
        </w:rPr>
        <w:t>20</w:t>
      </w:r>
      <w:r w:rsidR="004419CC">
        <w:rPr>
          <w:b/>
          <w:szCs w:val="22"/>
        </w:rPr>
        <w:t xml:space="preserve"> </w:t>
      </w:r>
    </w:p>
    <w:p w:rsidR="00547C0F" w:rsidRPr="00080571" w:rsidRDefault="005B37C3" w:rsidP="00825304">
      <w:pPr>
        <w:tabs>
          <w:tab w:val="left" w:pos="284"/>
        </w:tabs>
        <w:spacing w:before="240" w:line="276" w:lineRule="auto"/>
        <w:rPr>
          <w:szCs w:val="22"/>
        </w:rPr>
      </w:pPr>
      <w:r w:rsidRPr="00080571">
        <w:rPr>
          <w:szCs w:val="22"/>
        </w:rPr>
        <w:t xml:space="preserve">Le contexte </w:t>
      </w:r>
      <w:r w:rsidR="00AC75E4" w:rsidRPr="00080571">
        <w:rPr>
          <w:szCs w:val="22"/>
        </w:rPr>
        <w:t>d</w:t>
      </w:r>
      <w:r w:rsidR="00795CAC" w:rsidRPr="00080571">
        <w:rPr>
          <w:szCs w:val="22"/>
        </w:rPr>
        <w:t xml:space="preserve">es </w:t>
      </w:r>
      <w:r w:rsidR="00AC75E4" w:rsidRPr="00080571">
        <w:rPr>
          <w:szCs w:val="22"/>
        </w:rPr>
        <w:t>inscription</w:t>
      </w:r>
      <w:r w:rsidR="00795CAC" w:rsidRPr="00080571">
        <w:rPr>
          <w:szCs w:val="22"/>
        </w:rPr>
        <w:t>s</w:t>
      </w:r>
      <w:r w:rsidR="00F16560" w:rsidRPr="00080571">
        <w:rPr>
          <w:szCs w:val="22"/>
        </w:rPr>
        <w:t xml:space="preserve"> pour l’année scolaire 201</w:t>
      </w:r>
      <w:r w:rsidR="00BB6E57">
        <w:rPr>
          <w:szCs w:val="22"/>
        </w:rPr>
        <w:t>9</w:t>
      </w:r>
      <w:r w:rsidR="00F16560" w:rsidRPr="00080571">
        <w:rPr>
          <w:szCs w:val="22"/>
        </w:rPr>
        <w:t>-20</w:t>
      </w:r>
      <w:r w:rsidR="00BB6E57">
        <w:rPr>
          <w:szCs w:val="22"/>
        </w:rPr>
        <w:t>20</w:t>
      </w:r>
      <w:r w:rsidR="00AC75E4" w:rsidRPr="00080571">
        <w:rPr>
          <w:szCs w:val="22"/>
        </w:rPr>
        <w:t xml:space="preserve"> </w:t>
      </w:r>
      <w:r w:rsidR="00BC490E">
        <w:rPr>
          <w:szCs w:val="22"/>
        </w:rPr>
        <w:t>était</w:t>
      </w:r>
      <w:r w:rsidRPr="00080571">
        <w:rPr>
          <w:szCs w:val="22"/>
        </w:rPr>
        <w:t xml:space="preserve"> le suivant : </w:t>
      </w:r>
    </w:p>
    <w:p w:rsidR="001B2938" w:rsidRPr="00035E1B" w:rsidRDefault="00795CAC" w:rsidP="00497539">
      <w:pPr>
        <w:pStyle w:val="ListParagraph"/>
        <w:numPr>
          <w:ilvl w:val="0"/>
          <w:numId w:val="23"/>
        </w:numPr>
        <w:tabs>
          <w:tab w:val="left" w:pos="284"/>
        </w:tabs>
        <w:spacing w:before="240" w:line="276" w:lineRule="auto"/>
        <w:rPr>
          <w:szCs w:val="22"/>
          <w:u w:val="single"/>
        </w:rPr>
      </w:pPr>
      <w:r w:rsidRPr="00035E1B">
        <w:rPr>
          <w:szCs w:val="22"/>
          <w:u w:val="single"/>
        </w:rPr>
        <w:t>I</w:t>
      </w:r>
      <w:r w:rsidR="00AC75E4" w:rsidRPr="00035E1B">
        <w:rPr>
          <w:szCs w:val="22"/>
          <w:u w:val="single"/>
        </w:rPr>
        <w:t>nfrastructures disponibles à Bruxelles</w:t>
      </w:r>
      <w:r w:rsidR="00725BAB" w:rsidRPr="00035E1B">
        <w:rPr>
          <w:szCs w:val="22"/>
          <w:u w:val="single"/>
        </w:rPr>
        <w:t> </w:t>
      </w:r>
    </w:p>
    <w:p w:rsidR="00760A7A" w:rsidRDefault="0046770B" w:rsidP="00825304">
      <w:pPr>
        <w:pStyle w:val="ListParagraph"/>
        <w:tabs>
          <w:tab w:val="left" w:pos="284"/>
        </w:tabs>
        <w:spacing w:before="240" w:after="0" w:line="276" w:lineRule="auto"/>
        <w:rPr>
          <w:szCs w:val="22"/>
        </w:rPr>
      </w:pPr>
      <w:r>
        <w:rPr>
          <w:szCs w:val="22"/>
        </w:rPr>
        <w:t>4 écoles</w:t>
      </w:r>
      <w:r w:rsidR="00F4771C">
        <w:rPr>
          <w:szCs w:val="22"/>
        </w:rPr>
        <w:t xml:space="preserve"> offre</w:t>
      </w:r>
      <w:r>
        <w:rPr>
          <w:szCs w:val="22"/>
        </w:rPr>
        <w:t>nt une scolarisation de la maternelle à la 7</w:t>
      </w:r>
      <w:r w:rsidRPr="0046770B">
        <w:rPr>
          <w:szCs w:val="22"/>
          <w:vertAlign w:val="superscript"/>
        </w:rPr>
        <w:t>ème</w:t>
      </w:r>
      <w:r>
        <w:rPr>
          <w:szCs w:val="22"/>
        </w:rPr>
        <w:t xml:space="preserve"> secondaire. </w:t>
      </w:r>
    </w:p>
    <w:p w:rsidR="00995A0A" w:rsidRDefault="00C54529" w:rsidP="00945C18">
      <w:pPr>
        <w:pStyle w:val="ListParagraph"/>
        <w:tabs>
          <w:tab w:val="left" w:pos="284"/>
        </w:tabs>
        <w:spacing w:after="0" w:line="276" w:lineRule="auto"/>
        <w:rPr>
          <w:szCs w:val="22"/>
        </w:rPr>
      </w:pPr>
      <w:r>
        <w:rPr>
          <w:szCs w:val="22"/>
        </w:rPr>
        <w:t>Depuis la rentrée de septembre 2016, le site de Berkendael est utilisé à titre d’extension de l’Ecole européenne de Bruxelles I. Ce site</w:t>
      </w:r>
      <w:r w:rsidR="00B6428F">
        <w:rPr>
          <w:szCs w:val="22"/>
        </w:rPr>
        <w:t xml:space="preserve"> d’une capacité de 1 000 élèves</w:t>
      </w:r>
      <w:r w:rsidR="00D51628">
        <w:rPr>
          <w:szCs w:val="22"/>
        </w:rPr>
        <w:t>,</w:t>
      </w:r>
      <w:r>
        <w:rPr>
          <w:szCs w:val="22"/>
        </w:rPr>
        <w:t xml:space="preserve"> </w:t>
      </w:r>
      <w:r w:rsidR="008C2BB2">
        <w:rPr>
          <w:szCs w:val="22"/>
        </w:rPr>
        <w:t>conçu pour les cycles maternel et primaire</w:t>
      </w:r>
      <w:r w:rsidR="00B6428F">
        <w:rPr>
          <w:szCs w:val="22"/>
        </w:rPr>
        <w:t>, dispose encore de locaux disponibles</w:t>
      </w:r>
      <w:r>
        <w:rPr>
          <w:szCs w:val="22"/>
        </w:rPr>
        <w:t xml:space="preserve"> </w:t>
      </w:r>
      <w:r w:rsidR="00080571" w:rsidRPr="00080571">
        <w:rPr>
          <w:szCs w:val="22"/>
        </w:rPr>
        <w:t>;</w:t>
      </w:r>
      <w:r w:rsidR="00635840" w:rsidRPr="00080571">
        <w:rPr>
          <w:szCs w:val="22"/>
        </w:rPr>
        <w:t xml:space="preserve"> </w:t>
      </w:r>
    </w:p>
    <w:p w:rsidR="008C59CE" w:rsidRPr="008E61F4" w:rsidRDefault="008C59CE" w:rsidP="00945C18">
      <w:pPr>
        <w:pStyle w:val="ListParagraph"/>
        <w:tabs>
          <w:tab w:val="left" w:pos="284"/>
        </w:tabs>
        <w:spacing w:after="0" w:line="276" w:lineRule="auto"/>
        <w:rPr>
          <w:szCs w:val="22"/>
          <w:highlight w:val="yellow"/>
        </w:rPr>
      </w:pPr>
    </w:p>
    <w:p w:rsidR="00BF4812" w:rsidRDefault="007C45B4" w:rsidP="00497539">
      <w:pPr>
        <w:pStyle w:val="ListParagraph"/>
        <w:numPr>
          <w:ilvl w:val="0"/>
          <w:numId w:val="23"/>
        </w:numPr>
        <w:tabs>
          <w:tab w:val="left" w:pos="284"/>
        </w:tabs>
        <w:spacing w:before="240" w:line="276" w:lineRule="auto"/>
        <w:rPr>
          <w:szCs w:val="22"/>
          <w:u w:val="single"/>
        </w:rPr>
      </w:pPr>
      <w:r w:rsidRPr="00035E1B">
        <w:rPr>
          <w:szCs w:val="22"/>
          <w:u w:val="single"/>
        </w:rPr>
        <w:t>Situation des écoles</w:t>
      </w:r>
      <w:r w:rsidR="00621B64">
        <w:rPr>
          <w:szCs w:val="22"/>
          <w:u w:val="single"/>
        </w:rPr>
        <w:t xml:space="preserve"> au 15 octobre 2018</w:t>
      </w:r>
    </w:p>
    <w:p w:rsidR="00484AE7" w:rsidRPr="00E75588" w:rsidRDefault="000A3916" w:rsidP="00725CF3">
      <w:pPr>
        <w:pStyle w:val="ListParagraph"/>
        <w:numPr>
          <w:ilvl w:val="0"/>
          <w:numId w:val="24"/>
        </w:numPr>
        <w:tabs>
          <w:tab w:val="left" w:pos="284"/>
        </w:tabs>
        <w:spacing w:before="0" w:after="0" w:line="276" w:lineRule="auto"/>
        <w:rPr>
          <w:szCs w:val="22"/>
        </w:rPr>
      </w:pPr>
      <w:r w:rsidRPr="00E75588">
        <w:rPr>
          <w:szCs w:val="22"/>
        </w:rPr>
        <w:t>L’</w:t>
      </w:r>
      <w:r w:rsidR="00580F5B" w:rsidRPr="00E75588">
        <w:rPr>
          <w:i/>
          <w:szCs w:val="22"/>
        </w:rPr>
        <w:t>E</w:t>
      </w:r>
      <w:r w:rsidR="00014A18" w:rsidRPr="00E75588">
        <w:rPr>
          <w:i/>
          <w:szCs w:val="22"/>
        </w:rPr>
        <w:t>cole de Bruxelles I</w:t>
      </w:r>
      <w:r w:rsidR="00E1115A" w:rsidRPr="00E75588">
        <w:rPr>
          <w:i/>
          <w:szCs w:val="22"/>
        </w:rPr>
        <w:t xml:space="preserve"> – site Uccle</w:t>
      </w:r>
      <w:r w:rsidR="00B71B5D" w:rsidRPr="00E75588">
        <w:rPr>
          <w:szCs w:val="22"/>
        </w:rPr>
        <w:t xml:space="preserve">, dont la capacité théorique est de 3 100 élèves, </w:t>
      </w:r>
      <w:r w:rsidRPr="00E75588">
        <w:rPr>
          <w:szCs w:val="22"/>
        </w:rPr>
        <w:t xml:space="preserve">est </w:t>
      </w:r>
      <w:r w:rsidR="00B6428F" w:rsidRPr="00E75588">
        <w:rPr>
          <w:szCs w:val="22"/>
        </w:rPr>
        <w:t xml:space="preserve">surpeuplée avec </w:t>
      </w:r>
      <w:r w:rsidR="00B71B5D" w:rsidRPr="00E75588">
        <w:rPr>
          <w:szCs w:val="22"/>
        </w:rPr>
        <w:t>3 39</w:t>
      </w:r>
      <w:r w:rsidR="00326422" w:rsidRPr="00E75588">
        <w:rPr>
          <w:szCs w:val="22"/>
        </w:rPr>
        <w:t>0</w:t>
      </w:r>
      <w:r w:rsidR="00B71B5D" w:rsidRPr="00E75588">
        <w:rPr>
          <w:szCs w:val="22"/>
        </w:rPr>
        <w:t xml:space="preserve"> élèves. Au 15 octobre 2017, elle comptait  </w:t>
      </w:r>
      <w:r w:rsidR="0009741D" w:rsidRPr="00E75588">
        <w:rPr>
          <w:szCs w:val="22"/>
        </w:rPr>
        <w:t xml:space="preserve">  </w:t>
      </w:r>
      <w:r w:rsidRPr="00E75588">
        <w:rPr>
          <w:szCs w:val="22"/>
        </w:rPr>
        <w:t xml:space="preserve">3 </w:t>
      </w:r>
      <w:r w:rsidR="004C13E4" w:rsidRPr="00E75588">
        <w:rPr>
          <w:szCs w:val="22"/>
        </w:rPr>
        <w:t>4</w:t>
      </w:r>
      <w:r w:rsidR="00B6428F" w:rsidRPr="00E75588">
        <w:rPr>
          <w:szCs w:val="22"/>
        </w:rPr>
        <w:t>21</w:t>
      </w:r>
      <w:r w:rsidR="004C13E4" w:rsidRPr="00E75588">
        <w:rPr>
          <w:szCs w:val="22"/>
        </w:rPr>
        <w:t xml:space="preserve"> élèves</w:t>
      </w:r>
      <w:r w:rsidR="00B71B5D" w:rsidRPr="00E75588">
        <w:rPr>
          <w:szCs w:val="22"/>
        </w:rPr>
        <w:t>, soit une b</w:t>
      </w:r>
      <w:r w:rsidRPr="00E75588">
        <w:rPr>
          <w:szCs w:val="22"/>
        </w:rPr>
        <w:t xml:space="preserve">aisse </w:t>
      </w:r>
      <w:r w:rsidR="00497539" w:rsidRPr="00E75588">
        <w:rPr>
          <w:szCs w:val="22"/>
        </w:rPr>
        <w:t xml:space="preserve">minime </w:t>
      </w:r>
      <w:r w:rsidRPr="00E75588">
        <w:rPr>
          <w:szCs w:val="22"/>
        </w:rPr>
        <w:t xml:space="preserve">des effectifs </w:t>
      </w:r>
      <w:r w:rsidR="00497539" w:rsidRPr="00E75588">
        <w:rPr>
          <w:szCs w:val="22"/>
        </w:rPr>
        <w:t>de 3</w:t>
      </w:r>
      <w:r w:rsidR="00326422" w:rsidRPr="00E75588">
        <w:rPr>
          <w:szCs w:val="22"/>
        </w:rPr>
        <w:t>1</w:t>
      </w:r>
      <w:r w:rsidR="00497539" w:rsidRPr="00E75588">
        <w:rPr>
          <w:szCs w:val="22"/>
        </w:rPr>
        <w:t xml:space="preserve"> élèves</w:t>
      </w:r>
      <w:r w:rsidRPr="00E75588">
        <w:rPr>
          <w:szCs w:val="22"/>
        </w:rPr>
        <w:t xml:space="preserve"> </w:t>
      </w:r>
      <w:r w:rsidR="004C13E4" w:rsidRPr="00E75588">
        <w:rPr>
          <w:szCs w:val="22"/>
        </w:rPr>
        <w:t>;</w:t>
      </w:r>
    </w:p>
    <w:p w:rsidR="00E1115A" w:rsidRPr="006D154F" w:rsidRDefault="000A3916" w:rsidP="00E75588">
      <w:pPr>
        <w:pStyle w:val="ListParagraph"/>
        <w:tabs>
          <w:tab w:val="left" w:pos="284"/>
        </w:tabs>
        <w:spacing w:line="276" w:lineRule="auto"/>
        <w:ind w:left="1440"/>
        <w:rPr>
          <w:szCs w:val="22"/>
          <w:highlight w:val="yellow"/>
        </w:rPr>
      </w:pPr>
      <w:r w:rsidRPr="00E75588">
        <w:rPr>
          <w:szCs w:val="22"/>
        </w:rPr>
        <w:t>L’</w:t>
      </w:r>
      <w:r w:rsidR="00E1115A" w:rsidRPr="00E75588">
        <w:rPr>
          <w:i/>
          <w:szCs w:val="22"/>
        </w:rPr>
        <w:t>Ecole de Bruxelles I – site Berkendael </w:t>
      </w:r>
      <w:r w:rsidR="00B71B5D" w:rsidRPr="00E75588">
        <w:rPr>
          <w:szCs w:val="22"/>
        </w:rPr>
        <w:t>voit sa population augmenter avec des effectifs</w:t>
      </w:r>
      <w:r w:rsidR="00B71B5D">
        <w:rPr>
          <w:szCs w:val="22"/>
        </w:rPr>
        <w:t xml:space="preserve"> de 5</w:t>
      </w:r>
      <w:r w:rsidR="006D154F">
        <w:rPr>
          <w:szCs w:val="22"/>
        </w:rPr>
        <w:t>59</w:t>
      </w:r>
      <w:r w:rsidR="00725CF3">
        <w:rPr>
          <w:szCs w:val="22"/>
        </w:rPr>
        <w:t xml:space="preserve"> élèves</w:t>
      </w:r>
      <w:r w:rsidR="00B71B5D">
        <w:rPr>
          <w:szCs w:val="22"/>
        </w:rPr>
        <w:t xml:space="preserve">, </w:t>
      </w:r>
      <w:r w:rsidR="00B71B5D" w:rsidRPr="00E75588">
        <w:rPr>
          <w:szCs w:val="22"/>
        </w:rPr>
        <w:t>soit 23</w:t>
      </w:r>
      <w:r w:rsidR="00E75588" w:rsidRPr="00E75588">
        <w:rPr>
          <w:szCs w:val="22"/>
        </w:rPr>
        <w:t>6</w:t>
      </w:r>
      <w:r w:rsidR="00B71B5D">
        <w:rPr>
          <w:szCs w:val="22"/>
        </w:rPr>
        <w:t xml:space="preserve"> élèves supplémentaires par rapport à 2017</w:t>
      </w:r>
      <w:r w:rsidR="00725CF3">
        <w:rPr>
          <w:szCs w:val="22"/>
        </w:rPr>
        <w:t xml:space="preserve">. La </w:t>
      </w:r>
      <w:r w:rsidR="00B71B5D" w:rsidRPr="006D154F">
        <w:rPr>
          <w:szCs w:val="22"/>
        </w:rPr>
        <w:lastRenderedPageBreak/>
        <w:t xml:space="preserve">création de 4 nouvelles classes satellites en maternelle de Langue 1 EL, EN, ES et IT permet de diminuer la part </w:t>
      </w:r>
      <w:r w:rsidR="004A2658" w:rsidRPr="006D154F">
        <w:rPr>
          <w:szCs w:val="22"/>
        </w:rPr>
        <w:t xml:space="preserve">importante </w:t>
      </w:r>
      <w:r w:rsidR="00B71B5D" w:rsidRPr="006D154F">
        <w:rPr>
          <w:szCs w:val="22"/>
        </w:rPr>
        <w:t xml:space="preserve">de la section francophone </w:t>
      </w:r>
      <w:r w:rsidR="005B681C" w:rsidRPr="006D154F">
        <w:rPr>
          <w:szCs w:val="22"/>
        </w:rPr>
        <w:t>;</w:t>
      </w:r>
    </w:p>
    <w:p w:rsidR="00F4771C" w:rsidRPr="006D154F" w:rsidRDefault="00F4771C" w:rsidP="00532D14">
      <w:pPr>
        <w:pStyle w:val="ListParagraph"/>
        <w:tabs>
          <w:tab w:val="left" w:pos="284"/>
        </w:tabs>
        <w:spacing w:line="276" w:lineRule="auto"/>
        <w:rPr>
          <w:i/>
          <w:color w:val="244061" w:themeColor="accent1" w:themeShade="80"/>
          <w:szCs w:val="22"/>
          <w:highlight w:val="yellow"/>
        </w:rPr>
      </w:pPr>
    </w:p>
    <w:p w:rsidR="00B869C2" w:rsidRPr="00E75588" w:rsidRDefault="000A3916" w:rsidP="00F71543">
      <w:pPr>
        <w:pStyle w:val="ListParagraph"/>
        <w:numPr>
          <w:ilvl w:val="0"/>
          <w:numId w:val="24"/>
        </w:numPr>
        <w:tabs>
          <w:tab w:val="left" w:pos="284"/>
        </w:tabs>
        <w:spacing w:line="276" w:lineRule="auto"/>
        <w:rPr>
          <w:strike/>
          <w:szCs w:val="22"/>
        </w:rPr>
      </w:pPr>
      <w:r w:rsidRPr="00E75588">
        <w:rPr>
          <w:szCs w:val="22"/>
        </w:rPr>
        <w:t>L’</w:t>
      </w:r>
      <w:r w:rsidR="007C45B4" w:rsidRPr="00E75588">
        <w:rPr>
          <w:i/>
          <w:szCs w:val="22"/>
        </w:rPr>
        <w:t xml:space="preserve">Ecole de Bruxelles </w:t>
      </w:r>
      <w:r w:rsidR="007C45B4" w:rsidRPr="00E75588">
        <w:rPr>
          <w:szCs w:val="22"/>
        </w:rPr>
        <w:t>II</w:t>
      </w:r>
      <w:r w:rsidR="004A2658" w:rsidRPr="00E75588">
        <w:rPr>
          <w:szCs w:val="22"/>
        </w:rPr>
        <w:t xml:space="preserve">, dont la capacité théorique est de 2 850, </w:t>
      </w:r>
      <w:r w:rsidRPr="00E75588">
        <w:rPr>
          <w:szCs w:val="22"/>
        </w:rPr>
        <w:t xml:space="preserve">est surpeuplée avec </w:t>
      </w:r>
      <w:r w:rsidR="00E67AC6" w:rsidRPr="00E75588">
        <w:rPr>
          <w:szCs w:val="22"/>
        </w:rPr>
        <w:t xml:space="preserve">3 </w:t>
      </w:r>
      <w:r w:rsidR="004A2658" w:rsidRPr="00E75588">
        <w:rPr>
          <w:szCs w:val="22"/>
        </w:rPr>
        <w:t>07</w:t>
      </w:r>
      <w:r w:rsidR="00E75588" w:rsidRPr="00E75588">
        <w:rPr>
          <w:szCs w:val="22"/>
        </w:rPr>
        <w:t>5</w:t>
      </w:r>
      <w:r w:rsidR="00725CF3" w:rsidRPr="00E75588">
        <w:rPr>
          <w:szCs w:val="22"/>
        </w:rPr>
        <w:t xml:space="preserve"> élèves </w:t>
      </w:r>
      <w:r w:rsidR="004A2658" w:rsidRPr="00E75588">
        <w:rPr>
          <w:szCs w:val="22"/>
        </w:rPr>
        <w:t>(3 101 élèves au 15 octobre 2017)</w:t>
      </w:r>
      <w:r w:rsidRPr="00E75588">
        <w:rPr>
          <w:szCs w:val="22"/>
        </w:rPr>
        <w:t xml:space="preserve"> ; </w:t>
      </w:r>
      <w:r w:rsidR="00954726" w:rsidRPr="00E75588">
        <w:rPr>
          <w:szCs w:val="22"/>
        </w:rPr>
        <w:t xml:space="preserve"> </w:t>
      </w:r>
    </w:p>
    <w:p w:rsidR="007C45B4" w:rsidRPr="00E75588" w:rsidRDefault="007C45B4" w:rsidP="00532D14">
      <w:pPr>
        <w:pStyle w:val="ListParagraph"/>
        <w:tabs>
          <w:tab w:val="left" w:pos="284"/>
        </w:tabs>
        <w:spacing w:line="276" w:lineRule="auto"/>
        <w:rPr>
          <w:szCs w:val="22"/>
        </w:rPr>
      </w:pPr>
    </w:p>
    <w:p w:rsidR="007C45B4" w:rsidRPr="00E75588" w:rsidRDefault="000A3916" w:rsidP="00F71543">
      <w:pPr>
        <w:pStyle w:val="ListParagraph"/>
        <w:numPr>
          <w:ilvl w:val="0"/>
          <w:numId w:val="24"/>
        </w:numPr>
        <w:tabs>
          <w:tab w:val="left" w:pos="284"/>
        </w:tabs>
        <w:spacing w:line="276" w:lineRule="auto"/>
        <w:rPr>
          <w:szCs w:val="22"/>
        </w:rPr>
      </w:pPr>
      <w:r w:rsidRPr="00E75588">
        <w:rPr>
          <w:szCs w:val="22"/>
        </w:rPr>
        <w:t>L’</w:t>
      </w:r>
      <w:r w:rsidR="007C45B4" w:rsidRPr="00E75588">
        <w:rPr>
          <w:i/>
          <w:szCs w:val="22"/>
        </w:rPr>
        <w:t>Ecole d</w:t>
      </w:r>
      <w:r w:rsidR="00014A18" w:rsidRPr="00E75588">
        <w:rPr>
          <w:i/>
          <w:szCs w:val="22"/>
        </w:rPr>
        <w:t>e Bruxelles III</w:t>
      </w:r>
      <w:r w:rsidRPr="00E75588">
        <w:rPr>
          <w:szCs w:val="22"/>
        </w:rPr>
        <w:t xml:space="preserve"> connaît une </w:t>
      </w:r>
      <w:r w:rsidR="00DC7808" w:rsidRPr="00E75588">
        <w:rPr>
          <w:szCs w:val="22"/>
        </w:rPr>
        <w:t xml:space="preserve">situation de surpeuplement </w:t>
      </w:r>
      <w:r w:rsidR="004A2658" w:rsidRPr="00E75588">
        <w:rPr>
          <w:szCs w:val="22"/>
        </w:rPr>
        <w:t xml:space="preserve">toujours </w:t>
      </w:r>
      <w:r w:rsidR="00DC7808" w:rsidRPr="00E75588">
        <w:rPr>
          <w:szCs w:val="22"/>
        </w:rPr>
        <w:t xml:space="preserve">critique </w:t>
      </w:r>
      <w:r w:rsidRPr="00E75588">
        <w:rPr>
          <w:szCs w:val="22"/>
        </w:rPr>
        <w:t xml:space="preserve">avec </w:t>
      </w:r>
      <w:r w:rsidR="00E75588" w:rsidRPr="00E75588">
        <w:rPr>
          <w:szCs w:val="22"/>
        </w:rPr>
        <w:t xml:space="preserve">3 </w:t>
      </w:r>
      <w:r w:rsidR="004A2658" w:rsidRPr="00E75588">
        <w:rPr>
          <w:szCs w:val="22"/>
        </w:rPr>
        <w:t>0</w:t>
      </w:r>
      <w:r w:rsidR="00E75588" w:rsidRPr="00E75588">
        <w:rPr>
          <w:szCs w:val="22"/>
        </w:rPr>
        <w:t>99</w:t>
      </w:r>
      <w:r w:rsidR="004A2658" w:rsidRPr="00E75588">
        <w:rPr>
          <w:szCs w:val="22"/>
        </w:rPr>
        <w:t xml:space="preserve"> élèves (</w:t>
      </w:r>
      <w:r w:rsidRPr="00E75588">
        <w:rPr>
          <w:szCs w:val="22"/>
        </w:rPr>
        <w:t xml:space="preserve">3 068 élèves </w:t>
      </w:r>
      <w:r w:rsidR="004A2658" w:rsidRPr="00E75588">
        <w:rPr>
          <w:szCs w:val="22"/>
        </w:rPr>
        <w:t xml:space="preserve">au 15 octobre 2017) </w:t>
      </w:r>
      <w:r w:rsidR="009023E1" w:rsidRPr="00E75588">
        <w:rPr>
          <w:szCs w:val="22"/>
        </w:rPr>
        <w:t xml:space="preserve">dans </w:t>
      </w:r>
      <w:r w:rsidRPr="00E75588">
        <w:rPr>
          <w:szCs w:val="22"/>
        </w:rPr>
        <w:t xml:space="preserve">des classes très remplies dans tous les </w:t>
      </w:r>
      <w:r w:rsidR="00DC7808" w:rsidRPr="00E75588">
        <w:rPr>
          <w:szCs w:val="22"/>
        </w:rPr>
        <w:t>cycle</w:t>
      </w:r>
      <w:r w:rsidRPr="00E75588">
        <w:rPr>
          <w:szCs w:val="22"/>
        </w:rPr>
        <w:t>s – capacité théorique de 2 650 - ;</w:t>
      </w:r>
      <w:r w:rsidR="00B907A8" w:rsidRPr="00E75588">
        <w:rPr>
          <w:szCs w:val="22"/>
        </w:rPr>
        <w:t xml:space="preserve"> </w:t>
      </w:r>
      <w:r w:rsidR="00DC7808" w:rsidRPr="00E75588">
        <w:rPr>
          <w:szCs w:val="22"/>
        </w:rPr>
        <w:t xml:space="preserve"> </w:t>
      </w:r>
    </w:p>
    <w:p w:rsidR="00304C83" w:rsidRPr="00E75588" w:rsidRDefault="00304C83" w:rsidP="00532D14">
      <w:pPr>
        <w:pStyle w:val="ListParagraph"/>
        <w:tabs>
          <w:tab w:val="left" w:pos="284"/>
        </w:tabs>
        <w:spacing w:line="276" w:lineRule="auto"/>
        <w:rPr>
          <w:szCs w:val="22"/>
        </w:rPr>
      </w:pPr>
    </w:p>
    <w:p w:rsidR="00BA52A5" w:rsidRPr="00E75588" w:rsidRDefault="000A3916" w:rsidP="00F71543">
      <w:pPr>
        <w:pStyle w:val="ListParagraph"/>
        <w:numPr>
          <w:ilvl w:val="0"/>
          <w:numId w:val="24"/>
        </w:numPr>
        <w:tabs>
          <w:tab w:val="left" w:pos="284"/>
        </w:tabs>
        <w:spacing w:line="276" w:lineRule="auto"/>
        <w:rPr>
          <w:i/>
          <w:color w:val="244061" w:themeColor="accent1" w:themeShade="80"/>
          <w:szCs w:val="22"/>
        </w:rPr>
      </w:pPr>
      <w:r w:rsidRPr="00E75588">
        <w:rPr>
          <w:szCs w:val="22"/>
        </w:rPr>
        <w:t>L’</w:t>
      </w:r>
      <w:r w:rsidR="007C45B4" w:rsidRPr="00E75588">
        <w:rPr>
          <w:i/>
          <w:szCs w:val="22"/>
        </w:rPr>
        <w:t xml:space="preserve">Ecole </w:t>
      </w:r>
      <w:r w:rsidR="00014A18" w:rsidRPr="00E75588">
        <w:rPr>
          <w:i/>
          <w:szCs w:val="22"/>
        </w:rPr>
        <w:t>de Bruxelles IV</w:t>
      </w:r>
      <w:r w:rsidRPr="00E75588">
        <w:rPr>
          <w:szCs w:val="22"/>
        </w:rPr>
        <w:t xml:space="preserve"> compte </w:t>
      </w:r>
      <w:r w:rsidR="004A2658" w:rsidRPr="00E75588">
        <w:rPr>
          <w:szCs w:val="22"/>
        </w:rPr>
        <w:t>2 83</w:t>
      </w:r>
      <w:r w:rsidR="00E75588" w:rsidRPr="00E75588">
        <w:rPr>
          <w:szCs w:val="22"/>
        </w:rPr>
        <w:t>5</w:t>
      </w:r>
      <w:r w:rsidR="004A2658" w:rsidRPr="00E75588">
        <w:rPr>
          <w:szCs w:val="22"/>
        </w:rPr>
        <w:t xml:space="preserve"> élèves (</w:t>
      </w:r>
      <w:r w:rsidR="00232833" w:rsidRPr="00E75588">
        <w:rPr>
          <w:szCs w:val="22"/>
        </w:rPr>
        <w:t>2 7</w:t>
      </w:r>
      <w:r w:rsidRPr="00E75588">
        <w:rPr>
          <w:szCs w:val="22"/>
        </w:rPr>
        <w:t>78 élèves</w:t>
      </w:r>
      <w:r w:rsidR="004A2658" w:rsidRPr="00E75588">
        <w:rPr>
          <w:szCs w:val="22"/>
        </w:rPr>
        <w:t xml:space="preserve"> au 15 octobre 2017) - c</w:t>
      </w:r>
      <w:r w:rsidR="00232833" w:rsidRPr="00E75588">
        <w:rPr>
          <w:szCs w:val="22"/>
        </w:rPr>
        <w:t xml:space="preserve">apacité théorique </w:t>
      </w:r>
      <w:r w:rsidR="00E529A9" w:rsidRPr="00E75588">
        <w:rPr>
          <w:szCs w:val="22"/>
        </w:rPr>
        <w:t xml:space="preserve">de </w:t>
      </w:r>
      <w:r w:rsidR="00232833" w:rsidRPr="00E75588">
        <w:rPr>
          <w:szCs w:val="22"/>
        </w:rPr>
        <w:t>2 800 élèves</w:t>
      </w:r>
      <w:r w:rsidR="004A2658" w:rsidRPr="00E75588">
        <w:rPr>
          <w:szCs w:val="22"/>
        </w:rPr>
        <w:t xml:space="preserve"> -</w:t>
      </w:r>
      <w:r w:rsidR="00232833" w:rsidRPr="00E75588">
        <w:rPr>
          <w:szCs w:val="22"/>
        </w:rPr>
        <w:t xml:space="preserve">. </w:t>
      </w:r>
    </w:p>
    <w:p w:rsidR="00FB7A36" w:rsidRDefault="0066171D" w:rsidP="00470871">
      <w:pPr>
        <w:tabs>
          <w:tab w:val="left" w:pos="284"/>
        </w:tabs>
        <w:spacing w:before="240" w:line="276" w:lineRule="auto"/>
        <w:rPr>
          <w:szCs w:val="22"/>
        </w:rPr>
      </w:pPr>
      <w:r w:rsidRPr="009023E1">
        <w:rPr>
          <w:szCs w:val="22"/>
        </w:rPr>
        <w:t>A partir de ces données</w:t>
      </w:r>
      <w:r w:rsidR="00DC0635">
        <w:rPr>
          <w:szCs w:val="22"/>
        </w:rPr>
        <w:t xml:space="preserve"> et en vue de </w:t>
      </w:r>
      <w:r w:rsidR="00CF338F">
        <w:rPr>
          <w:szCs w:val="22"/>
        </w:rPr>
        <w:t xml:space="preserve">limiter autant que possible </w:t>
      </w:r>
      <w:r w:rsidR="00DC0635">
        <w:rPr>
          <w:szCs w:val="22"/>
        </w:rPr>
        <w:t xml:space="preserve">la </w:t>
      </w:r>
      <w:r w:rsidR="00CF338F">
        <w:rPr>
          <w:szCs w:val="22"/>
        </w:rPr>
        <w:t xml:space="preserve">situation de </w:t>
      </w:r>
      <w:r w:rsidR="00DC0635">
        <w:rPr>
          <w:szCs w:val="22"/>
        </w:rPr>
        <w:t>surpopulation de l’ensemble des établissements</w:t>
      </w:r>
      <w:r w:rsidRPr="009023E1">
        <w:rPr>
          <w:szCs w:val="22"/>
        </w:rPr>
        <w:t xml:space="preserve">, </w:t>
      </w:r>
      <w:r w:rsidR="009023E1">
        <w:rPr>
          <w:szCs w:val="22"/>
        </w:rPr>
        <w:t xml:space="preserve">l’utilisation </w:t>
      </w:r>
      <w:r w:rsidR="00D04FAA">
        <w:rPr>
          <w:szCs w:val="22"/>
        </w:rPr>
        <w:t xml:space="preserve">optimale </w:t>
      </w:r>
      <w:r w:rsidR="009023E1">
        <w:rPr>
          <w:szCs w:val="22"/>
        </w:rPr>
        <w:t>des ressources disponibles des écoles</w:t>
      </w:r>
      <w:r w:rsidR="00CF338F">
        <w:rPr>
          <w:szCs w:val="22"/>
        </w:rPr>
        <w:t>,</w:t>
      </w:r>
      <w:r w:rsidR="009023E1">
        <w:rPr>
          <w:szCs w:val="22"/>
        </w:rPr>
        <w:t xml:space="preserve"> et du site de Berkendael en particulier</w:t>
      </w:r>
      <w:r w:rsidR="00CF338F">
        <w:rPr>
          <w:szCs w:val="22"/>
        </w:rPr>
        <w:t>,</w:t>
      </w:r>
      <w:r w:rsidR="00497539">
        <w:rPr>
          <w:szCs w:val="22"/>
        </w:rPr>
        <w:t xml:space="preserve"> </w:t>
      </w:r>
      <w:r w:rsidR="009023E1">
        <w:rPr>
          <w:szCs w:val="22"/>
        </w:rPr>
        <w:t xml:space="preserve">était l’un des objectifs prioritaires à mettre en œuvre. Dans cette optique, </w:t>
      </w:r>
      <w:r w:rsidR="00D23887" w:rsidRPr="009023E1">
        <w:rPr>
          <w:szCs w:val="22"/>
        </w:rPr>
        <w:t xml:space="preserve">une structure des classes </w:t>
      </w:r>
      <w:r w:rsidR="009023E1" w:rsidRPr="009023E1">
        <w:rPr>
          <w:szCs w:val="22"/>
        </w:rPr>
        <w:t xml:space="preserve">a été adoptée </w:t>
      </w:r>
      <w:r w:rsidR="00D23887" w:rsidRPr="009023E1">
        <w:rPr>
          <w:szCs w:val="22"/>
        </w:rPr>
        <w:t>pour chaque école</w:t>
      </w:r>
      <w:r w:rsidR="000557B7">
        <w:rPr>
          <w:szCs w:val="22"/>
        </w:rPr>
        <w:t xml:space="preserve">/site </w:t>
      </w:r>
      <w:r w:rsidR="00D23887" w:rsidRPr="009023E1">
        <w:rPr>
          <w:szCs w:val="22"/>
        </w:rPr>
        <w:t>en fonction de</w:t>
      </w:r>
      <w:r w:rsidR="00760A7A" w:rsidRPr="009023E1">
        <w:rPr>
          <w:szCs w:val="22"/>
        </w:rPr>
        <w:t>s</w:t>
      </w:r>
      <w:r w:rsidR="00D23887" w:rsidRPr="009023E1">
        <w:rPr>
          <w:szCs w:val="22"/>
        </w:rPr>
        <w:t xml:space="preserve"> </w:t>
      </w:r>
      <w:r w:rsidR="00760A7A" w:rsidRPr="009023E1">
        <w:rPr>
          <w:szCs w:val="22"/>
        </w:rPr>
        <w:t xml:space="preserve">caractéristiques propres à chacune d’entre elles en termes de </w:t>
      </w:r>
      <w:r w:rsidR="00CF338F">
        <w:rPr>
          <w:szCs w:val="22"/>
        </w:rPr>
        <w:t xml:space="preserve">locaux disponibles, et de </w:t>
      </w:r>
      <w:r w:rsidR="00760A7A" w:rsidRPr="009023E1">
        <w:rPr>
          <w:szCs w:val="22"/>
        </w:rPr>
        <w:t>sections linguistiques et niveaux ouverts</w:t>
      </w:r>
      <w:r w:rsidR="0017492F">
        <w:rPr>
          <w:szCs w:val="22"/>
        </w:rPr>
        <w:t>,</w:t>
      </w:r>
      <w:r w:rsidR="009023E1" w:rsidRPr="009023E1">
        <w:rPr>
          <w:szCs w:val="22"/>
        </w:rPr>
        <w:t xml:space="preserve"> </w:t>
      </w:r>
      <w:r w:rsidR="009023E1">
        <w:rPr>
          <w:szCs w:val="22"/>
        </w:rPr>
        <w:t xml:space="preserve">pour </w:t>
      </w:r>
      <w:r w:rsidR="001F7085" w:rsidRPr="009023E1">
        <w:rPr>
          <w:szCs w:val="22"/>
        </w:rPr>
        <w:t>réparti</w:t>
      </w:r>
      <w:r w:rsidR="009023E1">
        <w:rPr>
          <w:szCs w:val="22"/>
        </w:rPr>
        <w:t xml:space="preserve">r </w:t>
      </w:r>
      <w:r w:rsidR="00014A18" w:rsidRPr="009023E1">
        <w:rPr>
          <w:szCs w:val="22"/>
        </w:rPr>
        <w:t>la population scolaire globale</w:t>
      </w:r>
      <w:r w:rsidR="00D04FAA">
        <w:rPr>
          <w:szCs w:val="22"/>
        </w:rPr>
        <w:t xml:space="preserve"> tout en veillant à l’équilibre entre les écoles/sites</w:t>
      </w:r>
      <w:r w:rsidR="00014A18" w:rsidRPr="009023E1">
        <w:rPr>
          <w:szCs w:val="22"/>
        </w:rPr>
        <w:t>.</w:t>
      </w:r>
      <w:r w:rsidR="00FB7A36">
        <w:rPr>
          <w:szCs w:val="22"/>
        </w:rPr>
        <w:t xml:space="preserve"> </w:t>
      </w:r>
    </w:p>
    <w:p w:rsidR="00267C08" w:rsidRDefault="00267C08" w:rsidP="001F2CCD">
      <w:pPr>
        <w:tabs>
          <w:tab w:val="left" w:pos="284"/>
        </w:tabs>
        <w:spacing w:before="240"/>
        <w:rPr>
          <w:b/>
          <w:szCs w:val="22"/>
        </w:rPr>
      </w:pPr>
      <w:r w:rsidRPr="008C59CE">
        <w:rPr>
          <w:b/>
          <w:szCs w:val="22"/>
        </w:rPr>
        <w:tab/>
        <w:t xml:space="preserve">2.2 </w:t>
      </w:r>
      <w:r w:rsidR="001D6B06">
        <w:rPr>
          <w:b/>
          <w:szCs w:val="22"/>
        </w:rPr>
        <w:t>Elaboration de la p</w:t>
      </w:r>
      <w:r w:rsidRPr="008C59CE">
        <w:rPr>
          <w:b/>
          <w:szCs w:val="22"/>
        </w:rPr>
        <w:t>olitique d’inscription</w:t>
      </w:r>
      <w:r w:rsidR="004419CC" w:rsidRPr="008C59CE">
        <w:rPr>
          <w:b/>
          <w:szCs w:val="22"/>
        </w:rPr>
        <w:t xml:space="preserve"> et modalités d’application</w:t>
      </w:r>
    </w:p>
    <w:p w:rsidR="006A6149" w:rsidRDefault="006A6149" w:rsidP="006A6149">
      <w:pPr>
        <w:tabs>
          <w:tab w:val="left" w:pos="284"/>
        </w:tabs>
        <w:spacing w:before="0" w:after="0" w:line="276" w:lineRule="auto"/>
        <w:rPr>
          <w:rFonts w:cs="Arial"/>
          <w:szCs w:val="22"/>
        </w:rPr>
      </w:pPr>
      <w:r>
        <w:rPr>
          <w:rFonts w:cs="Arial"/>
          <w:szCs w:val="22"/>
        </w:rPr>
        <w:t xml:space="preserve">Afin de permettre aux écoles d’améliorer la planification de la rentrée, le calendrier de la campagne d’inscription pour l’année scolaire 2019-2020 a été adapté </w:t>
      </w:r>
      <w:r w:rsidR="004A2658">
        <w:rPr>
          <w:rFonts w:cs="Arial"/>
          <w:szCs w:val="22"/>
        </w:rPr>
        <w:t xml:space="preserve">pour la deuxième fois consécutive, </w:t>
      </w:r>
      <w:r>
        <w:rPr>
          <w:rFonts w:cs="Arial"/>
          <w:szCs w:val="22"/>
        </w:rPr>
        <w:t>à l’instar de ce qui avait été organisé en 2018-2019.</w:t>
      </w:r>
    </w:p>
    <w:p w:rsidR="00856A1D" w:rsidRDefault="00856A1D" w:rsidP="00850368">
      <w:pPr>
        <w:tabs>
          <w:tab w:val="left" w:pos="284"/>
        </w:tabs>
        <w:spacing w:before="240" w:line="276" w:lineRule="auto"/>
        <w:rPr>
          <w:szCs w:val="22"/>
        </w:rPr>
      </w:pPr>
      <w:r>
        <w:rPr>
          <w:szCs w:val="22"/>
        </w:rPr>
        <w:t xml:space="preserve">Ainsi, </w:t>
      </w:r>
      <w:r w:rsidR="006A6149">
        <w:rPr>
          <w:szCs w:val="22"/>
        </w:rPr>
        <w:t>dans le cadre de deux phases</w:t>
      </w:r>
      <w:r w:rsidR="004A2658">
        <w:rPr>
          <w:szCs w:val="22"/>
        </w:rPr>
        <w:t xml:space="preserve"> d’inscription</w:t>
      </w:r>
      <w:r w:rsidR="006A6149">
        <w:rPr>
          <w:szCs w:val="22"/>
        </w:rPr>
        <w:t xml:space="preserve">, </w:t>
      </w:r>
      <w:r w:rsidR="004A2658">
        <w:rPr>
          <w:szCs w:val="22"/>
        </w:rPr>
        <w:t>les demandeurs</w:t>
      </w:r>
      <w:r>
        <w:rPr>
          <w:szCs w:val="22"/>
        </w:rPr>
        <w:t xml:space="preserve">, qui étaient en poste dans les Institutions </w:t>
      </w:r>
      <w:r w:rsidR="00D04FAA">
        <w:rPr>
          <w:szCs w:val="22"/>
        </w:rPr>
        <w:t xml:space="preserve">européennes </w:t>
      </w:r>
      <w:r w:rsidR="000E4F31">
        <w:rPr>
          <w:szCs w:val="22"/>
        </w:rPr>
        <w:t>(ou exerçant une activité professionnelle ouvrant le droit à considérer leurs enfants comme des élèves relevant de la catégorie I</w:t>
      </w:r>
      <w:r w:rsidR="00497539">
        <w:rPr>
          <w:szCs w:val="22"/>
        </w:rPr>
        <w:t xml:space="preserve"> ou II*</w:t>
      </w:r>
      <w:r w:rsidR="00497539">
        <w:rPr>
          <w:rStyle w:val="FootnoteReference"/>
          <w:szCs w:val="22"/>
        </w:rPr>
        <w:footnoteReference w:id="3"/>
      </w:r>
      <w:r w:rsidR="000E4F31">
        <w:rPr>
          <w:szCs w:val="22"/>
        </w:rPr>
        <w:t xml:space="preserve">) </w:t>
      </w:r>
      <w:r>
        <w:rPr>
          <w:szCs w:val="22"/>
        </w:rPr>
        <w:t>au 31 décembre 201</w:t>
      </w:r>
      <w:r w:rsidR="006A6149">
        <w:rPr>
          <w:szCs w:val="22"/>
        </w:rPr>
        <w:t>8</w:t>
      </w:r>
      <w:r>
        <w:rPr>
          <w:szCs w:val="22"/>
        </w:rPr>
        <w:t xml:space="preserve"> devaient impérativement introduire leur demande lors de la 1</w:t>
      </w:r>
      <w:r w:rsidRPr="00856A1D">
        <w:rPr>
          <w:szCs w:val="22"/>
          <w:vertAlign w:val="superscript"/>
        </w:rPr>
        <w:t>ère</w:t>
      </w:r>
      <w:r>
        <w:rPr>
          <w:szCs w:val="22"/>
        </w:rPr>
        <w:t xml:space="preserve"> phase, sauf cas de force majeure dûment justifié, à l’exception des membres d</w:t>
      </w:r>
      <w:r w:rsidR="000E4F31">
        <w:rPr>
          <w:szCs w:val="22"/>
        </w:rPr>
        <w:t xml:space="preserve">e ces </w:t>
      </w:r>
      <w:r>
        <w:rPr>
          <w:szCs w:val="22"/>
        </w:rPr>
        <w:t xml:space="preserve"> personnel</w:t>
      </w:r>
      <w:r w:rsidR="00D5355E">
        <w:rPr>
          <w:szCs w:val="22"/>
        </w:rPr>
        <w:t>s</w:t>
      </w:r>
      <w:r>
        <w:rPr>
          <w:szCs w:val="22"/>
        </w:rPr>
        <w:t xml:space="preserve"> prenant leurs fonctions à Bruxelles à partir du 1</w:t>
      </w:r>
      <w:r w:rsidRPr="00856A1D">
        <w:rPr>
          <w:szCs w:val="22"/>
          <w:vertAlign w:val="superscript"/>
        </w:rPr>
        <w:t>er</w:t>
      </w:r>
      <w:r>
        <w:rPr>
          <w:szCs w:val="22"/>
        </w:rPr>
        <w:t xml:space="preserve"> janvier 201</w:t>
      </w:r>
      <w:r w:rsidR="006A6149">
        <w:rPr>
          <w:szCs w:val="22"/>
        </w:rPr>
        <w:t>9</w:t>
      </w:r>
      <w:r>
        <w:rPr>
          <w:szCs w:val="22"/>
        </w:rPr>
        <w:t xml:space="preserve">. </w:t>
      </w:r>
    </w:p>
    <w:p w:rsidR="00C75BDF" w:rsidRDefault="00C75BDF" w:rsidP="00C75BDF">
      <w:pPr>
        <w:tabs>
          <w:tab w:val="left" w:pos="284"/>
        </w:tabs>
        <w:spacing w:before="240" w:line="276" w:lineRule="auto"/>
        <w:rPr>
          <w:szCs w:val="22"/>
        </w:rPr>
      </w:pPr>
      <w:r>
        <w:rPr>
          <w:szCs w:val="22"/>
        </w:rPr>
        <w:t xml:space="preserve">En ce qui concerne l’Ecole européenne de Bruxelles I – site Berkendael, </w:t>
      </w:r>
      <w:r w:rsidR="004A2658">
        <w:rPr>
          <w:szCs w:val="22"/>
        </w:rPr>
        <w:t xml:space="preserve">les demandes d’inscription introduites dans cette école/site ont été traitées en premier lieu </w:t>
      </w:r>
      <w:r>
        <w:rPr>
          <w:szCs w:val="22"/>
        </w:rPr>
        <w:t>a</w:t>
      </w:r>
      <w:r w:rsidR="004A00BA" w:rsidRPr="00B069AB">
        <w:rPr>
          <w:szCs w:val="22"/>
        </w:rPr>
        <w:t xml:space="preserve">fin d’utiliser de manière optimale </w:t>
      </w:r>
      <w:r>
        <w:rPr>
          <w:szCs w:val="22"/>
        </w:rPr>
        <w:t>s</w:t>
      </w:r>
      <w:r w:rsidR="004A00BA" w:rsidRPr="00B069AB">
        <w:rPr>
          <w:szCs w:val="22"/>
        </w:rPr>
        <w:t>es ressources</w:t>
      </w:r>
      <w:r w:rsidR="009967B7">
        <w:rPr>
          <w:szCs w:val="22"/>
        </w:rPr>
        <w:t xml:space="preserve">, </w:t>
      </w:r>
      <w:r w:rsidR="00D04FAA" w:rsidRPr="00B069AB">
        <w:rPr>
          <w:szCs w:val="22"/>
        </w:rPr>
        <w:t>le maintien, le développement ou la création de classes satellites</w:t>
      </w:r>
      <w:r w:rsidR="00D82209" w:rsidRPr="00B069AB">
        <w:rPr>
          <w:rStyle w:val="FootnoteReference"/>
          <w:szCs w:val="22"/>
        </w:rPr>
        <w:footnoteReference w:id="4"/>
      </w:r>
      <w:r w:rsidR="0017492F" w:rsidRPr="00B069AB">
        <w:rPr>
          <w:szCs w:val="22"/>
        </w:rPr>
        <w:t xml:space="preserve"> </w:t>
      </w:r>
      <w:r w:rsidR="009967B7">
        <w:rPr>
          <w:szCs w:val="22"/>
        </w:rPr>
        <w:t xml:space="preserve">y étant organisé, </w:t>
      </w:r>
      <w:r w:rsidR="004A2658">
        <w:rPr>
          <w:szCs w:val="22"/>
        </w:rPr>
        <w:t>e</w:t>
      </w:r>
      <w:r>
        <w:rPr>
          <w:szCs w:val="22"/>
        </w:rPr>
        <w:t xml:space="preserve">t </w:t>
      </w:r>
      <w:r w:rsidR="004A2658">
        <w:rPr>
          <w:szCs w:val="22"/>
        </w:rPr>
        <w:t xml:space="preserve">afin de poursuivre le </w:t>
      </w:r>
      <w:r>
        <w:rPr>
          <w:szCs w:val="22"/>
        </w:rPr>
        <w:t>renforce</w:t>
      </w:r>
      <w:r w:rsidR="004A2658">
        <w:rPr>
          <w:szCs w:val="22"/>
        </w:rPr>
        <w:t>ment de</w:t>
      </w:r>
      <w:r>
        <w:rPr>
          <w:szCs w:val="22"/>
        </w:rPr>
        <w:t xml:space="preserve"> s</w:t>
      </w:r>
      <w:r w:rsidR="004A2658">
        <w:rPr>
          <w:szCs w:val="22"/>
        </w:rPr>
        <w:t>es effectifs</w:t>
      </w:r>
      <w:r>
        <w:rPr>
          <w:szCs w:val="22"/>
        </w:rPr>
        <w:t xml:space="preserve">. </w:t>
      </w:r>
    </w:p>
    <w:p w:rsidR="00CF5CA7" w:rsidRPr="00887465" w:rsidRDefault="00B069AB" w:rsidP="00532D14">
      <w:pPr>
        <w:tabs>
          <w:tab w:val="left" w:pos="284"/>
        </w:tabs>
        <w:spacing w:after="0" w:line="276" w:lineRule="auto"/>
        <w:rPr>
          <w:szCs w:val="22"/>
        </w:rPr>
      </w:pPr>
      <w:r w:rsidRPr="00B069AB">
        <w:rPr>
          <w:szCs w:val="22"/>
        </w:rPr>
        <w:t>Concomitamment, p</w:t>
      </w:r>
      <w:r w:rsidR="00F370B7" w:rsidRPr="00B069AB">
        <w:rPr>
          <w:szCs w:val="22"/>
        </w:rPr>
        <w:t xml:space="preserve">our répondre à l’objectif de répartition de la population scolaire des écoles/sites, les </w:t>
      </w:r>
      <w:r w:rsidR="00D82209" w:rsidRPr="00B069AB">
        <w:rPr>
          <w:szCs w:val="22"/>
        </w:rPr>
        <w:t>nouveaux élèves</w:t>
      </w:r>
      <w:r w:rsidR="00F370B7" w:rsidRPr="00B069AB">
        <w:rPr>
          <w:szCs w:val="22"/>
        </w:rPr>
        <w:t xml:space="preserve"> étaient inscrits </w:t>
      </w:r>
      <w:r w:rsidR="00D82209" w:rsidRPr="00B069AB">
        <w:rPr>
          <w:szCs w:val="22"/>
        </w:rPr>
        <w:t>à hauteur de 20</w:t>
      </w:r>
      <w:r w:rsidR="004A00BA" w:rsidRPr="00B069AB">
        <w:rPr>
          <w:szCs w:val="22"/>
        </w:rPr>
        <w:t xml:space="preserve"> </w:t>
      </w:r>
      <w:r w:rsidR="00D82209" w:rsidRPr="00B069AB">
        <w:rPr>
          <w:szCs w:val="22"/>
        </w:rPr>
        <w:t>places disponibles par classe aux cycles maternel et primaire et 26</w:t>
      </w:r>
      <w:r w:rsidR="00C75BDF">
        <w:rPr>
          <w:szCs w:val="22"/>
        </w:rPr>
        <w:t xml:space="preserve"> au cycle secondaire</w:t>
      </w:r>
      <w:r w:rsidR="004A00BA" w:rsidRPr="00B069AB">
        <w:rPr>
          <w:szCs w:val="22"/>
        </w:rPr>
        <w:t>.</w:t>
      </w:r>
      <w:r w:rsidR="003D7205">
        <w:rPr>
          <w:szCs w:val="22"/>
        </w:rPr>
        <w:t xml:space="preserve"> </w:t>
      </w:r>
      <w:r w:rsidR="00F03D8F" w:rsidRPr="00887465">
        <w:rPr>
          <w:szCs w:val="22"/>
        </w:rPr>
        <w:t xml:space="preserve">Une fois ces seuils atteints, il est fait usage de la réserve pour accueillir la demande. </w:t>
      </w:r>
    </w:p>
    <w:p w:rsidR="00C75BDF" w:rsidRPr="00D82209" w:rsidRDefault="00C75BDF" w:rsidP="00C75BDF">
      <w:pPr>
        <w:tabs>
          <w:tab w:val="left" w:pos="284"/>
        </w:tabs>
        <w:spacing w:after="0" w:line="276" w:lineRule="auto"/>
        <w:rPr>
          <w:szCs w:val="22"/>
        </w:rPr>
      </w:pPr>
      <w:r>
        <w:rPr>
          <w:szCs w:val="22"/>
        </w:rPr>
        <w:t xml:space="preserve">En outre, pour la </w:t>
      </w:r>
      <w:r w:rsidR="009967B7">
        <w:rPr>
          <w:szCs w:val="22"/>
        </w:rPr>
        <w:t xml:space="preserve">deuxième </w:t>
      </w:r>
      <w:r>
        <w:rPr>
          <w:szCs w:val="22"/>
        </w:rPr>
        <w:t>fois, le transfert obligatoire en 1</w:t>
      </w:r>
      <w:r w:rsidRPr="00D04FAA">
        <w:rPr>
          <w:szCs w:val="22"/>
          <w:vertAlign w:val="superscript"/>
        </w:rPr>
        <w:t>ère</w:t>
      </w:r>
      <w:r>
        <w:rPr>
          <w:szCs w:val="22"/>
        </w:rPr>
        <w:t xml:space="preserve"> phase d’inscription des élèves scolarisés en P5 à l’Ecole européenne de Bruxelles I – site Berkendael pendant l’année </w:t>
      </w:r>
      <w:r>
        <w:rPr>
          <w:szCs w:val="22"/>
        </w:rPr>
        <w:lastRenderedPageBreak/>
        <w:t>scolaire 201</w:t>
      </w:r>
      <w:r w:rsidR="009967B7">
        <w:rPr>
          <w:szCs w:val="22"/>
        </w:rPr>
        <w:t>8-2019</w:t>
      </w:r>
      <w:r>
        <w:rPr>
          <w:szCs w:val="22"/>
        </w:rPr>
        <w:t xml:space="preserve"> vers les Ecoles européennes de Bruxelles I – site Uccle, II, III et IV devait être organisé pour la rentrée de septembre 201</w:t>
      </w:r>
      <w:r w:rsidR="009967B7">
        <w:rPr>
          <w:szCs w:val="22"/>
        </w:rPr>
        <w:t>9</w:t>
      </w:r>
      <w:r>
        <w:rPr>
          <w:szCs w:val="22"/>
        </w:rPr>
        <w:t xml:space="preserve">. Ces demandes de transfert étaient traitées en priorité </w:t>
      </w:r>
      <w:r w:rsidR="001774CD">
        <w:rPr>
          <w:szCs w:val="22"/>
        </w:rPr>
        <w:t xml:space="preserve">avant les </w:t>
      </w:r>
      <w:r>
        <w:rPr>
          <w:szCs w:val="22"/>
        </w:rPr>
        <w:t>nouvelles demandes d’inscription.</w:t>
      </w:r>
    </w:p>
    <w:p w:rsidR="00B11650" w:rsidRDefault="00C75BDF" w:rsidP="00532D14">
      <w:pPr>
        <w:tabs>
          <w:tab w:val="left" w:pos="284"/>
        </w:tabs>
        <w:spacing w:after="0" w:line="276" w:lineRule="auto"/>
        <w:rPr>
          <w:color w:val="000000" w:themeColor="text1"/>
          <w:szCs w:val="22"/>
        </w:rPr>
      </w:pPr>
      <w:r>
        <w:rPr>
          <w:szCs w:val="22"/>
        </w:rPr>
        <w:t xml:space="preserve">Quant aux </w:t>
      </w:r>
      <w:r w:rsidR="00B11650" w:rsidRPr="0015174A">
        <w:rPr>
          <w:color w:val="000000" w:themeColor="text1"/>
          <w:szCs w:val="22"/>
        </w:rPr>
        <w:t>demandes d’inscription conjointe</w:t>
      </w:r>
      <w:r>
        <w:rPr>
          <w:color w:val="000000" w:themeColor="text1"/>
          <w:szCs w:val="22"/>
        </w:rPr>
        <w:t>, elles</w:t>
      </w:r>
      <w:r w:rsidR="004763F8">
        <w:rPr>
          <w:color w:val="000000" w:themeColor="text1"/>
          <w:szCs w:val="22"/>
        </w:rPr>
        <w:t xml:space="preserve"> ont </w:t>
      </w:r>
      <w:r w:rsidR="009967B7">
        <w:rPr>
          <w:color w:val="000000" w:themeColor="text1"/>
          <w:szCs w:val="22"/>
        </w:rPr>
        <w:t xml:space="preserve">de nouveau </w:t>
      </w:r>
      <w:r w:rsidR="004763F8">
        <w:rPr>
          <w:color w:val="000000" w:themeColor="text1"/>
          <w:szCs w:val="22"/>
        </w:rPr>
        <w:t xml:space="preserve">été traitées comme suit : en premier lieu, celles concernant au moins une inscription au cycle secondaire, puis celles aux cycles maternel et primaire. Enfin </w:t>
      </w:r>
      <w:r w:rsidR="00B11650" w:rsidRPr="0015174A">
        <w:rPr>
          <w:color w:val="000000" w:themeColor="text1"/>
          <w:szCs w:val="22"/>
        </w:rPr>
        <w:t>ont été traitées les demandes d’inscription d’élèves seuls.</w:t>
      </w:r>
    </w:p>
    <w:p w:rsidR="00FB04AA" w:rsidRPr="001B2938" w:rsidRDefault="00FB04AA" w:rsidP="00FB04AA">
      <w:pPr>
        <w:tabs>
          <w:tab w:val="left" w:pos="284"/>
        </w:tabs>
        <w:spacing w:before="240" w:line="276" w:lineRule="auto"/>
        <w:rPr>
          <w:szCs w:val="22"/>
        </w:rPr>
      </w:pPr>
      <w:r>
        <w:rPr>
          <w:szCs w:val="22"/>
        </w:rPr>
        <w:t>A</w:t>
      </w:r>
      <w:r w:rsidRPr="0066171D">
        <w:rPr>
          <w:szCs w:val="22"/>
        </w:rPr>
        <w:t xml:space="preserve">près l’attribution des places aux élèves </w:t>
      </w:r>
      <w:r>
        <w:rPr>
          <w:szCs w:val="22"/>
        </w:rPr>
        <w:t xml:space="preserve">bénéficiant d’un critère </w:t>
      </w:r>
      <w:r w:rsidR="0096335F">
        <w:rPr>
          <w:szCs w:val="22"/>
        </w:rPr>
        <w:t xml:space="preserve">particulier </w:t>
      </w:r>
      <w:r>
        <w:rPr>
          <w:szCs w:val="22"/>
        </w:rPr>
        <w:t xml:space="preserve">de </w:t>
      </w:r>
      <w:r w:rsidRPr="0066171D">
        <w:rPr>
          <w:szCs w:val="22"/>
        </w:rPr>
        <w:t>priorit</w:t>
      </w:r>
      <w:r>
        <w:rPr>
          <w:szCs w:val="22"/>
        </w:rPr>
        <w:t xml:space="preserve">é, </w:t>
      </w:r>
      <w:r w:rsidRPr="0066171D">
        <w:rPr>
          <w:szCs w:val="22"/>
        </w:rPr>
        <w:t xml:space="preserve">les places disponibles de chaque classe </w:t>
      </w:r>
      <w:r>
        <w:rPr>
          <w:szCs w:val="22"/>
        </w:rPr>
        <w:t xml:space="preserve">ont été attribuées </w:t>
      </w:r>
      <w:r w:rsidRPr="0066171D">
        <w:rPr>
          <w:szCs w:val="22"/>
        </w:rPr>
        <w:t>aux demandeurs</w:t>
      </w:r>
      <w:r w:rsidR="0096335F">
        <w:rPr>
          <w:szCs w:val="22"/>
        </w:rPr>
        <w:t>, qui avaient été invités à communiquer leur ordre de préférence d’écoles pour les cinq écoles/sites, en premier lieu</w:t>
      </w:r>
      <w:r w:rsidRPr="0066171D">
        <w:rPr>
          <w:szCs w:val="22"/>
        </w:rPr>
        <w:t xml:space="preserve"> </w:t>
      </w:r>
      <w:r>
        <w:rPr>
          <w:szCs w:val="22"/>
        </w:rPr>
        <w:t>dans l’école qu’ils ont désignée comme celle</w:t>
      </w:r>
      <w:r w:rsidRPr="0066171D">
        <w:rPr>
          <w:szCs w:val="22"/>
        </w:rPr>
        <w:t xml:space="preserve"> de leur première préférence</w:t>
      </w:r>
      <w:r>
        <w:rPr>
          <w:szCs w:val="22"/>
        </w:rPr>
        <w:t xml:space="preserve">, </w:t>
      </w:r>
      <w:r w:rsidR="0096335F">
        <w:rPr>
          <w:szCs w:val="22"/>
        </w:rPr>
        <w:t>puis dans les écoles de préférences subséquentes conformément aux règles générales d‘inscription de la Politique.</w:t>
      </w:r>
    </w:p>
    <w:p w:rsidR="00883865" w:rsidRDefault="003B315A" w:rsidP="00532D14">
      <w:pPr>
        <w:tabs>
          <w:tab w:val="left" w:pos="284"/>
        </w:tabs>
        <w:spacing w:after="0" w:line="276" w:lineRule="auto"/>
        <w:rPr>
          <w:i/>
          <w:color w:val="0000FF"/>
          <w:szCs w:val="22"/>
        </w:rPr>
      </w:pPr>
      <w:r w:rsidRPr="00185FE6">
        <w:rPr>
          <w:szCs w:val="22"/>
        </w:rPr>
        <w:t>Toutes les informations détaill</w:t>
      </w:r>
      <w:r w:rsidR="00AB164D" w:rsidRPr="00185FE6">
        <w:rPr>
          <w:szCs w:val="22"/>
        </w:rPr>
        <w:t>é</w:t>
      </w:r>
      <w:r w:rsidRPr="00185FE6">
        <w:rPr>
          <w:szCs w:val="22"/>
        </w:rPr>
        <w:t>es relatives à l’organisation de la campagne d’inscription</w:t>
      </w:r>
      <w:r w:rsidR="00BC490E">
        <w:rPr>
          <w:szCs w:val="22"/>
        </w:rPr>
        <w:t>,</w:t>
      </w:r>
      <w:r w:rsidRPr="00185FE6">
        <w:rPr>
          <w:szCs w:val="22"/>
        </w:rPr>
        <w:t xml:space="preserve"> </w:t>
      </w:r>
      <w:r w:rsidR="00AB164D" w:rsidRPr="00185FE6">
        <w:rPr>
          <w:szCs w:val="22"/>
        </w:rPr>
        <w:t xml:space="preserve">dont </w:t>
      </w:r>
      <w:r w:rsidRPr="00185FE6">
        <w:rPr>
          <w:szCs w:val="22"/>
        </w:rPr>
        <w:t>le calendrier et la procédure figur</w:t>
      </w:r>
      <w:r w:rsidR="00841319">
        <w:rPr>
          <w:szCs w:val="22"/>
        </w:rPr>
        <w:t>a</w:t>
      </w:r>
      <w:r w:rsidRPr="00185FE6">
        <w:rPr>
          <w:szCs w:val="22"/>
        </w:rPr>
        <w:t>nt dans la Politique d’inscription</w:t>
      </w:r>
      <w:r w:rsidR="00BC490E">
        <w:rPr>
          <w:szCs w:val="22"/>
        </w:rPr>
        <w:t>,</w:t>
      </w:r>
      <w:r w:rsidR="00841319">
        <w:rPr>
          <w:szCs w:val="22"/>
        </w:rPr>
        <w:t xml:space="preserve"> </w:t>
      </w:r>
      <w:r w:rsidR="00D23248">
        <w:rPr>
          <w:szCs w:val="22"/>
        </w:rPr>
        <w:t xml:space="preserve">ont </w:t>
      </w:r>
      <w:r w:rsidR="009D1AE5">
        <w:rPr>
          <w:szCs w:val="22"/>
        </w:rPr>
        <w:t xml:space="preserve">fait </w:t>
      </w:r>
      <w:r w:rsidR="00841319">
        <w:rPr>
          <w:szCs w:val="22"/>
        </w:rPr>
        <w:t xml:space="preserve">l’objet d’une publication sur </w:t>
      </w:r>
      <w:r w:rsidRPr="00185FE6">
        <w:rPr>
          <w:szCs w:val="22"/>
        </w:rPr>
        <w:t>le site internet des Ecoles européennes</w:t>
      </w:r>
      <w:r w:rsidR="00841319">
        <w:rPr>
          <w:szCs w:val="22"/>
        </w:rPr>
        <w:t xml:space="preserve">. </w:t>
      </w:r>
      <w:r w:rsidR="009D1AE5">
        <w:rPr>
          <w:szCs w:val="22"/>
        </w:rPr>
        <w:t>Ainsi, t</w:t>
      </w:r>
      <w:r w:rsidR="006A65DB" w:rsidRPr="00185FE6">
        <w:rPr>
          <w:szCs w:val="22"/>
        </w:rPr>
        <w:t xml:space="preserve">out au long de la campagne d’inscription </w:t>
      </w:r>
      <w:r w:rsidR="009D1AE5">
        <w:rPr>
          <w:szCs w:val="22"/>
        </w:rPr>
        <w:t xml:space="preserve">ont été publiés </w:t>
      </w:r>
      <w:r w:rsidR="00533AAE">
        <w:rPr>
          <w:szCs w:val="22"/>
        </w:rPr>
        <w:t>la liste</w:t>
      </w:r>
      <w:r w:rsidR="00AB164D" w:rsidRPr="00185FE6">
        <w:rPr>
          <w:szCs w:val="22"/>
        </w:rPr>
        <w:t xml:space="preserve"> des propositions de places dans les différentes écoles</w:t>
      </w:r>
      <w:r w:rsidR="00533AAE">
        <w:rPr>
          <w:szCs w:val="22"/>
        </w:rPr>
        <w:t xml:space="preserve"> en 1</w:t>
      </w:r>
      <w:r w:rsidR="00533AAE" w:rsidRPr="00533AAE">
        <w:rPr>
          <w:szCs w:val="22"/>
          <w:vertAlign w:val="superscript"/>
        </w:rPr>
        <w:t>ère</w:t>
      </w:r>
      <w:r w:rsidR="00533AAE">
        <w:rPr>
          <w:szCs w:val="22"/>
        </w:rPr>
        <w:t xml:space="preserve"> phase des inscriptions</w:t>
      </w:r>
      <w:r w:rsidR="009967B7">
        <w:rPr>
          <w:szCs w:val="22"/>
        </w:rPr>
        <w:t xml:space="preserve"> </w:t>
      </w:r>
      <w:r w:rsidR="000557B7">
        <w:rPr>
          <w:szCs w:val="22"/>
        </w:rPr>
        <w:t xml:space="preserve">ainsi qu’un </w:t>
      </w:r>
      <w:r w:rsidR="00533AAE">
        <w:rPr>
          <w:szCs w:val="22"/>
        </w:rPr>
        <w:t>récapitulatif, à la fin de la 1</w:t>
      </w:r>
      <w:r w:rsidR="00533AAE" w:rsidRPr="00533AAE">
        <w:rPr>
          <w:szCs w:val="22"/>
          <w:vertAlign w:val="superscript"/>
        </w:rPr>
        <w:t>ère</w:t>
      </w:r>
      <w:r w:rsidR="00533AAE">
        <w:rPr>
          <w:szCs w:val="22"/>
        </w:rPr>
        <w:t xml:space="preserve"> phase, </w:t>
      </w:r>
      <w:r w:rsidR="00533AAE" w:rsidRPr="00185FE6">
        <w:rPr>
          <w:szCs w:val="22"/>
        </w:rPr>
        <w:t xml:space="preserve">des places attribuées et acceptées par </w:t>
      </w:r>
      <w:r w:rsidR="00533AAE">
        <w:rPr>
          <w:szCs w:val="22"/>
        </w:rPr>
        <w:t>les demandeurs. Par courrier électronique personnalisé, l</w:t>
      </w:r>
      <w:r w:rsidR="00AB164D" w:rsidRPr="00185FE6">
        <w:rPr>
          <w:szCs w:val="22"/>
        </w:rPr>
        <w:t>es demandeurs d’inscription ont</w:t>
      </w:r>
      <w:r w:rsidR="006A65DB" w:rsidRPr="00185FE6">
        <w:rPr>
          <w:szCs w:val="22"/>
        </w:rPr>
        <w:t xml:space="preserve"> été</w:t>
      </w:r>
      <w:r w:rsidR="00AB164D" w:rsidRPr="00185FE6">
        <w:rPr>
          <w:szCs w:val="22"/>
        </w:rPr>
        <w:t xml:space="preserve"> informés individuellement</w:t>
      </w:r>
      <w:r w:rsidR="00051101">
        <w:rPr>
          <w:szCs w:val="22"/>
        </w:rPr>
        <w:t xml:space="preserve"> de la proposition de places</w:t>
      </w:r>
      <w:r w:rsidR="00533AAE">
        <w:rPr>
          <w:szCs w:val="22"/>
        </w:rPr>
        <w:t>.</w:t>
      </w:r>
      <w:r>
        <w:rPr>
          <w:szCs w:val="22"/>
        </w:rPr>
        <w:t xml:space="preserve">  </w:t>
      </w:r>
      <w:r w:rsidR="00BC5546" w:rsidRPr="00883865">
        <w:rPr>
          <w:i/>
          <w:color w:val="0000FF"/>
          <w:szCs w:val="22"/>
        </w:rPr>
        <w:t xml:space="preserve"> </w:t>
      </w:r>
    </w:p>
    <w:p w:rsidR="007F72B9" w:rsidRDefault="009E5ED8" w:rsidP="00027AA4">
      <w:pPr>
        <w:tabs>
          <w:tab w:val="left" w:pos="284"/>
        </w:tabs>
        <w:spacing w:before="240"/>
        <w:rPr>
          <w:b/>
          <w:szCs w:val="22"/>
        </w:rPr>
      </w:pPr>
      <w:r>
        <w:rPr>
          <w:szCs w:val="22"/>
        </w:rPr>
        <w:tab/>
      </w:r>
      <w:r>
        <w:rPr>
          <w:b/>
          <w:szCs w:val="22"/>
        </w:rPr>
        <w:t>2</w:t>
      </w:r>
      <w:r w:rsidRPr="007F72B9">
        <w:rPr>
          <w:b/>
          <w:szCs w:val="22"/>
        </w:rPr>
        <w:t>.</w:t>
      </w:r>
      <w:r w:rsidR="00267C08">
        <w:rPr>
          <w:b/>
          <w:szCs w:val="22"/>
        </w:rPr>
        <w:t>3</w:t>
      </w:r>
      <w:r>
        <w:rPr>
          <w:b/>
          <w:szCs w:val="22"/>
        </w:rPr>
        <w:t xml:space="preserve"> </w:t>
      </w:r>
      <w:r w:rsidR="001D6B06">
        <w:rPr>
          <w:b/>
          <w:szCs w:val="22"/>
        </w:rPr>
        <w:t>Données chiffrées</w:t>
      </w:r>
    </w:p>
    <w:p w:rsidR="00E44068" w:rsidRPr="006C7B18" w:rsidRDefault="009D2AB9" w:rsidP="00BC0E12">
      <w:pPr>
        <w:tabs>
          <w:tab w:val="left" w:pos="284"/>
        </w:tabs>
        <w:spacing w:before="240" w:line="276" w:lineRule="auto"/>
        <w:ind w:left="720"/>
        <w:rPr>
          <w:szCs w:val="22"/>
        </w:rPr>
      </w:pPr>
      <w:r w:rsidRPr="00BC0E12">
        <w:rPr>
          <w:b/>
          <w:i/>
          <w:szCs w:val="22"/>
        </w:rPr>
        <w:t>2.3.1.</w:t>
      </w:r>
      <w:r w:rsidRPr="00BC0E12">
        <w:rPr>
          <w:i/>
          <w:szCs w:val="22"/>
        </w:rPr>
        <w:t xml:space="preserve"> </w:t>
      </w:r>
      <w:r w:rsidR="00342DA3" w:rsidRPr="00BC0E12">
        <w:rPr>
          <w:b/>
          <w:i/>
          <w:szCs w:val="22"/>
        </w:rPr>
        <w:t>Les p</w:t>
      </w:r>
      <w:r w:rsidR="00E44068" w:rsidRPr="00BC0E12">
        <w:rPr>
          <w:b/>
          <w:i/>
          <w:szCs w:val="22"/>
        </w:rPr>
        <w:t>rincipales données de la campagne d’inscription 20</w:t>
      </w:r>
      <w:r w:rsidR="00EF38BF" w:rsidRPr="00BC0E12">
        <w:rPr>
          <w:b/>
          <w:i/>
          <w:szCs w:val="22"/>
        </w:rPr>
        <w:t>1</w:t>
      </w:r>
      <w:r w:rsidR="009967B7">
        <w:rPr>
          <w:b/>
          <w:i/>
          <w:szCs w:val="22"/>
        </w:rPr>
        <w:t>9</w:t>
      </w:r>
      <w:r w:rsidR="00E44068" w:rsidRPr="00BC0E12">
        <w:rPr>
          <w:b/>
          <w:i/>
          <w:szCs w:val="22"/>
        </w:rPr>
        <w:t>-20</w:t>
      </w:r>
      <w:r w:rsidR="009967B7">
        <w:rPr>
          <w:b/>
          <w:i/>
          <w:szCs w:val="22"/>
        </w:rPr>
        <w:t>20</w:t>
      </w:r>
      <w:r w:rsidR="001B2938" w:rsidRPr="001F7085">
        <w:rPr>
          <w:szCs w:val="22"/>
        </w:rPr>
        <w:t xml:space="preserve"> </w:t>
      </w:r>
      <w:r w:rsidR="00E44068" w:rsidRPr="006C7B18">
        <w:rPr>
          <w:szCs w:val="22"/>
        </w:rPr>
        <w:t xml:space="preserve">sont les suivantes : </w:t>
      </w:r>
    </w:p>
    <w:p w:rsidR="007409A2" w:rsidRPr="00D23248" w:rsidRDefault="00E44068" w:rsidP="00532D14">
      <w:pPr>
        <w:tabs>
          <w:tab w:val="left" w:pos="284"/>
        </w:tabs>
        <w:spacing w:line="276" w:lineRule="auto"/>
        <w:ind w:left="720" w:hanging="720"/>
        <w:rPr>
          <w:szCs w:val="22"/>
        </w:rPr>
      </w:pPr>
      <w:r w:rsidRPr="006C7B18">
        <w:rPr>
          <w:szCs w:val="22"/>
        </w:rPr>
        <w:tab/>
      </w:r>
      <w:r w:rsidR="000F3FC3">
        <w:rPr>
          <w:szCs w:val="22"/>
        </w:rPr>
        <w:tab/>
      </w:r>
      <w:r w:rsidR="000F3FC3" w:rsidRPr="002913B5">
        <w:rPr>
          <w:szCs w:val="22"/>
        </w:rPr>
        <w:t xml:space="preserve">- </w:t>
      </w:r>
      <w:r w:rsidR="00F758F6" w:rsidRPr="002913B5">
        <w:rPr>
          <w:szCs w:val="22"/>
        </w:rPr>
        <w:t>2</w:t>
      </w:r>
      <w:r w:rsidR="00E529A9" w:rsidRPr="002913B5">
        <w:rPr>
          <w:szCs w:val="22"/>
        </w:rPr>
        <w:t xml:space="preserve"> </w:t>
      </w:r>
      <w:r w:rsidR="009967B7" w:rsidRPr="002913B5">
        <w:rPr>
          <w:szCs w:val="22"/>
        </w:rPr>
        <w:t>813</w:t>
      </w:r>
      <w:r w:rsidR="00AC44F9" w:rsidRPr="00D23248">
        <w:rPr>
          <w:szCs w:val="22"/>
        </w:rPr>
        <w:t xml:space="preserve"> </w:t>
      </w:r>
      <w:r w:rsidR="00C1637C" w:rsidRPr="001D6B06">
        <w:rPr>
          <w:b/>
          <w:szCs w:val="22"/>
        </w:rPr>
        <w:t>demandes d’inscription</w:t>
      </w:r>
      <w:r w:rsidR="00C1637C" w:rsidRPr="00D23248">
        <w:rPr>
          <w:szCs w:val="22"/>
        </w:rPr>
        <w:t xml:space="preserve"> </w:t>
      </w:r>
      <w:r w:rsidR="00AC44F9" w:rsidRPr="00D23248">
        <w:rPr>
          <w:szCs w:val="22"/>
        </w:rPr>
        <w:t xml:space="preserve">ont été </w:t>
      </w:r>
      <w:r w:rsidR="00C1637C" w:rsidRPr="00D23248">
        <w:rPr>
          <w:szCs w:val="22"/>
        </w:rPr>
        <w:t>reçues et traitées</w:t>
      </w:r>
      <w:r w:rsidR="00B9250E" w:rsidRPr="00D23248">
        <w:rPr>
          <w:szCs w:val="22"/>
        </w:rPr>
        <w:t xml:space="preserve">, </w:t>
      </w:r>
      <w:r w:rsidR="00EF3968" w:rsidRPr="00D23248">
        <w:rPr>
          <w:szCs w:val="22"/>
        </w:rPr>
        <w:t xml:space="preserve">dont </w:t>
      </w:r>
      <w:r w:rsidR="00753057" w:rsidRPr="00D23248">
        <w:rPr>
          <w:szCs w:val="22"/>
        </w:rPr>
        <w:t>3</w:t>
      </w:r>
      <w:r w:rsidR="009967B7">
        <w:rPr>
          <w:szCs w:val="22"/>
        </w:rPr>
        <w:t>7</w:t>
      </w:r>
      <w:r w:rsidR="0068572B" w:rsidRPr="00D23248">
        <w:rPr>
          <w:szCs w:val="22"/>
        </w:rPr>
        <w:t xml:space="preserve"> </w:t>
      </w:r>
      <w:r w:rsidR="00EF3968" w:rsidRPr="00D23248">
        <w:rPr>
          <w:szCs w:val="22"/>
        </w:rPr>
        <w:t xml:space="preserve">ont </w:t>
      </w:r>
      <w:r w:rsidR="007409A2" w:rsidRPr="00D23248">
        <w:rPr>
          <w:szCs w:val="22"/>
        </w:rPr>
        <w:t>été annulées avant l’attribution des places</w:t>
      </w:r>
      <w:r w:rsidR="00131168" w:rsidRPr="00D23248">
        <w:rPr>
          <w:szCs w:val="22"/>
        </w:rPr>
        <w:t> ;</w:t>
      </w:r>
    </w:p>
    <w:p w:rsidR="007409A2" w:rsidRPr="00D23248" w:rsidRDefault="007409A2" w:rsidP="00532D14">
      <w:pPr>
        <w:shd w:val="clear" w:color="auto" w:fill="FFFFFF" w:themeFill="background1"/>
        <w:tabs>
          <w:tab w:val="left" w:pos="284"/>
        </w:tabs>
        <w:spacing w:line="276" w:lineRule="auto"/>
        <w:rPr>
          <w:szCs w:val="22"/>
        </w:rPr>
      </w:pPr>
      <w:r w:rsidRPr="00D23248">
        <w:rPr>
          <w:szCs w:val="22"/>
        </w:rPr>
        <w:tab/>
      </w:r>
      <w:r w:rsidR="000F3FC3">
        <w:rPr>
          <w:szCs w:val="22"/>
        </w:rPr>
        <w:tab/>
        <w:t xml:space="preserve">- </w:t>
      </w:r>
      <w:r w:rsidR="009967B7">
        <w:rPr>
          <w:szCs w:val="22"/>
        </w:rPr>
        <w:t>501</w:t>
      </w:r>
      <w:r w:rsidRPr="00D23248">
        <w:rPr>
          <w:szCs w:val="22"/>
        </w:rPr>
        <w:t xml:space="preserve"> demandes d’inscription d’enfants de catégorie I et II ayant des frères ou sœurs </w:t>
      </w:r>
      <w:r w:rsidRPr="00D23248">
        <w:rPr>
          <w:szCs w:val="22"/>
        </w:rPr>
        <w:tab/>
      </w:r>
      <w:r w:rsidRPr="00D23248">
        <w:rPr>
          <w:szCs w:val="22"/>
        </w:rPr>
        <w:tab/>
        <w:t>déjà scolarisés dans les écoles ont été introduites</w:t>
      </w:r>
      <w:r w:rsidR="00131168" w:rsidRPr="00D23248">
        <w:rPr>
          <w:szCs w:val="22"/>
        </w:rPr>
        <w:t> ;</w:t>
      </w:r>
    </w:p>
    <w:p w:rsidR="007409A2" w:rsidRPr="00D23248" w:rsidRDefault="007409A2" w:rsidP="00532D14">
      <w:pPr>
        <w:tabs>
          <w:tab w:val="left" w:pos="284"/>
        </w:tabs>
        <w:spacing w:line="276" w:lineRule="auto"/>
        <w:rPr>
          <w:szCs w:val="22"/>
        </w:rPr>
      </w:pPr>
      <w:r w:rsidRPr="00D23248">
        <w:rPr>
          <w:szCs w:val="22"/>
        </w:rPr>
        <w:tab/>
      </w:r>
      <w:r w:rsidR="000F3FC3">
        <w:rPr>
          <w:szCs w:val="22"/>
        </w:rPr>
        <w:tab/>
        <w:t xml:space="preserve">- </w:t>
      </w:r>
      <w:r w:rsidR="009967B7">
        <w:rPr>
          <w:szCs w:val="22"/>
        </w:rPr>
        <w:t>29</w:t>
      </w:r>
      <w:r w:rsidRPr="00D23248">
        <w:rPr>
          <w:szCs w:val="22"/>
        </w:rPr>
        <w:t xml:space="preserve"> demandes ont été présentées dans le cadre du retour de </w:t>
      </w:r>
      <w:r w:rsidR="005870BD" w:rsidRPr="00D23248">
        <w:rPr>
          <w:szCs w:val="22"/>
        </w:rPr>
        <w:t>mission</w:t>
      </w:r>
      <w:r w:rsidR="00131168" w:rsidRPr="00D23248">
        <w:rPr>
          <w:szCs w:val="22"/>
        </w:rPr>
        <w:t> ;</w:t>
      </w:r>
      <w:r w:rsidR="00EC02FA" w:rsidRPr="00D23248">
        <w:rPr>
          <w:szCs w:val="22"/>
        </w:rPr>
        <w:t xml:space="preserve"> </w:t>
      </w:r>
    </w:p>
    <w:p w:rsidR="00C94BC1" w:rsidRDefault="007409A2" w:rsidP="00532D14">
      <w:pPr>
        <w:tabs>
          <w:tab w:val="left" w:pos="284"/>
        </w:tabs>
        <w:spacing w:after="0" w:line="276" w:lineRule="auto"/>
        <w:ind w:left="720" w:hanging="720"/>
        <w:rPr>
          <w:szCs w:val="22"/>
        </w:rPr>
      </w:pPr>
      <w:r w:rsidRPr="00D23248">
        <w:rPr>
          <w:szCs w:val="22"/>
        </w:rPr>
        <w:tab/>
      </w:r>
      <w:r w:rsidR="000F3FC3">
        <w:rPr>
          <w:szCs w:val="22"/>
        </w:rPr>
        <w:tab/>
        <w:t xml:space="preserve">- </w:t>
      </w:r>
      <w:r w:rsidRPr="00D23248">
        <w:rPr>
          <w:szCs w:val="22"/>
        </w:rPr>
        <w:t xml:space="preserve">sur </w:t>
      </w:r>
      <w:r w:rsidR="009967B7">
        <w:rPr>
          <w:szCs w:val="22"/>
        </w:rPr>
        <w:t>54</w:t>
      </w:r>
      <w:r w:rsidR="00E44068" w:rsidRPr="00D23248">
        <w:rPr>
          <w:szCs w:val="22"/>
        </w:rPr>
        <w:t xml:space="preserve"> </w:t>
      </w:r>
      <w:r w:rsidRPr="00D23248">
        <w:rPr>
          <w:szCs w:val="22"/>
        </w:rPr>
        <w:t xml:space="preserve">demandes </w:t>
      </w:r>
      <w:r w:rsidR="00B741CB" w:rsidRPr="00D23248">
        <w:rPr>
          <w:szCs w:val="22"/>
        </w:rPr>
        <w:t>d’inscription</w:t>
      </w:r>
      <w:r w:rsidRPr="00D23248">
        <w:rPr>
          <w:szCs w:val="22"/>
        </w:rPr>
        <w:t xml:space="preserve"> </w:t>
      </w:r>
      <w:r w:rsidR="00821287" w:rsidRPr="00D23248">
        <w:rPr>
          <w:szCs w:val="22"/>
        </w:rPr>
        <w:t xml:space="preserve">d’enfants de </w:t>
      </w:r>
      <w:r w:rsidRPr="00D23248">
        <w:rPr>
          <w:szCs w:val="22"/>
        </w:rPr>
        <w:t>c</w:t>
      </w:r>
      <w:r w:rsidR="00821287" w:rsidRPr="00D23248">
        <w:rPr>
          <w:szCs w:val="22"/>
        </w:rPr>
        <w:t>atégorie III</w:t>
      </w:r>
      <w:r w:rsidR="00B741CB" w:rsidRPr="00D23248">
        <w:rPr>
          <w:szCs w:val="22"/>
        </w:rPr>
        <w:t xml:space="preserve"> reçues</w:t>
      </w:r>
      <w:r w:rsidR="00B66A57" w:rsidRPr="00D23248">
        <w:rPr>
          <w:szCs w:val="22"/>
        </w:rPr>
        <w:t xml:space="preserve">, </w:t>
      </w:r>
      <w:r w:rsidR="009967B7">
        <w:rPr>
          <w:szCs w:val="22"/>
        </w:rPr>
        <w:t>1 seule co</w:t>
      </w:r>
      <w:r w:rsidR="00694A4D" w:rsidRPr="00717263">
        <w:rPr>
          <w:szCs w:val="22"/>
        </w:rPr>
        <w:t xml:space="preserve">rrespondant à </w:t>
      </w:r>
      <w:r w:rsidR="009967B7">
        <w:rPr>
          <w:szCs w:val="22"/>
        </w:rPr>
        <w:t xml:space="preserve">une </w:t>
      </w:r>
      <w:r w:rsidR="00694A4D" w:rsidRPr="00717263">
        <w:rPr>
          <w:szCs w:val="22"/>
        </w:rPr>
        <w:t>demande d’inscription d’</w:t>
      </w:r>
      <w:r w:rsidR="009967B7">
        <w:rPr>
          <w:szCs w:val="22"/>
        </w:rPr>
        <w:t xml:space="preserve">un </w:t>
      </w:r>
      <w:r w:rsidR="00694A4D" w:rsidRPr="00717263">
        <w:rPr>
          <w:szCs w:val="22"/>
        </w:rPr>
        <w:t>enfant</w:t>
      </w:r>
      <w:r w:rsidR="009967B7">
        <w:rPr>
          <w:szCs w:val="22"/>
        </w:rPr>
        <w:t xml:space="preserve"> du personnel civil de l’OTAN</w:t>
      </w:r>
      <w:r w:rsidR="005870BD" w:rsidRPr="003543ED">
        <w:rPr>
          <w:szCs w:val="22"/>
        </w:rPr>
        <w:t xml:space="preserve"> </w:t>
      </w:r>
      <w:r w:rsidR="00D96D8B" w:rsidRPr="00295CBF">
        <w:rPr>
          <w:szCs w:val="22"/>
        </w:rPr>
        <w:t xml:space="preserve">concernait </w:t>
      </w:r>
      <w:r w:rsidR="009967B7">
        <w:rPr>
          <w:szCs w:val="22"/>
        </w:rPr>
        <w:t xml:space="preserve">un élève </w:t>
      </w:r>
      <w:r w:rsidR="00D96D8B" w:rsidRPr="00295CBF">
        <w:rPr>
          <w:szCs w:val="22"/>
        </w:rPr>
        <w:t>ayant des frères ou sœurs déjà scolarisés dans une école</w:t>
      </w:r>
      <w:r w:rsidR="00131168" w:rsidRPr="00295CBF">
        <w:rPr>
          <w:szCs w:val="22"/>
        </w:rPr>
        <w:t> ;</w:t>
      </w:r>
      <w:r w:rsidR="00694A4D" w:rsidRPr="00295CBF">
        <w:rPr>
          <w:szCs w:val="22"/>
        </w:rPr>
        <w:t xml:space="preserve"> </w:t>
      </w:r>
    </w:p>
    <w:p w:rsidR="0017492F" w:rsidRPr="00A3438D" w:rsidRDefault="0017492F" w:rsidP="00C91BAF">
      <w:pPr>
        <w:tabs>
          <w:tab w:val="left" w:pos="284"/>
        </w:tabs>
        <w:spacing w:before="0" w:after="0"/>
        <w:rPr>
          <w:sz w:val="16"/>
          <w:szCs w:val="16"/>
        </w:rPr>
      </w:pPr>
    </w:p>
    <w:tbl>
      <w:tblPr>
        <w:tblpPr w:leftFromText="141" w:rightFromText="141" w:vertAnchor="text" w:horzAnchor="margin" w:tblpXSpec="center" w:tblpY="125"/>
        <w:tblW w:w="8182" w:type="dxa"/>
        <w:tblCellMar>
          <w:left w:w="70" w:type="dxa"/>
          <w:right w:w="70" w:type="dxa"/>
        </w:tblCellMar>
        <w:tblLook w:val="0000" w:firstRow="0" w:lastRow="0" w:firstColumn="0" w:lastColumn="0" w:noHBand="0" w:noVBand="0"/>
      </w:tblPr>
      <w:tblGrid>
        <w:gridCol w:w="5110"/>
        <w:gridCol w:w="3072"/>
      </w:tblGrid>
      <w:tr w:rsidR="00FB4788" w:rsidRPr="00295CBF" w:rsidTr="004D5880">
        <w:trPr>
          <w:trHeight w:val="405"/>
        </w:trPr>
        <w:tc>
          <w:tcPr>
            <w:tcW w:w="5110" w:type="dxa"/>
            <w:vMerge w:val="restart"/>
            <w:tcBorders>
              <w:top w:val="single" w:sz="4" w:space="0" w:color="auto"/>
              <w:left w:val="single" w:sz="4" w:space="0" w:color="auto"/>
              <w:bottom w:val="single" w:sz="4" w:space="0" w:color="000000"/>
              <w:right w:val="single" w:sz="4" w:space="0" w:color="333333"/>
            </w:tcBorders>
            <w:shd w:val="clear" w:color="auto" w:fill="auto"/>
            <w:noWrap/>
            <w:vAlign w:val="bottom"/>
          </w:tcPr>
          <w:p w:rsidR="00FB4788" w:rsidRPr="00295CBF" w:rsidRDefault="00FB4788" w:rsidP="00FB4788">
            <w:pPr>
              <w:spacing w:before="0" w:after="0"/>
              <w:jc w:val="center"/>
              <w:rPr>
                <w:rFonts w:cs="Arial"/>
                <w:szCs w:val="22"/>
              </w:rPr>
            </w:pPr>
            <w:r w:rsidRPr="00295CBF">
              <w:rPr>
                <w:rFonts w:cs="Arial"/>
                <w:szCs w:val="22"/>
              </w:rPr>
              <w:t> </w:t>
            </w:r>
          </w:p>
        </w:tc>
        <w:tc>
          <w:tcPr>
            <w:tcW w:w="3072" w:type="dxa"/>
            <w:tcBorders>
              <w:top w:val="single" w:sz="4" w:space="0" w:color="auto"/>
              <w:left w:val="nil"/>
              <w:bottom w:val="nil"/>
              <w:right w:val="single" w:sz="4" w:space="0" w:color="333333"/>
            </w:tcBorders>
            <w:shd w:val="clear" w:color="auto" w:fill="auto"/>
            <w:vAlign w:val="bottom"/>
          </w:tcPr>
          <w:p w:rsidR="00FB4788" w:rsidRPr="00295CBF" w:rsidRDefault="00FB4788" w:rsidP="00717263">
            <w:pPr>
              <w:spacing w:before="0" w:after="0"/>
              <w:jc w:val="center"/>
              <w:rPr>
                <w:rFonts w:cs="Arial"/>
                <w:b/>
                <w:bCs/>
                <w:szCs w:val="22"/>
              </w:rPr>
            </w:pPr>
            <w:r w:rsidRPr="00295CBF">
              <w:rPr>
                <w:rFonts w:cs="Arial"/>
                <w:b/>
                <w:bCs/>
                <w:szCs w:val="22"/>
              </w:rPr>
              <w:t xml:space="preserve">Nouveaux élèves </w:t>
            </w:r>
            <w:r w:rsidR="00717263">
              <w:rPr>
                <w:rFonts w:cs="Arial"/>
                <w:b/>
                <w:bCs/>
                <w:szCs w:val="22"/>
              </w:rPr>
              <w:t xml:space="preserve">inscrits </w:t>
            </w:r>
          </w:p>
        </w:tc>
      </w:tr>
      <w:tr w:rsidR="00FB4788" w:rsidRPr="00295CBF" w:rsidTr="004D5880">
        <w:trPr>
          <w:trHeight w:val="330"/>
        </w:trPr>
        <w:tc>
          <w:tcPr>
            <w:tcW w:w="5110" w:type="dxa"/>
            <w:vMerge/>
            <w:tcBorders>
              <w:top w:val="single" w:sz="4" w:space="0" w:color="auto"/>
              <w:left w:val="single" w:sz="4" w:space="0" w:color="auto"/>
              <w:bottom w:val="single" w:sz="4" w:space="0" w:color="000000"/>
              <w:right w:val="single" w:sz="4" w:space="0" w:color="333333"/>
            </w:tcBorders>
            <w:vAlign w:val="center"/>
          </w:tcPr>
          <w:p w:rsidR="00FB4788" w:rsidRPr="00295CBF" w:rsidRDefault="00FB4788" w:rsidP="00FB4788">
            <w:pPr>
              <w:spacing w:before="0" w:after="0"/>
              <w:jc w:val="left"/>
              <w:rPr>
                <w:rFonts w:cs="Arial"/>
                <w:szCs w:val="22"/>
              </w:rPr>
            </w:pPr>
          </w:p>
        </w:tc>
        <w:tc>
          <w:tcPr>
            <w:tcW w:w="3072" w:type="dxa"/>
            <w:tcBorders>
              <w:top w:val="nil"/>
              <w:left w:val="nil"/>
              <w:bottom w:val="single" w:sz="4" w:space="0" w:color="auto"/>
              <w:right w:val="single" w:sz="4" w:space="0" w:color="333333"/>
            </w:tcBorders>
            <w:shd w:val="clear" w:color="auto" w:fill="auto"/>
            <w:vAlign w:val="bottom"/>
          </w:tcPr>
          <w:p w:rsidR="00FB4788" w:rsidRPr="00D23248" w:rsidRDefault="007409A2" w:rsidP="009967B7">
            <w:pPr>
              <w:spacing w:before="0" w:after="40"/>
              <w:jc w:val="center"/>
              <w:rPr>
                <w:rFonts w:cs="Arial"/>
                <w:b/>
                <w:bCs/>
                <w:szCs w:val="22"/>
              </w:rPr>
            </w:pPr>
            <w:r w:rsidRPr="00D23248">
              <w:rPr>
                <w:rFonts w:cs="Arial"/>
                <w:b/>
                <w:bCs/>
                <w:szCs w:val="22"/>
              </w:rPr>
              <w:t xml:space="preserve">au </w:t>
            </w:r>
            <w:r w:rsidR="009967B7">
              <w:rPr>
                <w:rFonts w:cs="Arial"/>
                <w:b/>
                <w:bCs/>
                <w:szCs w:val="22"/>
              </w:rPr>
              <w:t xml:space="preserve">30 </w:t>
            </w:r>
            <w:r w:rsidR="00A31689" w:rsidRPr="00D23248">
              <w:rPr>
                <w:rFonts w:cs="Arial"/>
                <w:b/>
                <w:bCs/>
                <w:szCs w:val="22"/>
              </w:rPr>
              <w:t>septembre 201</w:t>
            </w:r>
            <w:r w:rsidR="009967B7">
              <w:rPr>
                <w:rFonts w:cs="Arial"/>
                <w:b/>
                <w:bCs/>
                <w:szCs w:val="22"/>
              </w:rPr>
              <w:t>9</w:t>
            </w:r>
          </w:p>
        </w:tc>
      </w:tr>
      <w:tr w:rsidR="00FB4788" w:rsidRPr="00295CBF" w:rsidTr="004D5880">
        <w:trPr>
          <w:trHeight w:val="300"/>
        </w:trPr>
        <w:tc>
          <w:tcPr>
            <w:tcW w:w="5110" w:type="dxa"/>
            <w:tcBorders>
              <w:top w:val="nil"/>
              <w:left w:val="single" w:sz="4" w:space="0" w:color="auto"/>
              <w:bottom w:val="nil"/>
              <w:right w:val="single" w:sz="4" w:space="0" w:color="333333"/>
            </w:tcBorders>
            <w:shd w:val="clear" w:color="auto" w:fill="auto"/>
            <w:noWrap/>
            <w:vAlign w:val="bottom"/>
          </w:tcPr>
          <w:p w:rsidR="00295CBF" w:rsidRPr="007264DA" w:rsidRDefault="00295CBF" w:rsidP="00FB4788">
            <w:pPr>
              <w:spacing w:before="0" w:after="0"/>
              <w:jc w:val="left"/>
              <w:rPr>
                <w:rFonts w:cs="Arial"/>
                <w:b/>
                <w:bCs/>
                <w:szCs w:val="22"/>
              </w:rPr>
            </w:pPr>
          </w:p>
          <w:p w:rsidR="00FB4788" w:rsidRPr="007264DA" w:rsidRDefault="007264DA" w:rsidP="00FB4788">
            <w:pPr>
              <w:spacing w:before="0" w:after="0"/>
              <w:jc w:val="left"/>
              <w:rPr>
                <w:rFonts w:cs="Arial"/>
                <w:bCs/>
                <w:szCs w:val="22"/>
              </w:rPr>
            </w:pPr>
            <w:r>
              <w:rPr>
                <w:rFonts w:cs="Arial"/>
                <w:bCs/>
                <w:szCs w:val="22"/>
              </w:rPr>
              <w:t>E</w:t>
            </w:r>
            <w:r w:rsidR="00FB4788" w:rsidRPr="007264DA">
              <w:rPr>
                <w:rFonts w:cs="Arial"/>
                <w:bCs/>
                <w:szCs w:val="22"/>
              </w:rPr>
              <w:t>cole de Bruxelles I</w:t>
            </w:r>
            <w:r w:rsidR="00295CBF" w:rsidRPr="007264DA">
              <w:rPr>
                <w:rFonts w:cs="Arial"/>
                <w:bCs/>
                <w:szCs w:val="22"/>
              </w:rPr>
              <w:t xml:space="preserve"> – site Uccle</w:t>
            </w:r>
            <w:r>
              <w:rPr>
                <w:rFonts w:cs="Arial"/>
                <w:bCs/>
                <w:szCs w:val="22"/>
              </w:rPr>
              <w:t xml:space="preserve"> </w:t>
            </w:r>
            <w:r w:rsidRPr="007264DA">
              <w:rPr>
                <w:rFonts w:cs="Arial"/>
                <w:b/>
                <w:bCs/>
                <w:sz w:val="20"/>
              </w:rPr>
              <w:t>(EEB1-UCC</w:t>
            </w:r>
            <w:r w:rsidRPr="007458F1">
              <w:rPr>
                <w:rFonts w:cs="Arial"/>
                <w:bCs/>
                <w:sz w:val="20"/>
              </w:rPr>
              <w:t>)</w:t>
            </w:r>
          </w:p>
          <w:p w:rsidR="00295CBF" w:rsidRPr="007264DA" w:rsidRDefault="00295CBF" w:rsidP="004D5880">
            <w:pPr>
              <w:spacing w:before="0" w:after="0"/>
              <w:jc w:val="left"/>
              <w:rPr>
                <w:rFonts w:cs="Arial"/>
                <w:b/>
                <w:bCs/>
                <w:szCs w:val="22"/>
              </w:rPr>
            </w:pPr>
            <w:r w:rsidRPr="007264DA">
              <w:rPr>
                <w:rFonts w:cs="Arial"/>
                <w:bCs/>
                <w:szCs w:val="22"/>
              </w:rPr>
              <w:t>Ecole de Bruxelles I – site Berkendael</w:t>
            </w:r>
            <w:r w:rsidR="007458F1">
              <w:rPr>
                <w:rFonts w:cs="Arial"/>
                <w:bCs/>
                <w:szCs w:val="22"/>
              </w:rPr>
              <w:t xml:space="preserve"> </w:t>
            </w:r>
            <w:r w:rsidR="007458F1" w:rsidRPr="007458F1">
              <w:rPr>
                <w:rFonts w:cs="Arial"/>
                <w:bCs/>
                <w:sz w:val="20"/>
              </w:rPr>
              <w:t>(</w:t>
            </w:r>
            <w:r w:rsidR="007458F1" w:rsidRPr="007458F1">
              <w:rPr>
                <w:rFonts w:cs="Arial"/>
                <w:b/>
                <w:bCs/>
                <w:sz w:val="20"/>
              </w:rPr>
              <w:t>EEB1-BK</w:t>
            </w:r>
            <w:r w:rsidR="007458F1" w:rsidRPr="007458F1">
              <w:rPr>
                <w:rFonts w:cs="Arial"/>
                <w:bCs/>
                <w:sz w:val="20"/>
              </w:rPr>
              <w:t>)</w:t>
            </w:r>
          </w:p>
        </w:tc>
        <w:tc>
          <w:tcPr>
            <w:tcW w:w="3072" w:type="dxa"/>
            <w:tcBorders>
              <w:top w:val="nil"/>
              <w:left w:val="nil"/>
              <w:bottom w:val="nil"/>
              <w:right w:val="single" w:sz="4" w:space="0" w:color="333333"/>
            </w:tcBorders>
            <w:shd w:val="clear" w:color="auto" w:fill="auto"/>
            <w:noWrap/>
            <w:vAlign w:val="bottom"/>
          </w:tcPr>
          <w:p w:rsidR="00C2794F" w:rsidRPr="00D23248" w:rsidRDefault="005638D3" w:rsidP="002C7398">
            <w:pPr>
              <w:spacing w:before="0" w:after="0"/>
              <w:jc w:val="center"/>
              <w:rPr>
                <w:rFonts w:cs="Arial"/>
                <w:szCs w:val="22"/>
              </w:rPr>
            </w:pPr>
            <w:r w:rsidRPr="00D23248">
              <w:rPr>
                <w:rFonts w:cs="Arial"/>
                <w:szCs w:val="22"/>
              </w:rPr>
              <w:t xml:space="preserve"> </w:t>
            </w:r>
            <w:r w:rsidR="009967B7">
              <w:rPr>
                <w:rFonts w:cs="Arial"/>
                <w:szCs w:val="22"/>
              </w:rPr>
              <w:t>401</w:t>
            </w:r>
          </w:p>
          <w:p w:rsidR="00FB4788" w:rsidRPr="00D23248" w:rsidRDefault="00C2794F" w:rsidP="00D4036D">
            <w:pPr>
              <w:spacing w:before="0" w:after="0"/>
              <w:jc w:val="center"/>
              <w:rPr>
                <w:rFonts w:cs="Arial"/>
                <w:szCs w:val="22"/>
              </w:rPr>
            </w:pPr>
            <w:r w:rsidRPr="00D23248">
              <w:rPr>
                <w:rFonts w:cs="Arial"/>
                <w:szCs w:val="22"/>
              </w:rPr>
              <w:t xml:space="preserve"> </w:t>
            </w:r>
            <w:r w:rsidR="009967B7">
              <w:rPr>
                <w:rFonts w:cs="Arial"/>
                <w:szCs w:val="22"/>
              </w:rPr>
              <w:t>244</w:t>
            </w:r>
          </w:p>
        </w:tc>
      </w:tr>
      <w:tr w:rsidR="00FB4788" w:rsidRPr="00295CBF" w:rsidTr="004D5880">
        <w:trPr>
          <w:trHeight w:val="300"/>
        </w:trPr>
        <w:tc>
          <w:tcPr>
            <w:tcW w:w="5110" w:type="dxa"/>
            <w:tcBorders>
              <w:top w:val="nil"/>
              <w:left w:val="single" w:sz="4" w:space="0" w:color="auto"/>
              <w:bottom w:val="nil"/>
              <w:right w:val="single" w:sz="4" w:space="0" w:color="333333"/>
            </w:tcBorders>
            <w:shd w:val="clear" w:color="auto" w:fill="auto"/>
            <w:noWrap/>
            <w:vAlign w:val="bottom"/>
          </w:tcPr>
          <w:p w:rsidR="00FB4788" w:rsidRPr="007264DA" w:rsidRDefault="00FB4788" w:rsidP="00FB4788">
            <w:pPr>
              <w:spacing w:before="0" w:after="0"/>
              <w:jc w:val="left"/>
              <w:rPr>
                <w:rFonts w:cs="Arial"/>
                <w:b/>
                <w:bCs/>
                <w:szCs w:val="22"/>
              </w:rPr>
            </w:pPr>
            <w:r w:rsidRPr="007264DA">
              <w:rPr>
                <w:rFonts w:cs="Arial"/>
                <w:bCs/>
                <w:szCs w:val="22"/>
              </w:rPr>
              <w:t>Ecole de Bruxelles II</w:t>
            </w:r>
            <w:r w:rsidR="007458F1">
              <w:rPr>
                <w:rFonts w:cs="Arial"/>
                <w:bCs/>
                <w:szCs w:val="22"/>
              </w:rPr>
              <w:t xml:space="preserve"> </w:t>
            </w:r>
            <w:r w:rsidR="007458F1" w:rsidRPr="007458F1">
              <w:rPr>
                <w:rFonts w:cs="Arial"/>
                <w:bCs/>
                <w:sz w:val="20"/>
              </w:rPr>
              <w:t>(</w:t>
            </w:r>
            <w:r w:rsidR="007458F1" w:rsidRPr="007458F1">
              <w:rPr>
                <w:rFonts w:cs="Arial"/>
                <w:b/>
                <w:bCs/>
                <w:sz w:val="20"/>
              </w:rPr>
              <w:t>EEB2</w:t>
            </w:r>
            <w:r w:rsidR="007458F1" w:rsidRPr="007458F1">
              <w:rPr>
                <w:rFonts w:cs="Arial"/>
                <w:bCs/>
                <w:sz w:val="20"/>
              </w:rPr>
              <w:t>)</w:t>
            </w:r>
          </w:p>
        </w:tc>
        <w:tc>
          <w:tcPr>
            <w:tcW w:w="3072" w:type="dxa"/>
            <w:tcBorders>
              <w:top w:val="nil"/>
              <w:left w:val="nil"/>
              <w:bottom w:val="nil"/>
              <w:right w:val="single" w:sz="4" w:space="0" w:color="333333"/>
            </w:tcBorders>
            <w:shd w:val="clear" w:color="auto" w:fill="auto"/>
            <w:noWrap/>
            <w:vAlign w:val="bottom"/>
          </w:tcPr>
          <w:p w:rsidR="00FB4788" w:rsidRPr="00D23248" w:rsidRDefault="00C2794F" w:rsidP="00D4036D">
            <w:pPr>
              <w:spacing w:before="0" w:after="0"/>
              <w:jc w:val="center"/>
              <w:rPr>
                <w:rFonts w:cs="Arial"/>
                <w:szCs w:val="22"/>
              </w:rPr>
            </w:pPr>
            <w:r w:rsidRPr="00D23248">
              <w:rPr>
                <w:rFonts w:cs="Arial"/>
                <w:szCs w:val="22"/>
              </w:rPr>
              <w:t xml:space="preserve"> </w:t>
            </w:r>
            <w:r w:rsidR="009967B7">
              <w:rPr>
                <w:rFonts w:cs="Arial"/>
                <w:szCs w:val="22"/>
              </w:rPr>
              <w:t>505</w:t>
            </w:r>
          </w:p>
        </w:tc>
      </w:tr>
      <w:tr w:rsidR="00FB4788" w:rsidRPr="00295CBF" w:rsidTr="004D5880">
        <w:trPr>
          <w:trHeight w:val="300"/>
        </w:trPr>
        <w:tc>
          <w:tcPr>
            <w:tcW w:w="5110" w:type="dxa"/>
            <w:tcBorders>
              <w:top w:val="nil"/>
              <w:left w:val="single" w:sz="4" w:space="0" w:color="auto"/>
              <w:bottom w:val="nil"/>
              <w:right w:val="single" w:sz="4" w:space="0" w:color="333333"/>
            </w:tcBorders>
            <w:shd w:val="clear" w:color="auto" w:fill="auto"/>
            <w:noWrap/>
            <w:vAlign w:val="bottom"/>
          </w:tcPr>
          <w:p w:rsidR="00FB4788" w:rsidRPr="007264DA" w:rsidRDefault="00FB4788" w:rsidP="00FB4788">
            <w:pPr>
              <w:spacing w:before="0" w:after="0"/>
              <w:jc w:val="left"/>
              <w:rPr>
                <w:rFonts w:cs="Arial"/>
                <w:b/>
                <w:bCs/>
                <w:szCs w:val="22"/>
              </w:rPr>
            </w:pPr>
            <w:r w:rsidRPr="007264DA">
              <w:rPr>
                <w:rFonts w:cs="Arial"/>
                <w:bCs/>
                <w:szCs w:val="22"/>
              </w:rPr>
              <w:t>Ecole de Bruxelles III</w:t>
            </w:r>
            <w:r w:rsidR="007458F1">
              <w:rPr>
                <w:rFonts w:cs="Arial"/>
                <w:bCs/>
                <w:szCs w:val="22"/>
              </w:rPr>
              <w:t xml:space="preserve"> </w:t>
            </w:r>
            <w:r w:rsidR="007458F1" w:rsidRPr="007458F1">
              <w:rPr>
                <w:rFonts w:cs="Arial"/>
                <w:bCs/>
                <w:sz w:val="20"/>
              </w:rPr>
              <w:t>(</w:t>
            </w:r>
            <w:r w:rsidR="007458F1" w:rsidRPr="007458F1">
              <w:rPr>
                <w:rFonts w:cs="Arial"/>
                <w:b/>
                <w:bCs/>
                <w:sz w:val="20"/>
              </w:rPr>
              <w:t>EEB3</w:t>
            </w:r>
            <w:r w:rsidR="007458F1" w:rsidRPr="007458F1">
              <w:rPr>
                <w:rFonts w:cs="Arial"/>
                <w:bCs/>
                <w:sz w:val="20"/>
              </w:rPr>
              <w:t>)</w:t>
            </w:r>
          </w:p>
        </w:tc>
        <w:tc>
          <w:tcPr>
            <w:tcW w:w="3072" w:type="dxa"/>
            <w:tcBorders>
              <w:top w:val="nil"/>
              <w:left w:val="nil"/>
              <w:bottom w:val="nil"/>
              <w:right w:val="single" w:sz="4" w:space="0" w:color="333333"/>
            </w:tcBorders>
            <w:shd w:val="clear" w:color="auto" w:fill="auto"/>
            <w:noWrap/>
            <w:vAlign w:val="bottom"/>
          </w:tcPr>
          <w:p w:rsidR="00FB4788" w:rsidRPr="00D23248" w:rsidRDefault="00C2794F" w:rsidP="00D4036D">
            <w:pPr>
              <w:spacing w:before="0" w:after="0"/>
              <w:jc w:val="center"/>
              <w:rPr>
                <w:rFonts w:cs="Arial"/>
                <w:szCs w:val="22"/>
              </w:rPr>
            </w:pPr>
            <w:r w:rsidRPr="00D23248">
              <w:rPr>
                <w:rFonts w:cs="Arial"/>
                <w:szCs w:val="22"/>
              </w:rPr>
              <w:t xml:space="preserve"> </w:t>
            </w:r>
            <w:r w:rsidR="009967B7">
              <w:rPr>
                <w:rFonts w:cs="Arial"/>
                <w:szCs w:val="22"/>
              </w:rPr>
              <w:t>395</w:t>
            </w:r>
          </w:p>
        </w:tc>
      </w:tr>
      <w:tr w:rsidR="00FB4788" w:rsidRPr="00295CBF" w:rsidTr="004D5880">
        <w:trPr>
          <w:trHeight w:val="300"/>
        </w:trPr>
        <w:tc>
          <w:tcPr>
            <w:tcW w:w="5110" w:type="dxa"/>
            <w:tcBorders>
              <w:top w:val="nil"/>
              <w:left w:val="single" w:sz="4" w:space="0" w:color="auto"/>
              <w:bottom w:val="single" w:sz="4" w:space="0" w:color="auto"/>
              <w:right w:val="single" w:sz="4" w:space="0" w:color="333333"/>
            </w:tcBorders>
            <w:shd w:val="clear" w:color="auto" w:fill="auto"/>
            <w:noWrap/>
            <w:vAlign w:val="bottom"/>
          </w:tcPr>
          <w:p w:rsidR="00FB4788" w:rsidRPr="007458F1" w:rsidRDefault="00FB4788" w:rsidP="00FB4788">
            <w:pPr>
              <w:spacing w:before="0" w:after="0"/>
              <w:jc w:val="left"/>
              <w:rPr>
                <w:rFonts w:cs="Arial"/>
                <w:bCs/>
                <w:sz w:val="20"/>
              </w:rPr>
            </w:pPr>
            <w:r w:rsidRPr="007264DA">
              <w:rPr>
                <w:rFonts w:cs="Arial"/>
                <w:bCs/>
                <w:szCs w:val="22"/>
              </w:rPr>
              <w:t>Ecole de Bruxelles IV</w:t>
            </w:r>
            <w:r w:rsidR="007458F1">
              <w:rPr>
                <w:rFonts w:cs="Arial"/>
                <w:bCs/>
                <w:szCs w:val="22"/>
              </w:rPr>
              <w:t xml:space="preserve"> </w:t>
            </w:r>
            <w:r w:rsidR="007458F1" w:rsidRPr="007458F1">
              <w:rPr>
                <w:rFonts w:cs="Arial"/>
                <w:bCs/>
                <w:sz w:val="20"/>
              </w:rPr>
              <w:t>(</w:t>
            </w:r>
            <w:r w:rsidR="007458F1" w:rsidRPr="007458F1">
              <w:rPr>
                <w:rFonts w:cs="Arial"/>
                <w:b/>
                <w:bCs/>
                <w:sz w:val="20"/>
              </w:rPr>
              <w:t>EEB4</w:t>
            </w:r>
            <w:r w:rsidR="007458F1" w:rsidRPr="007458F1">
              <w:rPr>
                <w:rFonts w:cs="Arial"/>
                <w:bCs/>
                <w:sz w:val="20"/>
              </w:rPr>
              <w:t>)</w:t>
            </w:r>
          </w:p>
          <w:p w:rsidR="00295CBF" w:rsidRPr="007264DA" w:rsidRDefault="00295CBF" w:rsidP="00FB4788">
            <w:pPr>
              <w:spacing w:before="0" w:after="0"/>
              <w:jc w:val="left"/>
              <w:rPr>
                <w:rFonts w:cs="Arial"/>
                <w:b/>
                <w:bCs/>
                <w:szCs w:val="22"/>
              </w:rPr>
            </w:pPr>
          </w:p>
        </w:tc>
        <w:tc>
          <w:tcPr>
            <w:tcW w:w="3072" w:type="dxa"/>
            <w:tcBorders>
              <w:top w:val="nil"/>
              <w:left w:val="nil"/>
              <w:bottom w:val="single" w:sz="4" w:space="0" w:color="auto"/>
              <w:right w:val="single" w:sz="4" w:space="0" w:color="333333"/>
            </w:tcBorders>
            <w:shd w:val="clear" w:color="auto" w:fill="auto"/>
            <w:noWrap/>
          </w:tcPr>
          <w:p w:rsidR="00FB4788" w:rsidRPr="00D23248" w:rsidRDefault="00C2794F" w:rsidP="00D4036D">
            <w:pPr>
              <w:spacing w:before="0" w:after="0"/>
              <w:jc w:val="center"/>
              <w:rPr>
                <w:rFonts w:cs="Arial"/>
                <w:szCs w:val="22"/>
              </w:rPr>
            </w:pPr>
            <w:r w:rsidRPr="00D23248">
              <w:rPr>
                <w:rFonts w:cs="Arial"/>
                <w:szCs w:val="22"/>
              </w:rPr>
              <w:t xml:space="preserve"> </w:t>
            </w:r>
            <w:r w:rsidR="009967B7">
              <w:rPr>
                <w:rFonts w:cs="Arial"/>
                <w:szCs w:val="22"/>
              </w:rPr>
              <w:t>431</w:t>
            </w:r>
          </w:p>
        </w:tc>
      </w:tr>
      <w:tr w:rsidR="00FB4788" w:rsidRPr="00295CBF" w:rsidTr="004D5880">
        <w:trPr>
          <w:trHeight w:val="300"/>
        </w:trPr>
        <w:tc>
          <w:tcPr>
            <w:tcW w:w="5110" w:type="dxa"/>
            <w:tcBorders>
              <w:top w:val="nil"/>
              <w:left w:val="single" w:sz="4" w:space="0" w:color="auto"/>
              <w:bottom w:val="single" w:sz="4" w:space="0" w:color="auto"/>
              <w:right w:val="nil"/>
            </w:tcBorders>
            <w:shd w:val="clear" w:color="auto" w:fill="auto"/>
            <w:noWrap/>
            <w:vAlign w:val="bottom"/>
          </w:tcPr>
          <w:p w:rsidR="00FB4788" w:rsidRPr="00295CBF" w:rsidRDefault="00FB4788" w:rsidP="00FB4788">
            <w:pPr>
              <w:spacing w:before="0" w:after="0"/>
              <w:jc w:val="left"/>
              <w:rPr>
                <w:rFonts w:cs="Arial"/>
                <w:b/>
                <w:bCs/>
                <w:szCs w:val="22"/>
              </w:rPr>
            </w:pPr>
            <w:r w:rsidRPr="00295CBF">
              <w:rPr>
                <w:rFonts w:cs="Arial"/>
                <w:b/>
                <w:bCs/>
                <w:szCs w:val="22"/>
              </w:rPr>
              <w:t>Total</w:t>
            </w:r>
          </w:p>
        </w:tc>
        <w:tc>
          <w:tcPr>
            <w:tcW w:w="3072" w:type="dxa"/>
            <w:tcBorders>
              <w:top w:val="nil"/>
              <w:left w:val="single" w:sz="4" w:space="0" w:color="333333"/>
              <w:bottom w:val="single" w:sz="4" w:space="0" w:color="auto"/>
              <w:right w:val="single" w:sz="4" w:space="0" w:color="333333"/>
            </w:tcBorders>
            <w:shd w:val="clear" w:color="auto" w:fill="auto"/>
            <w:noWrap/>
            <w:vAlign w:val="bottom"/>
          </w:tcPr>
          <w:p w:rsidR="00FB4788" w:rsidRPr="00D23248" w:rsidRDefault="005638D3" w:rsidP="009967B7">
            <w:pPr>
              <w:spacing w:before="0" w:after="0"/>
              <w:jc w:val="center"/>
              <w:rPr>
                <w:rFonts w:cs="Arial"/>
                <w:b/>
                <w:bCs/>
                <w:szCs w:val="22"/>
              </w:rPr>
            </w:pPr>
            <w:r w:rsidRPr="00D23248">
              <w:rPr>
                <w:rFonts w:cs="Arial"/>
                <w:b/>
                <w:bCs/>
                <w:szCs w:val="22"/>
              </w:rPr>
              <w:t>1</w:t>
            </w:r>
            <w:r w:rsidR="00E529A9">
              <w:rPr>
                <w:rFonts w:cs="Arial"/>
                <w:b/>
                <w:bCs/>
                <w:szCs w:val="22"/>
              </w:rPr>
              <w:t xml:space="preserve"> </w:t>
            </w:r>
            <w:r w:rsidR="009967B7">
              <w:rPr>
                <w:rFonts w:cs="Arial"/>
                <w:b/>
                <w:bCs/>
                <w:szCs w:val="22"/>
              </w:rPr>
              <w:t>976</w:t>
            </w:r>
          </w:p>
        </w:tc>
      </w:tr>
    </w:tbl>
    <w:p w:rsidR="0025099A" w:rsidRPr="001774CD" w:rsidRDefault="00D4036D" w:rsidP="001774CD">
      <w:pPr>
        <w:pStyle w:val="ListParagraph"/>
        <w:numPr>
          <w:ilvl w:val="0"/>
          <w:numId w:val="23"/>
        </w:numPr>
        <w:tabs>
          <w:tab w:val="left" w:pos="0"/>
        </w:tabs>
        <w:spacing w:before="360" w:line="276" w:lineRule="auto"/>
        <w:rPr>
          <w:szCs w:val="22"/>
        </w:rPr>
      </w:pPr>
      <w:r w:rsidRPr="001774CD">
        <w:rPr>
          <w:szCs w:val="22"/>
        </w:rPr>
        <w:lastRenderedPageBreak/>
        <w:t>2</w:t>
      </w:r>
      <w:r w:rsidR="009967B7" w:rsidRPr="001774CD">
        <w:rPr>
          <w:szCs w:val="22"/>
        </w:rPr>
        <w:t>6</w:t>
      </w:r>
      <w:r w:rsidRPr="001774CD">
        <w:rPr>
          <w:szCs w:val="22"/>
        </w:rPr>
        <w:t>0</w:t>
      </w:r>
      <w:r w:rsidR="00FB4788" w:rsidRPr="001774CD">
        <w:rPr>
          <w:szCs w:val="22"/>
        </w:rPr>
        <w:t xml:space="preserve"> </w:t>
      </w:r>
      <w:r w:rsidR="00DD773B" w:rsidRPr="001774CD">
        <w:rPr>
          <w:szCs w:val="22"/>
        </w:rPr>
        <w:t>propositions</w:t>
      </w:r>
      <w:r w:rsidR="002A6739" w:rsidRPr="001774CD">
        <w:rPr>
          <w:szCs w:val="22"/>
        </w:rPr>
        <w:t xml:space="preserve"> de place</w:t>
      </w:r>
      <w:r w:rsidR="00B13903" w:rsidRPr="001774CD">
        <w:rPr>
          <w:szCs w:val="22"/>
        </w:rPr>
        <w:t xml:space="preserve"> </w:t>
      </w:r>
      <w:r w:rsidR="00563ABD" w:rsidRPr="001774CD">
        <w:rPr>
          <w:szCs w:val="22"/>
        </w:rPr>
        <w:t xml:space="preserve">initialement </w:t>
      </w:r>
      <w:r w:rsidR="00B13903" w:rsidRPr="001774CD">
        <w:rPr>
          <w:szCs w:val="22"/>
        </w:rPr>
        <w:t>a</w:t>
      </w:r>
      <w:r w:rsidR="00563ABD" w:rsidRPr="001774CD">
        <w:rPr>
          <w:szCs w:val="22"/>
        </w:rPr>
        <w:t xml:space="preserve">cceptées </w:t>
      </w:r>
      <w:r w:rsidR="00FB4788" w:rsidRPr="001774CD">
        <w:rPr>
          <w:szCs w:val="22"/>
        </w:rPr>
        <w:t xml:space="preserve">ont été </w:t>
      </w:r>
      <w:r w:rsidR="00563ABD" w:rsidRPr="001774CD">
        <w:rPr>
          <w:szCs w:val="22"/>
        </w:rPr>
        <w:t xml:space="preserve">ultérieurement </w:t>
      </w:r>
      <w:r w:rsidR="00881FDF" w:rsidRPr="001774CD">
        <w:rPr>
          <w:szCs w:val="22"/>
        </w:rPr>
        <w:t xml:space="preserve">annulées par les </w:t>
      </w:r>
      <w:r w:rsidR="00FB4788" w:rsidRPr="001774CD">
        <w:rPr>
          <w:szCs w:val="22"/>
        </w:rPr>
        <w:t>parents</w:t>
      </w:r>
      <w:r w:rsidR="00370769" w:rsidRPr="001774CD">
        <w:rPr>
          <w:szCs w:val="22"/>
        </w:rPr>
        <w:t xml:space="preserve">. </w:t>
      </w:r>
      <w:r w:rsidR="00F17925" w:rsidRPr="001774CD">
        <w:rPr>
          <w:szCs w:val="22"/>
        </w:rPr>
        <w:t>Malgré la procédure d’attribution des places dans l’école de première préférence mentionnée ci-dessus, s</w:t>
      </w:r>
      <w:r w:rsidR="003E388B" w:rsidRPr="001774CD">
        <w:rPr>
          <w:szCs w:val="22"/>
        </w:rPr>
        <w:t xml:space="preserve">ur ces </w:t>
      </w:r>
      <w:r w:rsidRPr="001774CD">
        <w:rPr>
          <w:szCs w:val="22"/>
        </w:rPr>
        <w:t>2</w:t>
      </w:r>
      <w:r w:rsidR="009967B7" w:rsidRPr="001774CD">
        <w:rPr>
          <w:szCs w:val="22"/>
        </w:rPr>
        <w:t>6</w:t>
      </w:r>
      <w:r w:rsidRPr="001774CD">
        <w:rPr>
          <w:szCs w:val="22"/>
        </w:rPr>
        <w:t>0</w:t>
      </w:r>
      <w:r w:rsidR="00F56DBB" w:rsidRPr="001774CD">
        <w:rPr>
          <w:szCs w:val="22"/>
        </w:rPr>
        <w:t xml:space="preserve"> </w:t>
      </w:r>
      <w:r w:rsidR="003E388B" w:rsidRPr="001774CD">
        <w:rPr>
          <w:szCs w:val="22"/>
        </w:rPr>
        <w:t>désistements</w:t>
      </w:r>
      <w:r w:rsidR="00B07A67" w:rsidRPr="001774CD">
        <w:rPr>
          <w:szCs w:val="22"/>
        </w:rPr>
        <w:t>,</w:t>
      </w:r>
      <w:r w:rsidR="00D96D8B" w:rsidRPr="001774CD">
        <w:rPr>
          <w:szCs w:val="22"/>
        </w:rPr>
        <w:t xml:space="preserve"> </w:t>
      </w:r>
      <w:r w:rsidR="007A0D74" w:rsidRPr="001774CD">
        <w:rPr>
          <w:szCs w:val="22"/>
        </w:rPr>
        <w:t>1</w:t>
      </w:r>
      <w:r w:rsidR="009967B7" w:rsidRPr="001774CD">
        <w:rPr>
          <w:szCs w:val="22"/>
        </w:rPr>
        <w:t>58</w:t>
      </w:r>
      <w:r w:rsidR="00DA12B9" w:rsidRPr="001774CD">
        <w:rPr>
          <w:szCs w:val="22"/>
        </w:rPr>
        <w:t xml:space="preserve"> demandes</w:t>
      </w:r>
      <w:r w:rsidR="009D74F5" w:rsidRPr="001774CD">
        <w:rPr>
          <w:szCs w:val="22"/>
        </w:rPr>
        <w:t xml:space="preserve"> </w:t>
      </w:r>
      <w:r w:rsidR="00FB4788" w:rsidRPr="001774CD">
        <w:rPr>
          <w:szCs w:val="22"/>
        </w:rPr>
        <w:t>corresponda</w:t>
      </w:r>
      <w:r w:rsidR="00D96D8B" w:rsidRPr="001774CD">
        <w:rPr>
          <w:szCs w:val="22"/>
        </w:rPr>
        <w:t>ie</w:t>
      </w:r>
      <w:r w:rsidR="00FB4788" w:rsidRPr="001774CD">
        <w:rPr>
          <w:szCs w:val="22"/>
        </w:rPr>
        <w:t>nt à une proposition dans l’école de première préférence</w:t>
      </w:r>
      <w:r w:rsidR="00CA3E6B" w:rsidRPr="001774CD">
        <w:rPr>
          <w:szCs w:val="22"/>
        </w:rPr>
        <w:t xml:space="preserve">. </w:t>
      </w:r>
      <w:r w:rsidR="005870BD" w:rsidRPr="001774CD">
        <w:rPr>
          <w:szCs w:val="22"/>
        </w:rPr>
        <w:t xml:space="preserve">Ces </w:t>
      </w:r>
      <w:r w:rsidR="007A0D74" w:rsidRPr="001774CD">
        <w:rPr>
          <w:szCs w:val="22"/>
        </w:rPr>
        <w:t>1</w:t>
      </w:r>
      <w:r w:rsidR="009967B7" w:rsidRPr="001774CD">
        <w:rPr>
          <w:szCs w:val="22"/>
        </w:rPr>
        <w:t>58</w:t>
      </w:r>
      <w:r w:rsidR="005870BD" w:rsidRPr="001774CD">
        <w:rPr>
          <w:szCs w:val="22"/>
        </w:rPr>
        <w:t xml:space="preserve"> demandes sont réparties comme suit : </w:t>
      </w:r>
      <w:r w:rsidR="009967B7" w:rsidRPr="001774CD">
        <w:rPr>
          <w:szCs w:val="22"/>
        </w:rPr>
        <w:t>58</w:t>
      </w:r>
      <w:r w:rsidR="005870BD" w:rsidRPr="001774CD">
        <w:rPr>
          <w:szCs w:val="22"/>
        </w:rPr>
        <w:t xml:space="preserve"> à Bruxelles I</w:t>
      </w:r>
      <w:r w:rsidR="00BF268A" w:rsidRPr="001774CD">
        <w:rPr>
          <w:szCs w:val="22"/>
        </w:rPr>
        <w:t xml:space="preserve"> - site Uccle</w:t>
      </w:r>
      <w:r w:rsidR="005870BD" w:rsidRPr="001774CD">
        <w:rPr>
          <w:szCs w:val="22"/>
        </w:rPr>
        <w:t xml:space="preserve">, </w:t>
      </w:r>
      <w:r w:rsidR="009967B7" w:rsidRPr="001774CD">
        <w:rPr>
          <w:szCs w:val="22"/>
        </w:rPr>
        <w:t>1</w:t>
      </w:r>
      <w:r w:rsidRPr="001774CD">
        <w:rPr>
          <w:szCs w:val="22"/>
        </w:rPr>
        <w:t>9</w:t>
      </w:r>
      <w:r w:rsidR="00BF268A" w:rsidRPr="001774CD">
        <w:rPr>
          <w:szCs w:val="22"/>
        </w:rPr>
        <w:t xml:space="preserve"> à Bruxelles I – site Berkendael, </w:t>
      </w:r>
      <w:r w:rsidR="007A0D74" w:rsidRPr="001774CD">
        <w:rPr>
          <w:szCs w:val="22"/>
        </w:rPr>
        <w:t>3</w:t>
      </w:r>
      <w:r w:rsidRPr="001774CD">
        <w:rPr>
          <w:szCs w:val="22"/>
        </w:rPr>
        <w:t>0</w:t>
      </w:r>
      <w:r w:rsidR="005870BD" w:rsidRPr="001774CD">
        <w:rPr>
          <w:szCs w:val="22"/>
        </w:rPr>
        <w:t xml:space="preserve"> à Bruxelles II, </w:t>
      </w:r>
      <w:r w:rsidRPr="001774CD">
        <w:rPr>
          <w:szCs w:val="22"/>
        </w:rPr>
        <w:t>3</w:t>
      </w:r>
      <w:r w:rsidR="009967B7" w:rsidRPr="001774CD">
        <w:rPr>
          <w:szCs w:val="22"/>
        </w:rPr>
        <w:t>3</w:t>
      </w:r>
      <w:r w:rsidR="005870BD" w:rsidRPr="001774CD">
        <w:rPr>
          <w:szCs w:val="22"/>
        </w:rPr>
        <w:t xml:space="preserve"> à Bruxelles III et </w:t>
      </w:r>
      <w:r w:rsidR="007A0D74" w:rsidRPr="001774CD">
        <w:rPr>
          <w:szCs w:val="22"/>
        </w:rPr>
        <w:t>1</w:t>
      </w:r>
      <w:r w:rsidR="009967B7" w:rsidRPr="001774CD">
        <w:rPr>
          <w:szCs w:val="22"/>
        </w:rPr>
        <w:t>8</w:t>
      </w:r>
      <w:r w:rsidR="005870BD" w:rsidRPr="001774CD">
        <w:rPr>
          <w:szCs w:val="22"/>
        </w:rPr>
        <w:t xml:space="preserve"> à Bruxelles IV</w:t>
      </w:r>
      <w:r w:rsidR="00131168" w:rsidRPr="001774CD">
        <w:rPr>
          <w:szCs w:val="22"/>
        </w:rPr>
        <w:t> ;</w:t>
      </w:r>
      <w:r w:rsidR="007048E5" w:rsidRPr="001774CD">
        <w:rPr>
          <w:szCs w:val="22"/>
        </w:rPr>
        <w:t xml:space="preserve"> </w:t>
      </w:r>
    </w:p>
    <w:p w:rsidR="007409A2" w:rsidRDefault="007409A2" w:rsidP="009E766C">
      <w:pPr>
        <w:tabs>
          <w:tab w:val="left" w:pos="284"/>
        </w:tabs>
        <w:spacing w:before="0" w:after="0" w:line="276" w:lineRule="auto"/>
        <w:ind w:left="720" w:hanging="720"/>
        <w:rPr>
          <w:szCs w:val="22"/>
        </w:rPr>
      </w:pPr>
      <w:r w:rsidRPr="005B135F">
        <w:rPr>
          <w:szCs w:val="22"/>
        </w:rPr>
        <w:tab/>
        <w:t>-</w:t>
      </w:r>
      <w:r w:rsidRPr="005B135F">
        <w:rPr>
          <w:szCs w:val="22"/>
        </w:rPr>
        <w:tab/>
      </w:r>
      <w:r w:rsidR="00D4036D">
        <w:rPr>
          <w:szCs w:val="22"/>
        </w:rPr>
        <w:t>4</w:t>
      </w:r>
      <w:r w:rsidR="009967B7">
        <w:rPr>
          <w:szCs w:val="22"/>
        </w:rPr>
        <w:t>47</w:t>
      </w:r>
      <w:r w:rsidRPr="005B135F">
        <w:rPr>
          <w:szCs w:val="22"/>
        </w:rPr>
        <w:t xml:space="preserve"> </w:t>
      </w:r>
      <w:r w:rsidR="00DD773B" w:rsidRPr="005B135F">
        <w:rPr>
          <w:szCs w:val="22"/>
        </w:rPr>
        <w:t>propositions</w:t>
      </w:r>
      <w:r w:rsidRPr="005B135F">
        <w:rPr>
          <w:szCs w:val="22"/>
        </w:rPr>
        <w:t xml:space="preserve"> de place </w:t>
      </w:r>
      <w:r w:rsidRPr="009E766C">
        <w:rPr>
          <w:szCs w:val="22"/>
        </w:rPr>
        <w:t xml:space="preserve">ont été </w:t>
      </w:r>
      <w:r w:rsidR="00900F37">
        <w:rPr>
          <w:szCs w:val="22"/>
        </w:rPr>
        <w:t xml:space="preserve">directement </w:t>
      </w:r>
      <w:r w:rsidRPr="009E766C">
        <w:rPr>
          <w:szCs w:val="22"/>
        </w:rPr>
        <w:t>refusées</w:t>
      </w:r>
      <w:r w:rsidR="009E766C">
        <w:rPr>
          <w:szCs w:val="22"/>
        </w:rPr>
        <w:t xml:space="preserve"> </w:t>
      </w:r>
      <w:r w:rsidR="00900F37">
        <w:rPr>
          <w:szCs w:val="22"/>
        </w:rPr>
        <w:t xml:space="preserve">lors de la </w:t>
      </w:r>
      <w:r w:rsidR="006E36E9">
        <w:rPr>
          <w:szCs w:val="22"/>
        </w:rPr>
        <w:t xml:space="preserve">période de validation des </w:t>
      </w:r>
      <w:r w:rsidR="009E766C">
        <w:rPr>
          <w:szCs w:val="22"/>
        </w:rPr>
        <w:t>places</w:t>
      </w:r>
      <w:r w:rsidR="0045632C">
        <w:rPr>
          <w:szCs w:val="22"/>
        </w:rPr>
        <w:t xml:space="preserve"> attribuées</w:t>
      </w:r>
      <w:r w:rsidR="009E766C">
        <w:rPr>
          <w:szCs w:val="22"/>
        </w:rPr>
        <w:t>.</w:t>
      </w:r>
    </w:p>
    <w:p w:rsidR="00BC3F6B" w:rsidRDefault="00BC3F6B" w:rsidP="00BC3F6B">
      <w:pPr>
        <w:tabs>
          <w:tab w:val="left" w:pos="284"/>
        </w:tabs>
        <w:spacing w:before="240" w:line="276" w:lineRule="auto"/>
        <w:rPr>
          <w:szCs w:val="22"/>
        </w:rPr>
      </w:pPr>
      <w:r>
        <w:rPr>
          <w:szCs w:val="22"/>
        </w:rPr>
        <w:t xml:space="preserve">A l’issue de cette campagne, il est encore difficile d’évaluer </w:t>
      </w:r>
      <w:r w:rsidR="000557B7">
        <w:rPr>
          <w:szCs w:val="22"/>
        </w:rPr>
        <w:t>la</w:t>
      </w:r>
      <w:r>
        <w:rPr>
          <w:szCs w:val="22"/>
        </w:rPr>
        <w:t xml:space="preserve"> nouvelle organisation du calendrier décrite au point 2.2</w:t>
      </w:r>
      <w:r w:rsidR="0009741D">
        <w:rPr>
          <w:szCs w:val="22"/>
        </w:rPr>
        <w:t xml:space="preserve"> de ce bilan</w:t>
      </w:r>
      <w:r>
        <w:rPr>
          <w:szCs w:val="22"/>
        </w:rPr>
        <w:t xml:space="preserve">, dans la mesure où le nombre de demandes introduites cette année est supérieur à celui de la campagne d’inscription 2018-2019 aussi </w:t>
      </w:r>
      <w:r w:rsidR="00882448">
        <w:rPr>
          <w:szCs w:val="22"/>
        </w:rPr>
        <w:t xml:space="preserve">bien </w:t>
      </w:r>
      <w:r>
        <w:rPr>
          <w:szCs w:val="22"/>
        </w:rPr>
        <w:t>lors de la 1</w:t>
      </w:r>
      <w:r w:rsidRPr="00BC3F6B">
        <w:rPr>
          <w:szCs w:val="22"/>
          <w:vertAlign w:val="superscript"/>
        </w:rPr>
        <w:t>ère</w:t>
      </w:r>
      <w:r>
        <w:rPr>
          <w:szCs w:val="22"/>
        </w:rPr>
        <w:t xml:space="preserve"> </w:t>
      </w:r>
      <w:r w:rsidR="00882448">
        <w:rPr>
          <w:szCs w:val="22"/>
        </w:rPr>
        <w:t xml:space="preserve">phase </w:t>
      </w:r>
      <w:r w:rsidR="00882448" w:rsidRPr="002913B5">
        <w:rPr>
          <w:szCs w:val="22"/>
        </w:rPr>
        <w:t xml:space="preserve">d’inscription (2 075 demandes en 2019 </w:t>
      </w:r>
      <w:r w:rsidR="00EB0E43" w:rsidRPr="002913B5">
        <w:rPr>
          <w:szCs w:val="22"/>
        </w:rPr>
        <w:t>-</w:t>
      </w:r>
      <w:r w:rsidR="00882448" w:rsidRPr="002913B5">
        <w:rPr>
          <w:szCs w:val="22"/>
        </w:rPr>
        <w:t xml:space="preserve"> 1 858 en 2018) </w:t>
      </w:r>
      <w:r w:rsidRPr="002913B5">
        <w:rPr>
          <w:szCs w:val="22"/>
        </w:rPr>
        <w:t>que de la 2</w:t>
      </w:r>
      <w:r w:rsidRPr="002913B5">
        <w:rPr>
          <w:szCs w:val="22"/>
          <w:vertAlign w:val="superscript"/>
        </w:rPr>
        <w:t>ème</w:t>
      </w:r>
      <w:r w:rsidRPr="002913B5">
        <w:rPr>
          <w:szCs w:val="22"/>
        </w:rPr>
        <w:t xml:space="preserve"> phase d’inscription</w:t>
      </w:r>
      <w:r w:rsidR="00882448" w:rsidRPr="002913B5">
        <w:rPr>
          <w:szCs w:val="22"/>
        </w:rPr>
        <w:t xml:space="preserve"> (701 demandes en 2019 </w:t>
      </w:r>
      <w:r w:rsidR="00EB0E43" w:rsidRPr="002913B5">
        <w:rPr>
          <w:szCs w:val="22"/>
        </w:rPr>
        <w:t>-</w:t>
      </w:r>
      <w:r w:rsidR="00882448" w:rsidRPr="002913B5">
        <w:rPr>
          <w:szCs w:val="22"/>
        </w:rPr>
        <w:t xml:space="preserve"> 609 en 2018).</w:t>
      </w:r>
      <w:r>
        <w:rPr>
          <w:szCs w:val="22"/>
        </w:rPr>
        <w:t xml:space="preserve"> Pour information, sur </w:t>
      </w:r>
      <w:r w:rsidR="00882448">
        <w:rPr>
          <w:szCs w:val="22"/>
        </w:rPr>
        <w:t xml:space="preserve">les </w:t>
      </w:r>
      <w:r>
        <w:rPr>
          <w:szCs w:val="22"/>
        </w:rPr>
        <w:t xml:space="preserve">701 demandes </w:t>
      </w:r>
      <w:r w:rsidR="00882448">
        <w:rPr>
          <w:szCs w:val="22"/>
        </w:rPr>
        <w:t xml:space="preserve">reçues lors </w:t>
      </w:r>
      <w:r>
        <w:rPr>
          <w:szCs w:val="22"/>
        </w:rPr>
        <w:t>de la 2</w:t>
      </w:r>
      <w:r w:rsidRPr="00643AB3">
        <w:rPr>
          <w:szCs w:val="22"/>
          <w:vertAlign w:val="superscript"/>
        </w:rPr>
        <w:t>ème</w:t>
      </w:r>
      <w:r>
        <w:rPr>
          <w:szCs w:val="22"/>
        </w:rPr>
        <w:t xml:space="preserve"> phase, 139 ont été introduites sur la base d’un cas de force majeure</w:t>
      </w:r>
      <w:r w:rsidR="00882448">
        <w:rPr>
          <w:szCs w:val="22"/>
        </w:rPr>
        <w:t> ;</w:t>
      </w:r>
      <w:r>
        <w:rPr>
          <w:szCs w:val="22"/>
        </w:rPr>
        <w:t xml:space="preserve"> 38 de ces demandes ont été qualifiées irrecevables</w:t>
      </w:r>
      <w:r w:rsidR="00882448">
        <w:rPr>
          <w:rStyle w:val="FootnoteReference"/>
          <w:szCs w:val="22"/>
        </w:rPr>
        <w:footnoteReference w:id="5"/>
      </w:r>
      <w:r>
        <w:rPr>
          <w:szCs w:val="22"/>
        </w:rPr>
        <w:t>.</w:t>
      </w:r>
    </w:p>
    <w:p w:rsidR="00FD12BF" w:rsidRDefault="00D2380E" w:rsidP="008F109B">
      <w:pPr>
        <w:tabs>
          <w:tab w:val="left" w:pos="284"/>
        </w:tabs>
        <w:spacing w:line="276" w:lineRule="auto"/>
        <w:rPr>
          <w:szCs w:val="22"/>
        </w:rPr>
      </w:pPr>
      <w:r>
        <w:rPr>
          <w:szCs w:val="22"/>
        </w:rPr>
        <w:t xml:space="preserve">S’agissant de la création de nouvelles classes satellites, </w:t>
      </w:r>
      <w:r w:rsidR="008F109B">
        <w:rPr>
          <w:szCs w:val="22"/>
        </w:rPr>
        <w:t xml:space="preserve">compte tenu du nombre de </w:t>
      </w:r>
      <w:r w:rsidR="008F109B" w:rsidRPr="009F03A7">
        <w:rPr>
          <w:szCs w:val="22"/>
        </w:rPr>
        <w:t>demandes reçues et de la situation des futurs effectifs attendus dans l’ensemble des écoles/sites,</w:t>
      </w:r>
      <w:r w:rsidR="008F109B">
        <w:rPr>
          <w:szCs w:val="22"/>
        </w:rPr>
        <w:t xml:space="preserve"> </w:t>
      </w:r>
      <w:r>
        <w:rPr>
          <w:szCs w:val="22"/>
        </w:rPr>
        <w:t xml:space="preserve">l’Autorité centrale des inscriptions a </w:t>
      </w:r>
      <w:r w:rsidR="008F109B">
        <w:rPr>
          <w:szCs w:val="22"/>
        </w:rPr>
        <w:t xml:space="preserve">décidé de n’en créer aucune à </w:t>
      </w:r>
      <w:r>
        <w:rPr>
          <w:szCs w:val="22"/>
        </w:rPr>
        <w:t xml:space="preserve">l’Ecole européenne de Bruxelles I – site Berkendael </w:t>
      </w:r>
    </w:p>
    <w:p w:rsidR="00FB4E4F" w:rsidRPr="008E5945" w:rsidRDefault="0009741D" w:rsidP="00FB4E4F">
      <w:pPr>
        <w:tabs>
          <w:tab w:val="left" w:pos="284"/>
        </w:tabs>
        <w:spacing w:line="276" w:lineRule="auto"/>
        <w:rPr>
          <w:szCs w:val="22"/>
        </w:rPr>
      </w:pPr>
      <w:r>
        <w:rPr>
          <w:szCs w:val="22"/>
        </w:rPr>
        <w:t>Par rapport à la projection de structure des écoles/sites figurant en annexe II de la Politique d’inscription, à</w:t>
      </w:r>
      <w:r w:rsidR="00FB4E4F" w:rsidRPr="008E5945">
        <w:rPr>
          <w:szCs w:val="22"/>
        </w:rPr>
        <w:t xml:space="preserve"> l’issue de la 2</w:t>
      </w:r>
      <w:r w:rsidR="00FB4E4F" w:rsidRPr="008E5945">
        <w:rPr>
          <w:szCs w:val="22"/>
          <w:vertAlign w:val="superscript"/>
        </w:rPr>
        <w:t>ème</w:t>
      </w:r>
      <w:r w:rsidR="00FB4E4F" w:rsidRPr="008E5945">
        <w:rPr>
          <w:szCs w:val="22"/>
        </w:rPr>
        <w:t xml:space="preserve"> phase d’inscription, ont été créées à l’Ecole de : </w:t>
      </w:r>
    </w:p>
    <w:p w:rsidR="00640EDA" w:rsidRDefault="00FB4E4F" w:rsidP="00F71543">
      <w:pPr>
        <w:pStyle w:val="ListParagraph"/>
        <w:numPr>
          <w:ilvl w:val="0"/>
          <w:numId w:val="23"/>
        </w:numPr>
        <w:tabs>
          <w:tab w:val="left" w:pos="284"/>
        </w:tabs>
        <w:spacing w:line="276" w:lineRule="auto"/>
        <w:rPr>
          <w:szCs w:val="22"/>
        </w:rPr>
      </w:pPr>
      <w:r w:rsidRPr="0009741D">
        <w:rPr>
          <w:i/>
          <w:szCs w:val="22"/>
        </w:rPr>
        <w:t>Bruxelles I</w:t>
      </w:r>
      <w:r w:rsidR="00640EDA" w:rsidRPr="0009741D">
        <w:rPr>
          <w:i/>
          <w:szCs w:val="22"/>
        </w:rPr>
        <w:t xml:space="preserve"> – site Uccle</w:t>
      </w:r>
      <w:r w:rsidR="00640EDA" w:rsidRPr="0009741D">
        <w:rPr>
          <w:szCs w:val="22"/>
        </w:rPr>
        <w:t xml:space="preserve"> </w:t>
      </w:r>
      <w:r w:rsidRPr="0009741D">
        <w:rPr>
          <w:szCs w:val="22"/>
        </w:rPr>
        <w:t xml:space="preserve">: une classe de </w:t>
      </w:r>
      <w:r w:rsidR="00FC2671">
        <w:rPr>
          <w:szCs w:val="22"/>
        </w:rPr>
        <w:t xml:space="preserve">maternelle ES, de </w:t>
      </w:r>
      <w:r w:rsidR="00640EDA" w:rsidRPr="0009741D">
        <w:rPr>
          <w:szCs w:val="22"/>
        </w:rPr>
        <w:t>P</w:t>
      </w:r>
      <w:r w:rsidR="0009741D" w:rsidRPr="0009741D">
        <w:rPr>
          <w:szCs w:val="22"/>
        </w:rPr>
        <w:t>3</w:t>
      </w:r>
      <w:r w:rsidR="00640EDA" w:rsidRPr="0009741D">
        <w:rPr>
          <w:szCs w:val="22"/>
        </w:rPr>
        <w:t xml:space="preserve"> PL</w:t>
      </w:r>
      <w:r w:rsidR="006C70F1">
        <w:rPr>
          <w:szCs w:val="22"/>
        </w:rPr>
        <w:t xml:space="preserve"> et de S1 FR</w:t>
      </w:r>
      <w:r w:rsidR="0009741D">
        <w:rPr>
          <w:szCs w:val="22"/>
        </w:rPr>
        <w:t xml:space="preserve">, </w:t>
      </w:r>
      <w:r w:rsidR="00051101" w:rsidRPr="0009741D">
        <w:rPr>
          <w:szCs w:val="22"/>
        </w:rPr>
        <w:t xml:space="preserve"> </w:t>
      </w:r>
    </w:p>
    <w:p w:rsidR="006C70F1" w:rsidRPr="0009741D" w:rsidRDefault="006C70F1" w:rsidP="00F71543">
      <w:pPr>
        <w:pStyle w:val="ListParagraph"/>
        <w:numPr>
          <w:ilvl w:val="0"/>
          <w:numId w:val="23"/>
        </w:numPr>
        <w:tabs>
          <w:tab w:val="left" w:pos="284"/>
        </w:tabs>
        <w:spacing w:line="276" w:lineRule="auto"/>
        <w:rPr>
          <w:szCs w:val="22"/>
        </w:rPr>
      </w:pPr>
      <w:r>
        <w:rPr>
          <w:i/>
          <w:szCs w:val="22"/>
        </w:rPr>
        <w:t xml:space="preserve">Bruxelles I </w:t>
      </w:r>
      <w:r w:rsidRPr="006C70F1">
        <w:rPr>
          <w:i/>
          <w:szCs w:val="22"/>
        </w:rPr>
        <w:t>– site Berkendael</w:t>
      </w:r>
      <w:r>
        <w:rPr>
          <w:szCs w:val="22"/>
        </w:rPr>
        <w:t> : une classe de maternelle FR,</w:t>
      </w:r>
    </w:p>
    <w:p w:rsidR="00FB4E4F" w:rsidRPr="0009741D" w:rsidRDefault="00640EDA" w:rsidP="00804A0B">
      <w:pPr>
        <w:pStyle w:val="ListParagraph"/>
        <w:numPr>
          <w:ilvl w:val="0"/>
          <w:numId w:val="23"/>
        </w:numPr>
        <w:tabs>
          <w:tab w:val="left" w:pos="284"/>
        </w:tabs>
        <w:spacing w:before="240" w:after="240" w:line="276" w:lineRule="auto"/>
        <w:rPr>
          <w:szCs w:val="22"/>
        </w:rPr>
      </w:pPr>
      <w:r w:rsidRPr="0009741D">
        <w:rPr>
          <w:i/>
          <w:szCs w:val="22"/>
        </w:rPr>
        <w:t>Bruxelles II</w:t>
      </w:r>
      <w:r w:rsidRPr="0009741D">
        <w:rPr>
          <w:szCs w:val="22"/>
        </w:rPr>
        <w:t> : une classe de maternelle PT et SV</w:t>
      </w:r>
      <w:r w:rsidR="00F86ACE">
        <w:rPr>
          <w:szCs w:val="22"/>
        </w:rPr>
        <w:t xml:space="preserve">, </w:t>
      </w:r>
      <w:r w:rsidRPr="0009741D">
        <w:rPr>
          <w:szCs w:val="22"/>
        </w:rPr>
        <w:t>une classe de P</w:t>
      </w:r>
      <w:r w:rsidR="0009741D" w:rsidRPr="0009741D">
        <w:rPr>
          <w:szCs w:val="22"/>
        </w:rPr>
        <w:t>3</w:t>
      </w:r>
      <w:r w:rsidRPr="0009741D">
        <w:rPr>
          <w:szCs w:val="22"/>
        </w:rPr>
        <w:t xml:space="preserve"> </w:t>
      </w:r>
      <w:r w:rsidR="0009741D" w:rsidRPr="0009741D">
        <w:rPr>
          <w:szCs w:val="22"/>
        </w:rPr>
        <w:t>PT</w:t>
      </w:r>
      <w:r w:rsidR="006C70F1">
        <w:rPr>
          <w:szCs w:val="22"/>
        </w:rPr>
        <w:t xml:space="preserve"> </w:t>
      </w:r>
      <w:r w:rsidR="00F86ACE">
        <w:rPr>
          <w:szCs w:val="22"/>
        </w:rPr>
        <w:t xml:space="preserve">ainsi qu’une classe </w:t>
      </w:r>
      <w:r w:rsidR="006C70F1">
        <w:rPr>
          <w:szCs w:val="22"/>
        </w:rPr>
        <w:t xml:space="preserve">de </w:t>
      </w:r>
      <w:r w:rsidR="00173C7A">
        <w:rPr>
          <w:szCs w:val="22"/>
        </w:rPr>
        <w:t xml:space="preserve">P5 et </w:t>
      </w:r>
      <w:r w:rsidR="00F86ACE">
        <w:rPr>
          <w:szCs w:val="22"/>
        </w:rPr>
        <w:t xml:space="preserve">de </w:t>
      </w:r>
      <w:r w:rsidR="006C70F1">
        <w:rPr>
          <w:szCs w:val="22"/>
        </w:rPr>
        <w:t>S2 FR</w:t>
      </w:r>
      <w:r w:rsidRPr="0009741D">
        <w:rPr>
          <w:szCs w:val="22"/>
        </w:rPr>
        <w:t xml:space="preserve">, </w:t>
      </w:r>
      <w:r w:rsidR="00FB4E4F" w:rsidRPr="0009741D">
        <w:rPr>
          <w:szCs w:val="22"/>
        </w:rPr>
        <w:t xml:space="preserve"> </w:t>
      </w:r>
    </w:p>
    <w:p w:rsidR="0009741D" w:rsidRDefault="00FB4E4F" w:rsidP="0009741D">
      <w:pPr>
        <w:pStyle w:val="ListParagraph"/>
        <w:numPr>
          <w:ilvl w:val="0"/>
          <w:numId w:val="23"/>
        </w:numPr>
        <w:tabs>
          <w:tab w:val="left" w:pos="284"/>
        </w:tabs>
        <w:spacing w:before="240" w:line="276" w:lineRule="auto"/>
        <w:rPr>
          <w:szCs w:val="22"/>
        </w:rPr>
      </w:pPr>
      <w:r w:rsidRPr="0009741D">
        <w:rPr>
          <w:i/>
          <w:szCs w:val="22"/>
        </w:rPr>
        <w:t>Bruxelles III</w:t>
      </w:r>
      <w:r w:rsidRPr="0009741D">
        <w:rPr>
          <w:szCs w:val="22"/>
        </w:rPr>
        <w:t xml:space="preserve"> : une classe de </w:t>
      </w:r>
      <w:r w:rsidR="00AD53AA" w:rsidRPr="0009741D">
        <w:rPr>
          <w:szCs w:val="22"/>
        </w:rPr>
        <w:t>m</w:t>
      </w:r>
      <w:r w:rsidRPr="0009741D">
        <w:rPr>
          <w:szCs w:val="22"/>
        </w:rPr>
        <w:t xml:space="preserve">aternelle </w:t>
      </w:r>
      <w:r w:rsidR="00640EDA" w:rsidRPr="0009741D">
        <w:rPr>
          <w:szCs w:val="22"/>
        </w:rPr>
        <w:t>CS</w:t>
      </w:r>
      <w:r w:rsidR="00173C7A">
        <w:rPr>
          <w:szCs w:val="22"/>
        </w:rPr>
        <w:t xml:space="preserve"> et EL</w:t>
      </w:r>
      <w:r w:rsidR="00F86ACE">
        <w:rPr>
          <w:szCs w:val="22"/>
        </w:rPr>
        <w:t xml:space="preserve"> ainsi qu’une classe</w:t>
      </w:r>
      <w:r w:rsidR="0009741D" w:rsidRPr="0009741D">
        <w:rPr>
          <w:szCs w:val="22"/>
        </w:rPr>
        <w:t xml:space="preserve"> de P1 </w:t>
      </w:r>
      <w:r w:rsidR="00640EDA" w:rsidRPr="0009741D">
        <w:rPr>
          <w:szCs w:val="22"/>
        </w:rPr>
        <w:t>EL</w:t>
      </w:r>
      <w:r w:rsidR="0009741D" w:rsidRPr="0009741D">
        <w:rPr>
          <w:szCs w:val="22"/>
        </w:rPr>
        <w:t xml:space="preserve"> (en raison d’une demande de groupement de fratrie dans un niveau supérieur n’existant pas à l’Ecole de Bruxelles I – site Berkendael) et de P4 ES</w:t>
      </w:r>
      <w:r w:rsidR="00747170" w:rsidRPr="0009741D">
        <w:rPr>
          <w:szCs w:val="22"/>
        </w:rPr>
        <w:t xml:space="preserve">. </w:t>
      </w:r>
    </w:p>
    <w:p w:rsidR="006C70F1" w:rsidRPr="0009741D" w:rsidRDefault="006C70F1" w:rsidP="0009741D">
      <w:pPr>
        <w:pStyle w:val="ListParagraph"/>
        <w:numPr>
          <w:ilvl w:val="0"/>
          <w:numId w:val="23"/>
        </w:numPr>
        <w:tabs>
          <w:tab w:val="left" w:pos="284"/>
        </w:tabs>
        <w:spacing w:before="240" w:line="276" w:lineRule="auto"/>
        <w:rPr>
          <w:szCs w:val="22"/>
        </w:rPr>
      </w:pPr>
      <w:r>
        <w:rPr>
          <w:i/>
          <w:szCs w:val="22"/>
        </w:rPr>
        <w:t>Bruxelles IV </w:t>
      </w:r>
      <w:r w:rsidRPr="006C70F1">
        <w:rPr>
          <w:szCs w:val="22"/>
        </w:rPr>
        <w:t>:</w:t>
      </w:r>
      <w:r>
        <w:rPr>
          <w:szCs w:val="22"/>
        </w:rPr>
        <w:t xml:space="preserve"> une classe de </w:t>
      </w:r>
      <w:r w:rsidR="00173C7A">
        <w:rPr>
          <w:szCs w:val="22"/>
        </w:rPr>
        <w:t>P5 EN</w:t>
      </w:r>
      <w:r w:rsidR="00F86ACE">
        <w:rPr>
          <w:szCs w:val="22"/>
        </w:rPr>
        <w:t xml:space="preserve"> ainsi qu’une classe</w:t>
      </w:r>
      <w:r w:rsidR="00173C7A">
        <w:rPr>
          <w:szCs w:val="22"/>
        </w:rPr>
        <w:t xml:space="preserve"> de </w:t>
      </w:r>
      <w:r>
        <w:rPr>
          <w:szCs w:val="22"/>
        </w:rPr>
        <w:t>P4, S1 et S2 FR</w:t>
      </w:r>
      <w:r w:rsidR="00173C7A">
        <w:rPr>
          <w:szCs w:val="22"/>
        </w:rPr>
        <w:t xml:space="preserve"> </w:t>
      </w:r>
      <w:r w:rsidR="00F86ACE">
        <w:rPr>
          <w:szCs w:val="22"/>
        </w:rPr>
        <w:t xml:space="preserve">et de </w:t>
      </w:r>
      <w:r w:rsidR="00173C7A">
        <w:rPr>
          <w:szCs w:val="22"/>
        </w:rPr>
        <w:t>S2 NL</w:t>
      </w:r>
      <w:r w:rsidR="00276C6B">
        <w:rPr>
          <w:szCs w:val="22"/>
        </w:rPr>
        <w:t>.</w:t>
      </w:r>
    </w:p>
    <w:p w:rsidR="00E46CF1" w:rsidRDefault="007746C1" w:rsidP="00E80562">
      <w:pPr>
        <w:tabs>
          <w:tab w:val="left" w:pos="284"/>
        </w:tabs>
        <w:spacing w:before="360" w:line="276" w:lineRule="auto"/>
        <w:rPr>
          <w:szCs w:val="22"/>
        </w:rPr>
      </w:pPr>
      <w:r>
        <w:rPr>
          <w:szCs w:val="22"/>
        </w:rPr>
        <w:t>L’ouverture de ces classes supplémentaires s’explique par la con</w:t>
      </w:r>
      <w:r w:rsidR="009F2CF3">
        <w:rPr>
          <w:szCs w:val="22"/>
        </w:rPr>
        <w:t>jonction de plusieurs facteurs, dont le nombre d’élèves inscrits dans une école déterminée en raison du regroupement de fratrie ou le nombre de redoublements en fin d’année.</w:t>
      </w:r>
    </w:p>
    <w:p w:rsidR="00E80562" w:rsidRPr="00E46CF1" w:rsidRDefault="00BC51CE" w:rsidP="00E80562">
      <w:pPr>
        <w:tabs>
          <w:tab w:val="left" w:pos="284"/>
        </w:tabs>
        <w:spacing w:before="360" w:line="276" w:lineRule="auto"/>
        <w:rPr>
          <w:szCs w:val="22"/>
        </w:rPr>
      </w:pPr>
      <w:r>
        <w:rPr>
          <w:szCs w:val="22"/>
        </w:rPr>
        <w:t xml:space="preserve">Quant aux </w:t>
      </w:r>
      <w:r w:rsidR="003D3B41" w:rsidRPr="00734D15">
        <w:rPr>
          <w:b/>
          <w:szCs w:val="22"/>
        </w:rPr>
        <w:t>sections linguistiques récemment créées</w:t>
      </w:r>
      <w:r w:rsidR="00485097">
        <w:rPr>
          <w:b/>
          <w:szCs w:val="22"/>
        </w:rPr>
        <w:t xml:space="preserve"> à l’Ecole européenne de Bruxelles I – site Berkendael</w:t>
      </w:r>
      <w:r w:rsidR="003D3B41">
        <w:rPr>
          <w:szCs w:val="22"/>
        </w:rPr>
        <w:t xml:space="preserve">, </w:t>
      </w:r>
      <w:r w:rsidR="00485097">
        <w:rPr>
          <w:szCs w:val="22"/>
        </w:rPr>
        <w:t>leur développement se poursuit</w:t>
      </w:r>
      <w:r w:rsidR="00E80562">
        <w:rPr>
          <w:szCs w:val="22"/>
        </w:rPr>
        <w:t>.</w:t>
      </w:r>
      <w:r w:rsidR="00F50C51">
        <w:rPr>
          <w:szCs w:val="22"/>
        </w:rPr>
        <w:t xml:space="preserve"> </w:t>
      </w:r>
      <w:r w:rsidR="00E80562">
        <w:rPr>
          <w:szCs w:val="22"/>
        </w:rPr>
        <w:t>A noter que l</w:t>
      </w:r>
      <w:r w:rsidR="00F50C51" w:rsidRPr="00C362BB">
        <w:rPr>
          <w:szCs w:val="22"/>
        </w:rPr>
        <w:t xml:space="preserve">e nombre de </w:t>
      </w:r>
      <w:r w:rsidR="00CD0F5C" w:rsidRPr="00C362BB">
        <w:rPr>
          <w:szCs w:val="22"/>
        </w:rPr>
        <w:t xml:space="preserve">demandes </w:t>
      </w:r>
      <w:r w:rsidR="00C362BB">
        <w:rPr>
          <w:szCs w:val="22"/>
        </w:rPr>
        <w:t xml:space="preserve">d’inscription </w:t>
      </w:r>
      <w:r w:rsidR="00EB0E43" w:rsidRPr="002913B5">
        <w:rPr>
          <w:szCs w:val="22"/>
        </w:rPr>
        <w:t>introduites</w:t>
      </w:r>
      <w:r w:rsidR="00EB0E43">
        <w:rPr>
          <w:szCs w:val="22"/>
        </w:rPr>
        <w:t xml:space="preserve"> </w:t>
      </w:r>
      <w:r w:rsidR="00F50C51" w:rsidRPr="00C362BB">
        <w:rPr>
          <w:szCs w:val="22"/>
        </w:rPr>
        <w:t xml:space="preserve">dans </w:t>
      </w:r>
      <w:r w:rsidR="00E80562">
        <w:rPr>
          <w:szCs w:val="22"/>
        </w:rPr>
        <w:t>les s</w:t>
      </w:r>
      <w:r w:rsidR="00F50C51" w:rsidRPr="00C362BB">
        <w:rPr>
          <w:szCs w:val="22"/>
        </w:rPr>
        <w:t xml:space="preserve">ections linguistiques </w:t>
      </w:r>
      <w:r w:rsidR="00E80562">
        <w:rPr>
          <w:szCs w:val="22"/>
        </w:rPr>
        <w:t xml:space="preserve">LV et SK </w:t>
      </w:r>
      <w:r w:rsidR="00C362BB">
        <w:rPr>
          <w:szCs w:val="22"/>
        </w:rPr>
        <w:t xml:space="preserve">à l’Ecole de Bruxelles I – site Berkendael </w:t>
      </w:r>
      <w:r w:rsidR="00F50C51" w:rsidRPr="00C362BB">
        <w:rPr>
          <w:szCs w:val="22"/>
        </w:rPr>
        <w:t xml:space="preserve">est </w:t>
      </w:r>
      <w:r w:rsidR="00C362BB" w:rsidRPr="00C362BB">
        <w:rPr>
          <w:szCs w:val="22"/>
        </w:rPr>
        <w:t xml:space="preserve">à présent </w:t>
      </w:r>
      <w:r w:rsidR="00F50C51" w:rsidRPr="00C362BB">
        <w:rPr>
          <w:szCs w:val="22"/>
        </w:rPr>
        <w:t xml:space="preserve">supérieur au nombre de demandes </w:t>
      </w:r>
      <w:r w:rsidR="00CD0F5C" w:rsidRPr="00C362BB">
        <w:rPr>
          <w:szCs w:val="22"/>
        </w:rPr>
        <w:t>d’élèves ayant un frère et/ou une sœur fréquentant</w:t>
      </w:r>
      <w:r w:rsidRPr="00C362BB">
        <w:rPr>
          <w:szCs w:val="22"/>
        </w:rPr>
        <w:t xml:space="preserve"> pendant l’année scolaire 201</w:t>
      </w:r>
      <w:r w:rsidR="00C362BB">
        <w:rPr>
          <w:szCs w:val="22"/>
        </w:rPr>
        <w:t>8</w:t>
      </w:r>
      <w:r w:rsidR="00485097" w:rsidRPr="00C362BB">
        <w:rPr>
          <w:szCs w:val="22"/>
        </w:rPr>
        <w:t>-201</w:t>
      </w:r>
      <w:r w:rsidR="00C362BB">
        <w:rPr>
          <w:szCs w:val="22"/>
        </w:rPr>
        <w:t>9</w:t>
      </w:r>
      <w:r w:rsidRPr="00C362BB">
        <w:rPr>
          <w:szCs w:val="22"/>
        </w:rPr>
        <w:t xml:space="preserve"> </w:t>
      </w:r>
      <w:r w:rsidR="00CD0F5C" w:rsidRPr="00C362BB">
        <w:rPr>
          <w:szCs w:val="22"/>
        </w:rPr>
        <w:t>l’</w:t>
      </w:r>
      <w:r w:rsidR="000B5340" w:rsidRPr="00C362BB">
        <w:rPr>
          <w:szCs w:val="22"/>
        </w:rPr>
        <w:t>E</w:t>
      </w:r>
      <w:r w:rsidR="00CD0F5C" w:rsidRPr="00C362BB">
        <w:rPr>
          <w:szCs w:val="22"/>
        </w:rPr>
        <w:t>cole de Bruxelles II</w:t>
      </w:r>
      <w:r w:rsidR="00C362BB">
        <w:rPr>
          <w:szCs w:val="22"/>
        </w:rPr>
        <w:t xml:space="preserve"> ou de Bruxelles III</w:t>
      </w:r>
      <w:r w:rsidR="005F5B53" w:rsidRPr="00C362BB">
        <w:rPr>
          <w:szCs w:val="22"/>
        </w:rPr>
        <w:t>,</w:t>
      </w:r>
      <w:r w:rsidR="00CD0F5C" w:rsidRPr="00C362BB">
        <w:rPr>
          <w:szCs w:val="22"/>
        </w:rPr>
        <w:t xml:space="preserve"> </w:t>
      </w:r>
      <w:r w:rsidR="00C362BB">
        <w:rPr>
          <w:szCs w:val="22"/>
        </w:rPr>
        <w:t>qui sont accueillies dans ces écoles</w:t>
      </w:r>
      <w:r w:rsidR="00CD0F5C" w:rsidRPr="00C362BB">
        <w:rPr>
          <w:szCs w:val="22"/>
        </w:rPr>
        <w:t xml:space="preserve"> sous le bénéfice du regroupement de fratrie</w:t>
      </w:r>
      <w:r w:rsidRPr="00C362BB">
        <w:rPr>
          <w:szCs w:val="22"/>
        </w:rPr>
        <w:t xml:space="preserve"> en tant qu’élèves SWALS</w:t>
      </w:r>
      <w:r w:rsidR="00CD0F5C" w:rsidRPr="00C362BB">
        <w:rPr>
          <w:color w:val="FF0000"/>
          <w:szCs w:val="22"/>
        </w:rPr>
        <w:t>.</w:t>
      </w:r>
      <w:r w:rsidR="00BC0E12" w:rsidRPr="00C362BB">
        <w:rPr>
          <w:color w:val="FF0000"/>
          <w:szCs w:val="22"/>
        </w:rPr>
        <w:t xml:space="preserve"> </w:t>
      </w:r>
    </w:p>
    <w:p w:rsidR="00FD3C19" w:rsidRDefault="00F50C51" w:rsidP="00BC51CE">
      <w:pPr>
        <w:tabs>
          <w:tab w:val="left" w:pos="284"/>
        </w:tabs>
        <w:spacing w:line="276" w:lineRule="auto"/>
        <w:rPr>
          <w:szCs w:val="22"/>
        </w:rPr>
      </w:pPr>
      <w:r>
        <w:rPr>
          <w:szCs w:val="22"/>
        </w:rPr>
        <w:lastRenderedPageBreak/>
        <w:t xml:space="preserve">Sur </w:t>
      </w:r>
      <w:r w:rsidR="00FD3C19">
        <w:rPr>
          <w:szCs w:val="22"/>
        </w:rPr>
        <w:t xml:space="preserve">les </w:t>
      </w:r>
      <w:r>
        <w:rPr>
          <w:szCs w:val="22"/>
        </w:rPr>
        <w:t>47</w:t>
      </w:r>
      <w:r w:rsidR="00FD3C19">
        <w:rPr>
          <w:szCs w:val="22"/>
        </w:rPr>
        <w:t xml:space="preserve"> </w:t>
      </w:r>
      <w:r w:rsidR="00FD3C19" w:rsidRPr="00FD3C19">
        <w:rPr>
          <w:b/>
          <w:szCs w:val="22"/>
        </w:rPr>
        <w:t>transferts obligatoires</w:t>
      </w:r>
      <w:r w:rsidR="00FD3C19">
        <w:rPr>
          <w:szCs w:val="22"/>
        </w:rPr>
        <w:t xml:space="preserve"> d’élèves scolarisés en P5 FR à l’Ecole européenne de Bruxelles I – site Berkendael, tous ont </w:t>
      </w:r>
      <w:r>
        <w:rPr>
          <w:szCs w:val="22"/>
        </w:rPr>
        <w:t xml:space="preserve">encore </w:t>
      </w:r>
      <w:r w:rsidR="00FD3C19">
        <w:rPr>
          <w:szCs w:val="22"/>
        </w:rPr>
        <w:t>pu être acceptés dans l’école de 1</w:t>
      </w:r>
      <w:r w:rsidR="00FD3C19" w:rsidRPr="00FD3C19">
        <w:rPr>
          <w:szCs w:val="22"/>
          <w:vertAlign w:val="superscript"/>
        </w:rPr>
        <w:t>ère</w:t>
      </w:r>
      <w:r w:rsidR="00FD3C19">
        <w:rPr>
          <w:szCs w:val="22"/>
        </w:rPr>
        <w:t xml:space="preserve"> préférence : </w:t>
      </w:r>
      <w:r>
        <w:rPr>
          <w:szCs w:val="22"/>
        </w:rPr>
        <w:t>23</w:t>
      </w:r>
      <w:r w:rsidR="00FD3C19">
        <w:rPr>
          <w:szCs w:val="22"/>
        </w:rPr>
        <w:t xml:space="preserve"> à l’Ecole de Bruxelles I – site Uccle, </w:t>
      </w:r>
      <w:r>
        <w:rPr>
          <w:szCs w:val="22"/>
        </w:rPr>
        <w:t>8</w:t>
      </w:r>
      <w:r w:rsidR="00FF3A69">
        <w:rPr>
          <w:szCs w:val="22"/>
        </w:rPr>
        <w:t xml:space="preserve"> à l’Ecole de Bruxelles II,</w:t>
      </w:r>
      <w:r w:rsidR="00FD3C19">
        <w:rPr>
          <w:szCs w:val="22"/>
        </w:rPr>
        <w:t xml:space="preserve"> </w:t>
      </w:r>
      <w:r>
        <w:rPr>
          <w:szCs w:val="22"/>
        </w:rPr>
        <w:t>14</w:t>
      </w:r>
      <w:r w:rsidR="00FD3C19">
        <w:rPr>
          <w:szCs w:val="22"/>
        </w:rPr>
        <w:t xml:space="preserve"> à l’Ecole de Bruxelles III</w:t>
      </w:r>
      <w:r>
        <w:rPr>
          <w:szCs w:val="22"/>
        </w:rPr>
        <w:t xml:space="preserve"> et 2 à l’Ecole de Bruxelles IV</w:t>
      </w:r>
      <w:r w:rsidR="00FD3C19">
        <w:rPr>
          <w:szCs w:val="22"/>
        </w:rPr>
        <w:t xml:space="preserve">. Parmi ces demandes de transfert, </w:t>
      </w:r>
      <w:r>
        <w:rPr>
          <w:szCs w:val="22"/>
        </w:rPr>
        <w:t xml:space="preserve">6 </w:t>
      </w:r>
      <w:r w:rsidR="00FD3C19">
        <w:rPr>
          <w:szCs w:val="22"/>
        </w:rPr>
        <w:t xml:space="preserve">d’entre elles </w:t>
      </w:r>
      <w:r>
        <w:rPr>
          <w:szCs w:val="22"/>
        </w:rPr>
        <w:t>ont</w:t>
      </w:r>
      <w:r w:rsidR="00FD3C19">
        <w:rPr>
          <w:szCs w:val="22"/>
        </w:rPr>
        <w:t xml:space="preserve"> été introduite</w:t>
      </w:r>
      <w:r>
        <w:rPr>
          <w:szCs w:val="22"/>
        </w:rPr>
        <w:t>s</w:t>
      </w:r>
      <w:r w:rsidR="00FD3C19">
        <w:rPr>
          <w:szCs w:val="22"/>
        </w:rPr>
        <w:t xml:space="preserve"> conjointement avec une demande de transfert d’un membre de la fratrie </w:t>
      </w:r>
      <w:r w:rsidR="00FD3C19" w:rsidRPr="00991EC1">
        <w:rPr>
          <w:szCs w:val="22"/>
        </w:rPr>
        <w:t xml:space="preserve">fréquentant </w:t>
      </w:r>
      <w:r w:rsidR="009F03A7">
        <w:rPr>
          <w:szCs w:val="22"/>
        </w:rPr>
        <w:t>un a</w:t>
      </w:r>
      <w:r>
        <w:rPr>
          <w:szCs w:val="22"/>
        </w:rPr>
        <w:t>utre</w:t>
      </w:r>
      <w:r w:rsidR="009F03A7">
        <w:rPr>
          <w:szCs w:val="22"/>
        </w:rPr>
        <w:t xml:space="preserve"> niveau</w:t>
      </w:r>
      <w:r>
        <w:rPr>
          <w:szCs w:val="22"/>
        </w:rPr>
        <w:t xml:space="preserve"> de la section </w:t>
      </w:r>
      <w:r w:rsidR="00991EC1">
        <w:rPr>
          <w:szCs w:val="22"/>
        </w:rPr>
        <w:t>FR</w:t>
      </w:r>
      <w:r>
        <w:rPr>
          <w:szCs w:val="22"/>
        </w:rPr>
        <w:t>. En outre, une de ces demandes de transfert obligatoire a</w:t>
      </w:r>
      <w:r w:rsidR="00FD3C19">
        <w:rPr>
          <w:szCs w:val="22"/>
        </w:rPr>
        <w:t xml:space="preserve"> été introduite avec une nouvelle demande d’inscription.</w:t>
      </w:r>
    </w:p>
    <w:p w:rsidR="001564E5" w:rsidRPr="00991EC1" w:rsidRDefault="00FD3C19" w:rsidP="00532D14">
      <w:pPr>
        <w:tabs>
          <w:tab w:val="left" w:pos="284"/>
        </w:tabs>
        <w:spacing w:line="276" w:lineRule="auto"/>
        <w:rPr>
          <w:szCs w:val="22"/>
        </w:rPr>
      </w:pPr>
      <w:r w:rsidRPr="00991EC1">
        <w:rPr>
          <w:szCs w:val="22"/>
        </w:rPr>
        <w:t xml:space="preserve">Quant aux </w:t>
      </w:r>
      <w:r w:rsidR="000B7439" w:rsidRPr="00991EC1">
        <w:rPr>
          <w:b/>
          <w:szCs w:val="22"/>
        </w:rPr>
        <w:t>transfert</w:t>
      </w:r>
      <w:r w:rsidR="00E4033B" w:rsidRPr="00991EC1">
        <w:rPr>
          <w:b/>
          <w:szCs w:val="22"/>
        </w:rPr>
        <w:t>s</w:t>
      </w:r>
      <w:r w:rsidR="00522C25" w:rsidRPr="00991EC1">
        <w:rPr>
          <w:szCs w:val="22"/>
        </w:rPr>
        <w:t xml:space="preserve"> </w:t>
      </w:r>
      <w:r w:rsidR="00522C25" w:rsidRPr="00991EC1">
        <w:rPr>
          <w:b/>
          <w:szCs w:val="22"/>
        </w:rPr>
        <w:t>autorisés</w:t>
      </w:r>
      <w:r w:rsidR="00522C25" w:rsidRPr="00991EC1">
        <w:rPr>
          <w:szCs w:val="22"/>
        </w:rPr>
        <w:t xml:space="preserve">, ont été acceptées </w:t>
      </w:r>
      <w:r w:rsidR="001564E5" w:rsidRPr="00991EC1">
        <w:rPr>
          <w:szCs w:val="22"/>
        </w:rPr>
        <w:t>:</w:t>
      </w:r>
    </w:p>
    <w:p w:rsidR="007125DB" w:rsidRPr="00F50C51" w:rsidRDefault="00F50C51" w:rsidP="009F03A7">
      <w:pPr>
        <w:pStyle w:val="ListParagraph"/>
        <w:numPr>
          <w:ilvl w:val="0"/>
          <w:numId w:val="23"/>
        </w:numPr>
        <w:tabs>
          <w:tab w:val="left" w:pos="284"/>
        </w:tabs>
        <w:spacing w:line="276" w:lineRule="auto"/>
        <w:rPr>
          <w:szCs w:val="22"/>
        </w:rPr>
      </w:pPr>
      <w:r>
        <w:rPr>
          <w:szCs w:val="22"/>
        </w:rPr>
        <w:t>6</w:t>
      </w:r>
      <w:r w:rsidR="00522C25" w:rsidRPr="00F50C51">
        <w:rPr>
          <w:szCs w:val="22"/>
        </w:rPr>
        <w:t xml:space="preserve"> demandes d’élèves scolaris</w:t>
      </w:r>
      <w:r w:rsidR="00F462F0" w:rsidRPr="00F50C51">
        <w:rPr>
          <w:szCs w:val="22"/>
        </w:rPr>
        <w:t>és pendant l’année scolaire 201</w:t>
      </w:r>
      <w:r>
        <w:rPr>
          <w:szCs w:val="22"/>
        </w:rPr>
        <w:t>8</w:t>
      </w:r>
      <w:r w:rsidR="00F462F0" w:rsidRPr="00F50C51">
        <w:rPr>
          <w:szCs w:val="22"/>
        </w:rPr>
        <w:t>-201</w:t>
      </w:r>
      <w:r>
        <w:rPr>
          <w:szCs w:val="22"/>
        </w:rPr>
        <w:t>9</w:t>
      </w:r>
      <w:r w:rsidR="00522C25" w:rsidRPr="00F50C51">
        <w:rPr>
          <w:szCs w:val="22"/>
        </w:rPr>
        <w:t xml:space="preserve"> dans un</w:t>
      </w:r>
      <w:r w:rsidR="00A06750" w:rsidRPr="00F50C51">
        <w:rPr>
          <w:szCs w:val="22"/>
        </w:rPr>
        <w:t>(e)</w:t>
      </w:r>
      <w:r w:rsidR="00522C25" w:rsidRPr="00F50C51">
        <w:rPr>
          <w:szCs w:val="22"/>
        </w:rPr>
        <w:t xml:space="preserve"> autre école/site qu’un de leurs frères et sœurs, en vue de permettre la </w:t>
      </w:r>
      <w:r w:rsidR="007125DB" w:rsidRPr="00F50C51">
        <w:rPr>
          <w:szCs w:val="22"/>
        </w:rPr>
        <w:t>réunion de</w:t>
      </w:r>
      <w:r w:rsidR="00522C25" w:rsidRPr="00F50C51">
        <w:rPr>
          <w:szCs w:val="22"/>
        </w:rPr>
        <w:t xml:space="preserve"> la f</w:t>
      </w:r>
      <w:r w:rsidR="007125DB" w:rsidRPr="00F50C51">
        <w:rPr>
          <w:szCs w:val="22"/>
        </w:rPr>
        <w:t>ratrie</w:t>
      </w:r>
      <w:r w:rsidR="00CC6D7C" w:rsidRPr="00F50C51">
        <w:rPr>
          <w:szCs w:val="22"/>
        </w:rPr>
        <w:t> ;</w:t>
      </w:r>
    </w:p>
    <w:p w:rsidR="00FB54C8" w:rsidRPr="00991EC1" w:rsidRDefault="00F50C51" w:rsidP="00F71543">
      <w:pPr>
        <w:pStyle w:val="ListParagraph"/>
        <w:numPr>
          <w:ilvl w:val="0"/>
          <w:numId w:val="23"/>
        </w:numPr>
        <w:tabs>
          <w:tab w:val="left" w:pos="284"/>
        </w:tabs>
        <w:spacing w:line="276" w:lineRule="auto"/>
        <w:rPr>
          <w:szCs w:val="22"/>
        </w:rPr>
      </w:pPr>
      <w:r>
        <w:rPr>
          <w:szCs w:val="22"/>
        </w:rPr>
        <w:t>1 demande</w:t>
      </w:r>
      <w:r w:rsidR="00FB54C8" w:rsidRPr="00991EC1">
        <w:rPr>
          <w:szCs w:val="22"/>
        </w:rPr>
        <w:t xml:space="preserve"> </w:t>
      </w:r>
      <w:r w:rsidR="00AF6758" w:rsidRPr="00991EC1">
        <w:rPr>
          <w:szCs w:val="22"/>
        </w:rPr>
        <w:t xml:space="preserve">de transfert </w:t>
      </w:r>
      <w:r w:rsidR="00AF6758" w:rsidRPr="009F03A7">
        <w:rPr>
          <w:szCs w:val="22"/>
        </w:rPr>
        <w:t>d’</w:t>
      </w:r>
      <w:r w:rsidR="009F03A7">
        <w:rPr>
          <w:szCs w:val="22"/>
        </w:rPr>
        <w:t xml:space="preserve">un </w:t>
      </w:r>
      <w:r w:rsidR="00AF6758" w:rsidRPr="009F03A7">
        <w:rPr>
          <w:szCs w:val="22"/>
        </w:rPr>
        <w:t>élève</w:t>
      </w:r>
      <w:r w:rsidR="00AF6758" w:rsidRPr="00991EC1">
        <w:rPr>
          <w:szCs w:val="22"/>
        </w:rPr>
        <w:t xml:space="preserve"> </w:t>
      </w:r>
      <w:r w:rsidR="00485097" w:rsidRPr="00991EC1">
        <w:rPr>
          <w:szCs w:val="22"/>
        </w:rPr>
        <w:t>vers l’Ecole européenne de Bruxelles I – site Berkendael</w:t>
      </w:r>
      <w:r w:rsidR="00AF6758" w:rsidRPr="00991EC1">
        <w:rPr>
          <w:szCs w:val="22"/>
        </w:rPr>
        <w:t>.</w:t>
      </w:r>
    </w:p>
    <w:p w:rsidR="00713E25" w:rsidRDefault="00D67FFB" w:rsidP="00027AA4">
      <w:pPr>
        <w:tabs>
          <w:tab w:val="left" w:pos="284"/>
        </w:tabs>
        <w:spacing w:before="240" w:after="0" w:line="276" w:lineRule="auto"/>
        <w:rPr>
          <w:szCs w:val="22"/>
        </w:rPr>
      </w:pPr>
      <w:r>
        <w:rPr>
          <w:szCs w:val="22"/>
        </w:rPr>
        <w:t xml:space="preserve">Enfin, 38 demandes </w:t>
      </w:r>
      <w:r w:rsidR="0026078A">
        <w:rPr>
          <w:szCs w:val="22"/>
        </w:rPr>
        <w:t xml:space="preserve">de </w:t>
      </w:r>
      <w:r w:rsidR="0026078A" w:rsidRPr="001D6B06">
        <w:rPr>
          <w:b/>
          <w:szCs w:val="22"/>
        </w:rPr>
        <w:t>transfert</w:t>
      </w:r>
      <w:r w:rsidR="0026078A">
        <w:rPr>
          <w:szCs w:val="22"/>
        </w:rPr>
        <w:t xml:space="preserve"> </w:t>
      </w:r>
      <w:r w:rsidR="00330474" w:rsidRPr="00330474">
        <w:rPr>
          <w:b/>
          <w:szCs w:val="22"/>
        </w:rPr>
        <w:t>volontaire</w:t>
      </w:r>
      <w:r w:rsidR="00330474">
        <w:rPr>
          <w:szCs w:val="22"/>
        </w:rPr>
        <w:t xml:space="preserve"> </w:t>
      </w:r>
      <w:r w:rsidR="0026078A">
        <w:rPr>
          <w:szCs w:val="22"/>
        </w:rPr>
        <w:t>examinées sur la base de circonstances particulières</w:t>
      </w:r>
      <w:r>
        <w:rPr>
          <w:szCs w:val="22"/>
        </w:rPr>
        <w:t xml:space="preserve"> ont été introduites</w:t>
      </w:r>
      <w:r w:rsidR="00027AA4">
        <w:rPr>
          <w:szCs w:val="22"/>
        </w:rPr>
        <w:t> :</w:t>
      </w:r>
    </w:p>
    <w:tbl>
      <w:tblPr>
        <w:tblStyle w:val="TableGrid"/>
        <w:tblpPr w:leftFromText="180" w:rightFromText="180" w:vertAnchor="text" w:horzAnchor="page" w:tblpX="3661" w:tblpY="208"/>
        <w:tblW w:w="0" w:type="auto"/>
        <w:tblLook w:val="04A0" w:firstRow="1" w:lastRow="0" w:firstColumn="1" w:lastColumn="0" w:noHBand="0" w:noVBand="1"/>
      </w:tblPr>
      <w:tblGrid>
        <w:gridCol w:w="1245"/>
        <w:gridCol w:w="1246"/>
        <w:gridCol w:w="1245"/>
        <w:gridCol w:w="1246"/>
        <w:gridCol w:w="1246"/>
      </w:tblGrid>
      <w:tr w:rsidR="00027AA4" w:rsidRPr="004A0E39" w:rsidTr="00842EB0">
        <w:tc>
          <w:tcPr>
            <w:tcW w:w="1245"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EEB1-UCC</w:t>
            </w:r>
          </w:p>
        </w:tc>
        <w:tc>
          <w:tcPr>
            <w:tcW w:w="1246"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EEB1-BK</w:t>
            </w:r>
          </w:p>
        </w:tc>
        <w:tc>
          <w:tcPr>
            <w:tcW w:w="1245"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EEB2</w:t>
            </w:r>
          </w:p>
        </w:tc>
        <w:tc>
          <w:tcPr>
            <w:tcW w:w="1246"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EEB3</w:t>
            </w:r>
          </w:p>
        </w:tc>
        <w:tc>
          <w:tcPr>
            <w:tcW w:w="1246"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EEB4</w:t>
            </w:r>
          </w:p>
        </w:tc>
      </w:tr>
      <w:tr w:rsidR="00027AA4" w:rsidRPr="004A0E39" w:rsidTr="00842EB0">
        <w:tc>
          <w:tcPr>
            <w:tcW w:w="1245" w:type="dxa"/>
          </w:tcPr>
          <w:p w:rsidR="00027AA4" w:rsidRPr="004A0E39" w:rsidRDefault="00027AA4" w:rsidP="00842EB0">
            <w:pPr>
              <w:tabs>
                <w:tab w:val="left" w:pos="284"/>
              </w:tabs>
              <w:spacing w:before="0" w:after="0" w:line="276" w:lineRule="auto"/>
              <w:jc w:val="center"/>
              <w:rPr>
                <w:sz w:val="20"/>
              </w:rPr>
            </w:pPr>
            <w:r w:rsidRPr="004A0E39">
              <w:rPr>
                <w:sz w:val="20"/>
              </w:rPr>
              <w:t>10</w:t>
            </w:r>
          </w:p>
        </w:tc>
        <w:tc>
          <w:tcPr>
            <w:tcW w:w="1246" w:type="dxa"/>
          </w:tcPr>
          <w:p w:rsidR="00027AA4" w:rsidRPr="004A0E39" w:rsidRDefault="00027AA4" w:rsidP="00842EB0">
            <w:pPr>
              <w:tabs>
                <w:tab w:val="left" w:pos="284"/>
              </w:tabs>
              <w:spacing w:before="0" w:after="0" w:line="276" w:lineRule="auto"/>
              <w:jc w:val="center"/>
              <w:rPr>
                <w:sz w:val="20"/>
              </w:rPr>
            </w:pPr>
            <w:r w:rsidRPr="004A0E39">
              <w:rPr>
                <w:sz w:val="20"/>
              </w:rPr>
              <w:t>7</w:t>
            </w:r>
          </w:p>
        </w:tc>
        <w:tc>
          <w:tcPr>
            <w:tcW w:w="1245" w:type="dxa"/>
          </w:tcPr>
          <w:p w:rsidR="00027AA4" w:rsidRPr="004A0E39" w:rsidRDefault="00027AA4" w:rsidP="00842EB0">
            <w:pPr>
              <w:tabs>
                <w:tab w:val="left" w:pos="284"/>
              </w:tabs>
              <w:spacing w:before="0" w:after="0" w:line="276" w:lineRule="auto"/>
              <w:jc w:val="center"/>
              <w:rPr>
                <w:sz w:val="20"/>
              </w:rPr>
            </w:pPr>
            <w:r w:rsidRPr="004A0E39">
              <w:rPr>
                <w:sz w:val="20"/>
              </w:rPr>
              <w:t>2</w:t>
            </w:r>
          </w:p>
        </w:tc>
        <w:tc>
          <w:tcPr>
            <w:tcW w:w="1246" w:type="dxa"/>
          </w:tcPr>
          <w:p w:rsidR="00027AA4" w:rsidRPr="004A0E39" w:rsidRDefault="00027AA4" w:rsidP="00842EB0">
            <w:pPr>
              <w:tabs>
                <w:tab w:val="left" w:pos="284"/>
              </w:tabs>
              <w:spacing w:before="0" w:after="0" w:line="276" w:lineRule="auto"/>
              <w:jc w:val="center"/>
              <w:rPr>
                <w:sz w:val="20"/>
              </w:rPr>
            </w:pPr>
            <w:r w:rsidRPr="004A0E39">
              <w:rPr>
                <w:sz w:val="20"/>
              </w:rPr>
              <w:t>8</w:t>
            </w:r>
          </w:p>
        </w:tc>
        <w:tc>
          <w:tcPr>
            <w:tcW w:w="1246" w:type="dxa"/>
          </w:tcPr>
          <w:p w:rsidR="00027AA4" w:rsidRPr="004A0E39" w:rsidRDefault="00027AA4" w:rsidP="00842EB0">
            <w:pPr>
              <w:tabs>
                <w:tab w:val="left" w:pos="284"/>
              </w:tabs>
              <w:spacing w:before="0" w:after="0" w:line="276" w:lineRule="auto"/>
              <w:jc w:val="center"/>
              <w:rPr>
                <w:sz w:val="20"/>
              </w:rPr>
            </w:pPr>
            <w:r w:rsidRPr="004A0E39">
              <w:rPr>
                <w:sz w:val="20"/>
              </w:rPr>
              <w:t>11</w:t>
            </w:r>
          </w:p>
        </w:tc>
      </w:tr>
    </w:tbl>
    <w:p w:rsidR="004A0E39" w:rsidRPr="004A0E39" w:rsidRDefault="00762E6C" w:rsidP="004A0E39">
      <w:pPr>
        <w:tabs>
          <w:tab w:val="left" w:pos="284"/>
        </w:tabs>
        <w:spacing w:line="276" w:lineRule="auto"/>
        <w:rPr>
          <w:i/>
          <w:sz w:val="20"/>
        </w:rPr>
      </w:pPr>
      <w:r>
        <w:rPr>
          <w:i/>
          <w:sz w:val="20"/>
        </w:rPr>
        <w:t xml:space="preserve">Demandes provenant </w:t>
      </w:r>
      <w:r w:rsidR="00D53AAE">
        <w:rPr>
          <w:i/>
          <w:sz w:val="20"/>
        </w:rPr>
        <w:t xml:space="preserve">de </w:t>
      </w:r>
      <w:r w:rsidR="004A0E39">
        <w:rPr>
          <w:i/>
          <w:sz w:val="20"/>
        </w:rPr>
        <w:t>:</w:t>
      </w:r>
    </w:p>
    <w:p w:rsidR="004A0E39" w:rsidRDefault="004A0E39" w:rsidP="004A0E39">
      <w:pPr>
        <w:tabs>
          <w:tab w:val="left" w:pos="284"/>
        </w:tabs>
        <w:spacing w:line="276" w:lineRule="auto"/>
        <w:rPr>
          <w:i/>
          <w:sz w:val="20"/>
        </w:rPr>
      </w:pPr>
    </w:p>
    <w:p w:rsidR="00027AA4" w:rsidRDefault="00027AA4" w:rsidP="00A3438D">
      <w:pPr>
        <w:tabs>
          <w:tab w:val="left" w:pos="284"/>
        </w:tabs>
        <w:spacing w:before="240" w:after="0" w:line="276" w:lineRule="auto"/>
        <w:rPr>
          <w:szCs w:val="22"/>
        </w:rPr>
      </w:pPr>
      <w:r>
        <w:rPr>
          <w:szCs w:val="22"/>
        </w:rPr>
        <w:t xml:space="preserve">La majorité de ces demandes concernait un transfert vers les Ecoles de Bruxelles II et III : </w:t>
      </w:r>
    </w:p>
    <w:tbl>
      <w:tblPr>
        <w:tblStyle w:val="TableGrid"/>
        <w:tblpPr w:leftFromText="180" w:rightFromText="180" w:vertAnchor="text" w:horzAnchor="page" w:tblpX="4906" w:tblpY="195"/>
        <w:tblW w:w="0" w:type="auto"/>
        <w:tblLook w:val="04A0" w:firstRow="1" w:lastRow="0" w:firstColumn="1" w:lastColumn="0" w:noHBand="0" w:noVBand="1"/>
      </w:tblPr>
      <w:tblGrid>
        <w:gridCol w:w="1350"/>
        <w:gridCol w:w="1170"/>
        <w:gridCol w:w="966"/>
        <w:gridCol w:w="966"/>
        <w:gridCol w:w="966"/>
      </w:tblGrid>
      <w:tr w:rsidR="00027AA4" w:rsidRPr="004A0E39" w:rsidTr="00842EB0">
        <w:tc>
          <w:tcPr>
            <w:tcW w:w="1350"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EEB1-UCC</w:t>
            </w:r>
          </w:p>
        </w:tc>
        <w:tc>
          <w:tcPr>
            <w:tcW w:w="1170"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EEB1-BK</w:t>
            </w:r>
          </w:p>
        </w:tc>
        <w:tc>
          <w:tcPr>
            <w:tcW w:w="966"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EEB2</w:t>
            </w:r>
          </w:p>
        </w:tc>
        <w:tc>
          <w:tcPr>
            <w:tcW w:w="966"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EEB3</w:t>
            </w:r>
          </w:p>
        </w:tc>
        <w:tc>
          <w:tcPr>
            <w:tcW w:w="966" w:type="dxa"/>
            <w:shd w:val="clear" w:color="auto" w:fill="D9D9D9" w:themeFill="background1" w:themeFillShade="D9"/>
          </w:tcPr>
          <w:p w:rsidR="00027AA4" w:rsidRPr="004A0E39" w:rsidRDefault="00027AA4" w:rsidP="00842EB0">
            <w:pPr>
              <w:tabs>
                <w:tab w:val="left" w:pos="284"/>
              </w:tabs>
              <w:spacing w:before="0" w:after="0" w:line="276" w:lineRule="auto"/>
              <w:jc w:val="center"/>
              <w:rPr>
                <w:b/>
                <w:sz w:val="20"/>
              </w:rPr>
            </w:pPr>
            <w:r w:rsidRPr="004A0E39">
              <w:rPr>
                <w:b/>
                <w:sz w:val="20"/>
              </w:rPr>
              <w:t>EEB4</w:t>
            </w:r>
          </w:p>
        </w:tc>
      </w:tr>
      <w:tr w:rsidR="00027AA4" w:rsidRPr="004A0E39" w:rsidTr="00842EB0">
        <w:tc>
          <w:tcPr>
            <w:tcW w:w="1350" w:type="dxa"/>
          </w:tcPr>
          <w:p w:rsidR="00027AA4" w:rsidRPr="004A0E39" w:rsidRDefault="00027AA4" w:rsidP="00842EB0">
            <w:pPr>
              <w:tabs>
                <w:tab w:val="left" w:pos="284"/>
              </w:tabs>
              <w:spacing w:before="0" w:after="0" w:line="276" w:lineRule="auto"/>
              <w:jc w:val="center"/>
              <w:rPr>
                <w:sz w:val="20"/>
              </w:rPr>
            </w:pPr>
            <w:r w:rsidRPr="004A0E39">
              <w:rPr>
                <w:sz w:val="20"/>
              </w:rPr>
              <w:t>7</w:t>
            </w:r>
          </w:p>
        </w:tc>
        <w:tc>
          <w:tcPr>
            <w:tcW w:w="1170" w:type="dxa"/>
          </w:tcPr>
          <w:p w:rsidR="00027AA4" w:rsidRPr="004A0E39" w:rsidRDefault="00027AA4" w:rsidP="00842EB0">
            <w:pPr>
              <w:tabs>
                <w:tab w:val="left" w:pos="284"/>
              </w:tabs>
              <w:spacing w:before="0" w:after="0" w:line="276" w:lineRule="auto"/>
              <w:jc w:val="center"/>
              <w:rPr>
                <w:sz w:val="20"/>
              </w:rPr>
            </w:pPr>
            <w:r w:rsidRPr="004A0E39">
              <w:rPr>
                <w:sz w:val="20"/>
              </w:rPr>
              <w:t>1</w:t>
            </w:r>
          </w:p>
        </w:tc>
        <w:tc>
          <w:tcPr>
            <w:tcW w:w="966" w:type="dxa"/>
          </w:tcPr>
          <w:p w:rsidR="00027AA4" w:rsidRPr="004A0E39" w:rsidRDefault="00027AA4" w:rsidP="00842EB0">
            <w:pPr>
              <w:tabs>
                <w:tab w:val="left" w:pos="284"/>
              </w:tabs>
              <w:spacing w:before="0" w:after="0" w:line="276" w:lineRule="auto"/>
              <w:jc w:val="center"/>
              <w:rPr>
                <w:sz w:val="20"/>
              </w:rPr>
            </w:pPr>
            <w:r w:rsidRPr="004A0E39">
              <w:rPr>
                <w:sz w:val="20"/>
              </w:rPr>
              <w:t>17</w:t>
            </w:r>
          </w:p>
        </w:tc>
        <w:tc>
          <w:tcPr>
            <w:tcW w:w="966" w:type="dxa"/>
          </w:tcPr>
          <w:p w:rsidR="00027AA4" w:rsidRPr="004A0E39" w:rsidRDefault="00027AA4" w:rsidP="00842EB0">
            <w:pPr>
              <w:tabs>
                <w:tab w:val="left" w:pos="284"/>
              </w:tabs>
              <w:spacing w:before="0" w:after="0" w:line="276" w:lineRule="auto"/>
              <w:jc w:val="center"/>
              <w:rPr>
                <w:sz w:val="20"/>
              </w:rPr>
            </w:pPr>
            <w:r w:rsidRPr="004A0E39">
              <w:rPr>
                <w:sz w:val="20"/>
              </w:rPr>
              <w:t>11</w:t>
            </w:r>
          </w:p>
        </w:tc>
        <w:tc>
          <w:tcPr>
            <w:tcW w:w="966" w:type="dxa"/>
          </w:tcPr>
          <w:p w:rsidR="00027AA4" w:rsidRPr="004A0E39" w:rsidRDefault="00027AA4" w:rsidP="00842EB0">
            <w:pPr>
              <w:tabs>
                <w:tab w:val="left" w:pos="284"/>
              </w:tabs>
              <w:spacing w:before="0" w:after="0" w:line="276" w:lineRule="auto"/>
              <w:jc w:val="center"/>
              <w:rPr>
                <w:sz w:val="20"/>
              </w:rPr>
            </w:pPr>
            <w:r w:rsidRPr="004A0E39">
              <w:rPr>
                <w:sz w:val="20"/>
              </w:rPr>
              <w:t>2</w:t>
            </w:r>
          </w:p>
        </w:tc>
      </w:tr>
    </w:tbl>
    <w:p w:rsidR="004A0E39" w:rsidRPr="004A0E39" w:rsidRDefault="004A0E39" w:rsidP="004A0E39">
      <w:pPr>
        <w:tabs>
          <w:tab w:val="left" w:pos="284"/>
        </w:tabs>
        <w:spacing w:line="276" w:lineRule="auto"/>
        <w:rPr>
          <w:i/>
          <w:sz w:val="20"/>
        </w:rPr>
      </w:pPr>
      <w:r>
        <w:rPr>
          <w:i/>
          <w:sz w:val="20"/>
        </w:rPr>
        <w:t>Demandes de transfert ve</w:t>
      </w:r>
      <w:r w:rsidR="00A5345C">
        <w:rPr>
          <w:i/>
          <w:sz w:val="20"/>
        </w:rPr>
        <w:t>r</w:t>
      </w:r>
      <w:r>
        <w:rPr>
          <w:i/>
          <w:sz w:val="20"/>
        </w:rPr>
        <w:t>s les é</w:t>
      </w:r>
      <w:r w:rsidRPr="004A0E39">
        <w:rPr>
          <w:i/>
          <w:sz w:val="20"/>
        </w:rPr>
        <w:t>cole</w:t>
      </w:r>
      <w:r>
        <w:rPr>
          <w:i/>
          <w:sz w:val="20"/>
        </w:rPr>
        <w:t>s :</w:t>
      </w:r>
    </w:p>
    <w:p w:rsidR="004A0E39" w:rsidRPr="00713E25" w:rsidRDefault="004A0E39" w:rsidP="00713E25">
      <w:pPr>
        <w:tabs>
          <w:tab w:val="left" w:pos="284"/>
        </w:tabs>
        <w:spacing w:line="276" w:lineRule="auto"/>
        <w:rPr>
          <w:szCs w:val="22"/>
        </w:rPr>
      </w:pPr>
    </w:p>
    <w:p w:rsidR="002710C1" w:rsidRPr="0056397E" w:rsidRDefault="00E800BC" w:rsidP="00A3438D">
      <w:pPr>
        <w:tabs>
          <w:tab w:val="left" w:pos="284"/>
        </w:tabs>
        <w:spacing w:before="240" w:line="276" w:lineRule="auto"/>
        <w:rPr>
          <w:szCs w:val="22"/>
          <w:highlight w:val="yellow"/>
        </w:rPr>
      </w:pPr>
      <w:r>
        <w:rPr>
          <w:szCs w:val="22"/>
          <w:shd w:val="clear" w:color="auto" w:fill="FFFFFF" w:themeFill="background1"/>
        </w:rPr>
        <w:t xml:space="preserve">Sur les </w:t>
      </w:r>
      <w:r w:rsidR="00F53A37">
        <w:rPr>
          <w:szCs w:val="22"/>
          <w:shd w:val="clear" w:color="auto" w:fill="FFFFFF" w:themeFill="background1"/>
        </w:rPr>
        <w:t>6</w:t>
      </w:r>
      <w:r w:rsidR="00522C25" w:rsidRPr="0056397E">
        <w:rPr>
          <w:szCs w:val="22"/>
          <w:shd w:val="clear" w:color="auto" w:fill="FFFFFF" w:themeFill="background1"/>
        </w:rPr>
        <w:t xml:space="preserve"> </w:t>
      </w:r>
      <w:r w:rsidR="002710C1" w:rsidRPr="0056397E">
        <w:rPr>
          <w:szCs w:val="22"/>
          <w:shd w:val="clear" w:color="auto" w:fill="FFFFFF" w:themeFill="background1"/>
        </w:rPr>
        <w:t xml:space="preserve">demandes de </w:t>
      </w:r>
      <w:r w:rsidR="002710C1" w:rsidRPr="00E800BC">
        <w:rPr>
          <w:b/>
          <w:szCs w:val="22"/>
          <w:shd w:val="clear" w:color="auto" w:fill="FFFFFF" w:themeFill="background1"/>
        </w:rPr>
        <w:t>catégorie II</w:t>
      </w:r>
      <w:r w:rsidR="00522C25" w:rsidRPr="0056397E">
        <w:rPr>
          <w:szCs w:val="22"/>
          <w:shd w:val="clear" w:color="auto" w:fill="FFFFFF" w:themeFill="background1"/>
        </w:rPr>
        <w:t xml:space="preserve"> </w:t>
      </w:r>
      <w:r w:rsidR="003141C8" w:rsidRPr="0056397E">
        <w:rPr>
          <w:szCs w:val="22"/>
          <w:shd w:val="clear" w:color="auto" w:fill="FFFFFF" w:themeFill="background1"/>
        </w:rPr>
        <w:t xml:space="preserve">reçues, </w:t>
      </w:r>
      <w:r w:rsidR="00F53A37">
        <w:rPr>
          <w:szCs w:val="22"/>
          <w:shd w:val="clear" w:color="auto" w:fill="FFFFFF" w:themeFill="background1"/>
        </w:rPr>
        <w:t xml:space="preserve">toutes les </w:t>
      </w:r>
      <w:r>
        <w:rPr>
          <w:szCs w:val="22"/>
          <w:shd w:val="clear" w:color="auto" w:fill="FFFFFF" w:themeFill="background1"/>
        </w:rPr>
        <w:t>p</w:t>
      </w:r>
      <w:r w:rsidR="003141C8" w:rsidRPr="0056397E">
        <w:rPr>
          <w:szCs w:val="22"/>
        </w:rPr>
        <w:t>roposition</w:t>
      </w:r>
      <w:r w:rsidR="00FD3C19">
        <w:rPr>
          <w:szCs w:val="22"/>
        </w:rPr>
        <w:t>s</w:t>
      </w:r>
      <w:r w:rsidR="00BC1EBF" w:rsidRPr="0056397E">
        <w:rPr>
          <w:szCs w:val="22"/>
        </w:rPr>
        <w:t xml:space="preserve"> de place </w:t>
      </w:r>
      <w:r w:rsidR="00FD3C19">
        <w:rPr>
          <w:szCs w:val="22"/>
        </w:rPr>
        <w:t>ont</w:t>
      </w:r>
      <w:r w:rsidR="00BC1EBF" w:rsidRPr="0056397E">
        <w:rPr>
          <w:szCs w:val="22"/>
        </w:rPr>
        <w:t xml:space="preserve"> été </w:t>
      </w:r>
      <w:r w:rsidR="00F53A37">
        <w:rPr>
          <w:szCs w:val="22"/>
        </w:rPr>
        <w:t>acceptées</w:t>
      </w:r>
      <w:r w:rsidR="000D012E" w:rsidRPr="0056397E">
        <w:rPr>
          <w:szCs w:val="22"/>
        </w:rPr>
        <w:t>.</w:t>
      </w:r>
    </w:p>
    <w:p w:rsidR="00CE3406" w:rsidRPr="00B66E96" w:rsidRDefault="009D0E2C" w:rsidP="00532D14">
      <w:pPr>
        <w:tabs>
          <w:tab w:val="left" w:pos="284"/>
        </w:tabs>
        <w:spacing w:line="276" w:lineRule="auto"/>
        <w:rPr>
          <w:szCs w:val="22"/>
        </w:rPr>
      </w:pPr>
      <w:r w:rsidRPr="00B66E96">
        <w:rPr>
          <w:szCs w:val="22"/>
        </w:rPr>
        <w:t xml:space="preserve">Sur </w:t>
      </w:r>
      <w:r w:rsidRPr="00876667">
        <w:rPr>
          <w:szCs w:val="22"/>
        </w:rPr>
        <w:t xml:space="preserve">les </w:t>
      </w:r>
      <w:r w:rsidR="00FD3C19">
        <w:rPr>
          <w:szCs w:val="22"/>
        </w:rPr>
        <w:t>26</w:t>
      </w:r>
      <w:r w:rsidRPr="00876667">
        <w:rPr>
          <w:szCs w:val="22"/>
        </w:rPr>
        <w:t xml:space="preserve"> demandes d’inscription d’élèves de </w:t>
      </w:r>
      <w:r w:rsidRPr="00876667">
        <w:rPr>
          <w:b/>
          <w:szCs w:val="22"/>
        </w:rPr>
        <w:t>catégorie III</w:t>
      </w:r>
      <w:r w:rsidRPr="00876667">
        <w:rPr>
          <w:szCs w:val="22"/>
        </w:rPr>
        <w:t xml:space="preserve"> recevables selon les dispositions de la Politique d’inscription, </w:t>
      </w:r>
      <w:r w:rsidR="00444EF4" w:rsidRPr="00876667">
        <w:rPr>
          <w:szCs w:val="22"/>
        </w:rPr>
        <w:t>2</w:t>
      </w:r>
      <w:r w:rsidR="00F53A37">
        <w:rPr>
          <w:szCs w:val="22"/>
        </w:rPr>
        <w:t>0</w:t>
      </w:r>
      <w:r w:rsidRPr="00876667">
        <w:rPr>
          <w:szCs w:val="22"/>
        </w:rPr>
        <w:t xml:space="preserve"> d’entre elles concernaient des enfants du personnel civil de l’OTAN et </w:t>
      </w:r>
      <w:r w:rsidR="00F53A37">
        <w:rPr>
          <w:szCs w:val="22"/>
        </w:rPr>
        <w:t>6</w:t>
      </w:r>
      <w:r w:rsidRPr="00876667">
        <w:rPr>
          <w:szCs w:val="22"/>
        </w:rPr>
        <w:t xml:space="preserve"> des enfants de fonctionnaires internationaux de l’ONU. </w:t>
      </w:r>
      <w:r w:rsidR="00F53A37">
        <w:rPr>
          <w:szCs w:val="22"/>
        </w:rPr>
        <w:t>2</w:t>
      </w:r>
      <w:r w:rsidR="00CE3406" w:rsidRPr="00876667">
        <w:rPr>
          <w:szCs w:val="22"/>
        </w:rPr>
        <w:t>1</w:t>
      </w:r>
      <w:r w:rsidRPr="00876667">
        <w:rPr>
          <w:szCs w:val="22"/>
        </w:rPr>
        <w:t xml:space="preserve"> offres </w:t>
      </w:r>
      <w:r w:rsidRPr="00B66E96">
        <w:rPr>
          <w:szCs w:val="22"/>
        </w:rPr>
        <w:t xml:space="preserve">de place – </w:t>
      </w:r>
      <w:r w:rsidR="00B91518">
        <w:rPr>
          <w:szCs w:val="22"/>
        </w:rPr>
        <w:t>1</w:t>
      </w:r>
      <w:r w:rsidR="00F53A37">
        <w:rPr>
          <w:szCs w:val="22"/>
        </w:rPr>
        <w:t>8</w:t>
      </w:r>
      <w:r w:rsidRPr="00B66E96">
        <w:rPr>
          <w:szCs w:val="22"/>
        </w:rPr>
        <w:t xml:space="preserve"> pour des enfants du personnel civil de l’OTAN</w:t>
      </w:r>
      <w:r w:rsidR="00CE3406" w:rsidRPr="00B66E96">
        <w:rPr>
          <w:szCs w:val="22"/>
        </w:rPr>
        <w:t xml:space="preserve"> et</w:t>
      </w:r>
      <w:r w:rsidR="000B2D4A" w:rsidRPr="00B66E96">
        <w:rPr>
          <w:szCs w:val="22"/>
        </w:rPr>
        <w:t xml:space="preserve"> </w:t>
      </w:r>
      <w:r w:rsidR="00F53A37">
        <w:rPr>
          <w:szCs w:val="22"/>
        </w:rPr>
        <w:t>3</w:t>
      </w:r>
      <w:r w:rsidR="00CE32A0">
        <w:rPr>
          <w:szCs w:val="22"/>
        </w:rPr>
        <w:t xml:space="preserve"> pour </w:t>
      </w:r>
      <w:r w:rsidR="00F53A37">
        <w:rPr>
          <w:szCs w:val="22"/>
        </w:rPr>
        <w:t>des</w:t>
      </w:r>
      <w:r w:rsidR="00FD3C19">
        <w:rPr>
          <w:szCs w:val="22"/>
        </w:rPr>
        <w:t xml:space="preserve"> </w:t>
      </w:r>
      <w:r w:rsidR="000B2D4A" w:rsidRPr="00B66E96">
        <w:rPr>
          <w:szCs w:val="22"/>
        </w:rPr>
        <w:t>enfant</w:t>
      </w:r>
      <w:r w:rsidR="00F53A37">
        <w:rPr>
          <w:szCs w:val="22"/>
        </w:rPr>
        <w:t>s</w:t>
      </w:r>
      <w:r w:rsidR="000B2D4A" w:rsidRPr="00B66E96">
        <w:rPr>
          <w:szCs w:val="22"/>
        </w:rPr>
        <w:t xml:space="preserve"> de fonctionnaire</w:t>
      </w:r>
      <w:r w:rsidR="00F53A37">
        <w:rPr>
          <w:szCs w:val="22"/>
        </w:rPr>
        <w:t>s</w:t>
      </w:r>
      <w:r w:rsidR="00135BD3" w:rsidRPr="00B66E96">
        <w:rPr>
          <w:szCs w:val="22"/>
        </w:rPr>
        <w:t xml:space="preserve"> internationa</w:t>
      </w:r>
      <w:r w:rsidR="00F53A37">
        <w:rPr>
          <w:szCs w:val="22"/>
        </w:rPr>
        <w:t>ux</w:t>
      </w:r>
      <w:r w:rsidR="00135BD3" w:rsidRPr="00B66E96">
        <w:rPr>
          <w:szCs w:val="22"/>
        </w:rPr>
        <w:t xml:space="preserve"> de l’ONU</w:t>
      </w:r>
      <w:r w:rsidR="000B2D4A" w:rsidRPr="00B66E96">
        <w:rPr>
          <w:szCs w:val="22"/>
        </w:rPr>
        <w:t xml:space="preserve"> </w:t>
      </w:r>
      <w:r w:rsidRPr="00B66E96">
        <w:rPr>
          <w:szCs w:val="22"/>
        </w:rPr>
        <w:t xml:space="preserve">- ont été acceptées par les parents. </w:t>
      </w:r>
    </w:p>
    <w:p w:rsidR="009D0E2C" w:rsidRDefault="009D0E2C" w:rsidP="00532D14">
      <w:pPr>
        <w:spacing w:line="276" w:lineRule="auto"/>
        <w:rPr>
          <w:szCs w:val="22"/>
        </w:rPr>
      </w:pPr>
      <w:r w:rsidRPr="00052852">
        <w:rPr>
          <w:szCs w:val="22"/>
        </w:rPr>
        <w:t xml:space="preserve">Le </w:t>
      </w:r>
      <w:r w:rsidRPr="00052852">
        <w:rPr>
          <w:b/>
          <w:szCs w:val="22"/>
        </w:rPr>
        <w:t>nombre total d’élèves</w:t>
      </w:r>
      <w:r w:rsidRPr="001B2938">
        <w:rPr>
          <w:szCs w:val="22"/>
        </w:rPr>
        <w:t xml:space="preserve">, avec le détail, par classe et par section linguistique, figure en </w:t>
      </w:r>
      <w:r w:rsidRPr="00052852">
        <w:rPr>
          <w:b/>
          <w:szCs w:val="22"/>
        </w:rPr>
        <w:t>annexe I</w:t>
      </w:r>
      <w:r w:rsidR="009D2AB9">
        <w:rPr>
          <w:szCs w:val="22"/>
        </w:rPr>
        <w:t>.</w:t>
      </w:r>
    </w:p>
    <w:p w:rsidR="00B22D93" w:rsidRDefault="009E5ED8" w:rsidP="00532D14">
      <w:pPr>
        <w:tabs>
          <w:tab w:val="left" w:pos="284"/>
        </w:tabs>
        <w:spacing w:before="360" w:line="276" w:lineRule="auto"/>
        <w:rPr>
          <w:b/>
          <w:szCs w:val="22"/>
        </w:rPr>
      </w:pPr>
      <w:r w:rsidRPr="00EB62C3">
        <w:rPr>
          <w:szCs w:val="22"/>
        </w:rPr>
        <w:tab/>
      </w:r>
      <w:r w:rsidRPr="00EB62C3">
        <w:rPr>
          <w:b/>
          <w:szCs w:val="22"/>
        </w:rPr>
        <w:t>2.</w:t>
      </w:r>
      <w:r w:rsidR="00267C08" w:rsidRPr="00EB62C3">
        <w:rPr>
          <w:b/>
          <w:szCs w:val="22"/>
        </w:rPr>
        <w:t>4</w:t>
      </w:r>
      <w:r w:rsidRPr="00EB62C3">
        <w:rPr>
          <w:b/>
          <w:szCs w:val="22"/>
        </w:rPr>
        <w:t xml:space="preserve"> Recours</w:t>
      </w:r>
    </w:p>
    <w:p w:rsidR="00386C30" w:rsidRDefault="00386C30" w:rsidP="00386C30">
      <w:pPr>
        <w:tabs>
          <w:tab w:val="left" w:pos="284"/>
        </w:tabs>
        <w:spacing w:line="276" w:lineRule="auto"/>
        <w:rPr>
          <w:szCs w:val="22"/>
        </w:rPr>
      </w:pPr>
      <w:r>
        <w:rPr>
          <w:szCs w:val="22"/>
        </w:rPr>
        <w:t>A ce jour, 3</w:t>
      </w:r>
      <w:r w:rsidR="002411A6">
        <w:rPr>
          <w:szCs w:val="22"/>
        </w:rPr>
        <w:t>9</w:t>
      </w:r>
      <w:r>
        <w:rPr>
          <w:szCs w:val="22"/>
        </w:rPr>
        <w:t xml:space="preserve"> recours ont été introduits : 3</w:t>
      </w:r>
      <w:r w:rsidR="002411A6">
        <w:rPr>
          <w:szCs w:val="22"/>
        </w:rPr>
        <w:t>6</w:t>
      </w:r>
      <w:r>
        <w:rPr>
          <w:szCs w:val="22"/>
        </w:rPr>
        <w:t xml:space="preserve"> concernaient des demandes d’inscription et 3 des demandes de transfert. </w:t>
      </w:r>
    </w:p>
    <w:p w:rsidR="00361785" w:rsidRDefault="00386C30" w:rsidP="00386C30">
      <w:pPr>
        <w:tabs>
          <w:tab w:val="left" w:pos="284"/>
        </w:tabs>
        <w:spacing w:line="276" w:lineRule="auto"/>
        <w:rPr>
          <w:szCs w:val="22"/>
        </w:rPr>
      </w:pPr>
      <w:r>
        <w:rPr>
          <w:szCs w:val="22"/>
        </w:rPr>
        <w:t>Sur ces 3</w:t>
      </w:r>
      <w:r w:rsidR="002411A6">
        <w:rPr>
          <w:szCs w:val="22"/>
        </w:rPr>
        <w:t>9</w:t>
      </w:r>
      <w:r>
        <w:rPr>
          <w:szCs w:val="22"/>
        </w:rPr>
        <w:t xml:space="preserve"> recours, 1</w:t>
      </w:r>
      <w:r w:rsidR="002411A6">
        <w:rPr>
          <w:szCs w:val="22"/>
        </w:rPr>
        <w:t>9</w:t>
      </w:r>
      <w:r>
        <w:rPr>
          <w:szCs w:val="22"/>
        </w:rPr>
        <w:t xml:space="preserve"> ont fait l’objet d’une ordonnance motivée de la Chambre de recours</w:t>
      </w:r>
      <w:r>
        <w:rPr>
          <w:rStyle w:val="FootnoteReference"/>
          <w:szCs w:val="22"/>
        </w:rPr>
        <w:footnoteReference w:id="6"/>
      </w:r>
      <w:r>
        <w:rPr>
          <w:szCs w:val="22"/>
        </w:rPr>
        <w:t xml:space="preserve"> et </w:t>
      </w:r>
      <w:r w:rsidR="002411A6">
        <w:rPr>
          <w:szCs w:val="22"/>
        </w:rPr>
        <w:t>8</w:t>
      </w:r>
      <w:r>
        <w:rPr>
          <w:szCs w:val="22"/>
        </w:rPr>
        <w:t xml:space="preserve"> d’une radiation. Au total, 10 rec</w:t>
      </w:r>
      <w:r w:rsidR="00C34D9B">
        <w:rPr>
          <w:szCs w:val="22"/>
        </w:rPr>
        <w:t xml:space="preserve">ours ont été rejetés et </w:t>
      </w:r>
      <w:r w:rsidR="002411A6">
        <w:rPr>
          <w:szCs w:val="22"/>
        </w:rPr>
        <w:t>2</w:t>
      </w:r>
      <w:r>
        <w:rPr>
          <w:szCs w:val="22"/>
        </w:rPr>
        <w:t xml:space="preserve"> décisions de l’Autorité centrale des </w:t>
      </w:r>
      <w:r w:rsidRPr="00551947">
        <w:rPr>
          <w:szCs w:val="22"/>
        </w:rPr>
        <w:t xml:space="preserve">inscriptions ont été annulées. </w:t>
      </w:r>
    </w:p>
    <w:p w:rsidR="00386C30" w:rsidRDefault="00386C30" w:rsidP="00386C30">
      <w:pPr>
        <w:tabs>
          <w:tab w:val="left" w:pos="284"/>
        </w:tabs>
        <w:spacing w:line="276" w:lineRule="auto"/>
        <w:rPr>
          <w:szCs w:val="22"/>
        </w:rPr>
      </w:pPr>
      <w:r w:rsidRPr="00551947">
        <w:rPr>
          <w:szCs w:val="22"/>
        </w:rPr>
        <w:t xml:space="preserve">Pour comparaison, le nombre de recours introduits l’année dernière était de </w:t>
      </w:r>
      <w:r w:rsidR="00551947">
        <w:rPr>
          <w:szCs w:val="22"/>
        </w:rPr>
        <w:t>29.</w:t>
      </w:r>
      <w:r w:rsidRPr="00386C30">
        <w:rPr>
          <w:color w:val="FF0000"/>
          <w:szCs w:val="22"/>
        </w:rPr>
        <w:t xml:space="preserve"> </w:t>
      </w:r>
    </w:p>
    <w:p w:rsidR="00386C30" w:rsidRDefault="00386C30" w:rsidP="00386C30">
      <w:pPr>
        <w:tabs>
          <w:tab w:val="left" w:pos="284"/>
        </w:tabs>
        <w:spacing w:after="0" w:line="276" w:lineRule="auto"/>
        <w:rPr>
          <w:szCs w:val="22"/>
        </w:rPr>
      </w:pPr>
      <w:r>
        <w:rPr>
          <w:szCs w:val="22"/>
        </w:rPr>
        <w:t xml:space="preserve">Parmi les motifs invoqués par les requérants, les résultats des tests comparatifs de langue organisés par les écoles lors du traitement pédagogique des demandes d’inscription ont fait </w:t>
      </w:r>
      <w:r>
        <w:rPr>
          <w:szCs w:val="22"/>
        </w:rPr>
        <w:lastRenderedPageBreak/>
        <w:t>l’objet de 6 recours</w:t>
      </w:r>
      <w:r w:rsidR="002411A6">
        <w:rPr>
          <w:szCs w:val="22"/>
        </w:rPr>
        <w:t>.</w:t>
      </w:r>
      <w:r>
        <w:rPr>
          <w:szCs w:val="22"/>
        </w:rPr>
        <w:t xml:space="preserve"> 2 ont été rejetés</w:t>
      </w:r>
      <w:r w:rsidR="00FB26CA">
        <w:rPr>
          <w:szCs w:val="22"/>
        </w:rPr>
        <w:t xml:space="preserve"> et</w:t>
      </w:r>
      <w:r w:rsidR="002411A6" w:rsidRPr="002411A6">
        <w:rPr>
          <w:szCs w:val="22"/>
        </w:rPr>
        <w:t xml:space="preserve"> </w:t>
      </w:r>
      <w:r w:rsidR="002411A6">
        <w:rPr>
          <w:szCs w:val="22"/>
        </w:rPr>
        <w:t xml:space="preserve">2 ont </w:t>
      </w:r>
      <w:r w:rsidRPr="00F632F6">
        <w:rPr>
          <w:szCs w:val="22"/>
        </w:rPr>
        <w:t>été radié</w:t>
      </w:r>
      <w:r w:rsidR="002411A6">
        <w:rPr>
          <w:szCs w:val="22"/>
        </w:rPr>
        <w:t xml:space="preserve">s. </w:t>
      </w:r>
      <w:r w:rsidR="00CC2980">
        <w:rPr>
          <w:szCs w:val="22"/>
        </w:rPr>
        <w:t>Pour ce qui est d</w:t>
      </w:r>
      <w:r w:rsidR="00CC2980" w:rsidRPr="00CC2980">
        <w:rPr>
          <w:szCs w:val="22"/>
        </w:rPr>
        <w:t>es</w:t>
      </w:r>
      <w:r w:rsidR="002411A6" w:rsidRPr="00CC2980">
        <w:rPr>
          <w:szCs w:val="22"/>
        </w:rPr>
        <w:t xml:space="preserve"> 2 autres recours,</w:t>
      </w:r>
      <w:r w:rsidR="002411A6">
        <w:rPr>
          <w:szCs w:val="22"/>
        </w:rPr>
        <w:t xml:space="preserve"> </w:t>
      </w:r>
      <w:r w:rsidR="009D4BA2">
        <w:rPr>
          <w:szCs w:val="22"/>
        </w:rPr>
        <w:t>l</w:t>
      </w:r>
      <w:r w:rsidR="00FB26CA">
        <w:rPr>
          <w:szCs w:val="22"/>
        </w:rPr>
        <w:t xml:space="preserve">e premier également </w:t>
      </w:r>
      <w:r w:rsidR="009D4BA2">
        <w:rPr>
          <w:szCs w:val="22"/>
        </w:rPr>
        <w:t xml:space="preserve">introduit </w:t>
      </w:r>
      <w:r w:rsidR="002411A6">
        <w:rPr>
          <w:szCs w:val="22"/>
        </w:rPr>
        <w:t>en référé</w:t>
      </w:r>
      <w:r w:rsidR="00FB26CA">
        <w:rPr>
          <w:szCs w:val="22"/>
        </w:rPr>
        <w:t xml:space="preserve"> a </w:t>
      </w:r>
      <w:r w:rsidR="002411A6">
        <w:rPr>
          <w:szCs w:val="22"/>
        </w:rPr>
        <w:t xml:space="preserve">abouti </w:t>
      </w:r>
      <w:r w:rsidRPr="00F632F6">
        <w:rPr>
          <w:szCs w:val="22"/>
        </w:rPr>
        <w:t>à la suspension de la décision</w:t>
      </w:r>
      <w:r w:rsidR="002411A6">
        <w:rPr>
          <w:szCs w:val="22"/>
        </w:rPr>
        <w:t xml:space="preserve"> de l’ACI</w:t>
      </w:r>
      <w:r w:rsidR="00FB26CA">
        <w:rPr>
          <w:szCs w:val="22"/>
        </w:rPr>
        <w:t xml:space="preserve">. </w:t>
      </w:r>
      <w:r w:rsidR="00CC2980">
        <w:rPr>
          <w:szCs w:val="22"/>
        </w:rPr>
        <w:t xml:space="preserve">Quant au </w:t>
      </w:r>
      <w:r w:rsidR="00FB26CA">
        <w:rPr>
          <w:szCs w:val="22"/>
        </w:rPr>
        <w:t>second</w:t>
      </w:r>
      <w:r w:rsidR="006E688C">
        <w:rPr>
          <w:szCs w:val="22"/>
        </w:rPr>
        <w:t>, il</w:t>
      </w:r>
      <w:r w:rsidR="00FB26CA">
        <w:rPr>
          <w:szCs w:val="22"/>
        </w:rPr>
        <w:t xml:space="preserve"> </w:t>
      </w:r>
      <w:r w:rsidR="009D4BA2">
        <w:rPr>
          <w:szCs w:val="22"/>
        </w:rPr>
        <w:t>porta</w:t>
      </w:r>
      <w:r w:rsidR="00FB26CA">
        <w:rPr>
          <w:szCs w:val="22"/>
        </w:rPr>
        <w:t>i</w:t>
      </w:r>
      <w:r w:rsidR="009D4BA2">
        <w:rPr>
          <w:szCs w:val="22"/>
        </w:rPr>
        <w:t xml:space="preserve">t non seulement sur </w:t>
      </w:r>
      <w:r w:rsidR="00FB26CA">
        <w:rPr>
          <w:szCs w:val="22"/>
        </w:rPr>
        <w:t>d</w:t>
      </w:r>
      <w:r w:rsidR="009D4BA2">
        <w:rPr>
          <w:szCs w:val="22"/>
        </w:rPr>
        <w:t xml:space="preserve">es circonstances particulières invoquées par les requérants, mais aussi sur </w:t>
      </w:r>
      <w:r w:rsidR="002411A6">
        <w:rPr>
          <w:szCs w:val="22"/>
        </w:rPr>
        <w:t>l’organisation des tests</w:t>
      </w:r>
      <w:r w:rsidR="00FB26CA">
        <w:rPr>
          <w:szCs w:val="22"/>
        </w:rPr>
        <w:t xml:space="preserve">. Dans ces deux derniers cas, </w:t>
      </w:r>
      <w:r w:rsidR="002411A6" w:rsidRPr="00F632F6">
        <w:rPr>
          <w:szCs w:val="22"/>
        </w:rPr>
        <w:t>l</w:t>
      </w:r>
      <w:r w:rsidR="00881FDF">
        <w:rPr>
          <w:szCs w:val="22"/>
        </w:rPr>
        <w:t xml:space="preserve">es Ecoles européennes ont décidé </w:t>
      </w:r>
      <w:r w:rsidR="002411A6" w:rsidRPr="00F632F6">
        <w:rPr>
          <w:szCs w:val="22"/>
        </w:rPr>
        <w:t xml:space="preserve">de retirer </w:t>
      </w:r>
      <w:r w:rsidR="009D4BA2">
        <w:rPr>
          <w:szCs w:val="22"/>
        </w:rPr>
        <w:t>l</w:t>
      </w:r>
      <w:r w:rsidR="002411A6" w:rsidRPr="00F632F6">
        <w:rPr>
          <w:szCs w:val="22"/>
        </w:rPr>
        <w:t xml:space="preserve">a décision </w:t>
      </w:r>
      <w:r w:rsidR="009D4BA2">
        <w:rPr>
          <w:szCs w:val="22"/>
        </w:rPr>
        <w:t xml:space="preserve">administrative relative à la détermination de la langue dominante de l’élève </w:t>
      </w:r>
      <w:r w:rsidR="002411A6" w:rsidRPr="00F632F6">
        <w:rPr>
          <w:szCs w:val="22"/>
        </w:rPr>
        <w:t>dans le but d’organiser au plus tôt de nouveaux tests comparatifs de langue</w:t>
      </w:r>
      <w:r w:rsidR="002411A6">
        <w:rPr>
          <w:szCs w:val="22"/>
        </w:rPr>
        <w:t xml:space="preserve">. </w:t>
      </w:r>
    </w:p>
    <w:p w:rsidR="00386C30" w:rsidRDefault="00386C30" w:rsidP="00386C30">
      <w:pPr>
        <w:tabs>
          <w:tab w:val="left" w:pos="284"/>
        </w:tabs>
        <w:spacing w:after="0" w:line="276" w:lineRule="auto"/>
        <w:rPr>
          <w:b/>
          <w:szCs w:val="22"/>
        </w:rPr>
      </w:pPr>
      <w:r>
        <w:rPr>
          <w:szCs w:val="22"/>
        </w:rPr>
        <w:t>Pour rappel, en 2018, 6 recours portant sur les résultats des tests comparatifs de langues avaient été introduits</w:t>
      </w:r>
      <w:r w:rsidR="005674AD">
        <w:rPr>
          <w:szCs w:val="22"/>
        </w:rPr>
        <w:t xml:space="preserve"> : </w:t>
      </w:r>
      <w:r>
        <w:rPr>
          <w:szCs w:val="22"/>
        </w:rPr>
        <w:t>1 a</w:t>
      </w:r>
      <w:r w:rsidR="005674AD">
        <w:rPr>
          <w:szCs w:val="22"/>
        </w:rPr>
        <w:t>vait</w:t>
      </w:r>
      <w:r>
        <w:rPr>
          <w:szCs w:val="22"/>
        </w:rPr>
        <w:t xml:space="preserve"> été radié</w:t>
      </w:r>
      <w:r w:rsidR="005674AD">
        <w:rPr>
          <w:szCs w:val="22"/>
        </w:rPr>
        <w:t xml:space="preserve">, </w:t>
      </w:r>
      <w:r>
        <w:rPr>
          <w:szCs w:val="22"/>
        </w:rPr>
        <w:t xml:space="preserve">les parents </w:t>
      </w:r>
      <w:r w:rsidR="005674AD">
        <w:rPr>
          <w:szCs w:val="22"/>
        </w:rPr>
        <w:t xml:space="preserve">ayant </w:t>
      </w:r>
      <w:r>
        <w:rPr>
          <w:szCs w:val="22"/>
        </w:rPr>
        <w:t xml:space="preserve">renoncé </w:t>
      </w:r>
      <w:r w:rsidR="005674AD">
        <w:rPr>
          <w:szCs w:val="22"/>
        </w:rPr>
        <w:t>à l’instance, 3 avaie</w:t>
      </w:r>
      <w:r>
        <w:rPr>
          <w:szCs w:val="22"/>
        </w:rPr>
        <w:t xml:space="preserve">nt été rejetés et 2 </w:t>
      </w:r>
      <w:r w:rsidR="005674AD">
        <w:rPr>
          <w:szCs w:val="22"/>
        </w:rPr>
        <w:t>avaie</w:t>
      </w:r>
      <w:r>
        <w:rPr>
          <w:szCs w:val="22"/>
        </w:rPr>
        <w:t>nt abouti à l’annulation de la décision de l’ACI entra</w:t>
      </w:r>
      <w:r w:rsidR="005674AD">
        <w:rPr>
          <w:szCs w:val="22"/>
        </w:rPr>
        <w:t>î</w:t>
      </w:r>
      <w:r>
        <w:rPr>
          <w:szCs w:val="22"/>
        </w:rPr>
        <w:t>nant l’organisation de nouveaux tests pour l’un des élèves concernés</w:t>
      </w:r>
      <w:r>
        <w:rPr>
          <w:b/>
          <w:szCs w:val="22"/>
        </w:rPr>
        <w:t>.</w:t>
      </w:r>
    </w:p>
    <w:p w:rsidR="00386C30" w:rsidRDefault="005674AD" w:rsidP="00386C30">
      <w:pPr>
        <w:tabs>
          <w:tab w:val="left" w:pos="284"/>
        </w:tabs>
        <w:spacing w:after="0" w:line="276" w:lineRule="auto"/>
        <w:rPr>
          <w:b/>
          <w:szCs w:val="22"/>
        </w:rPr>
      </w:pPr>
      <w:r>
        <w:rPr>
          <w:szCs w:val="22"/>
        </w:rPr>
        <w:t xml:space="preserve">Un bilan sur la </w:t>
      </w:r>
      <w:r w:rsidR="00386C30">
        <w:rPr>
          <w:szCs w:val="22"/>
        </w:rPr>
        <w:t xml:space="preserve">mise en </w:t>
      </w:r>
      <w:r>
        <w:rPr>
          <w:szCs w:val="22"/>
        </w:rPr>
        <w:t xml:space="preserve">œuvre </w:t>
      </w:r>
      <w:r w:rsidR="00386C30">
        <w:rPr>
          <w:szCs w:val="22"/>
        </w:rPr>
        <w:t>d</w:t>
      </w:r>
      <w:r>
        <w:rPr>
          <w:szCs w:val="22"/>
        </w:rPr>
        <w:t>e la p</w:t>
      </w:r>
      <w:r w:rsidR="00386C30">
        <w:rPr>
          <w:szCs w:val="22"/>
        </w:rPr>
        <w:t>rocédure harmonisée pour l’organisation des tests</w:t>
      </w:r>
      <w:r>
        <w:rPr>
          <w:szCs w:val="22"/>
        </w:rPr>
        <w:t xml:space="preserve"> est en cours. </w:t>
      </w:r>
    </w:p>
    <w:p w:rsidR="00386C30" w:rsidRDefault="00386C30" w:rsidP="00386C30">
      <w:pPr>
        <w:tabs>
          <w:tab w:val="left" w:pos="284"/>
        </w:tabs>
        <w:spacing w:line="276" w:lineRule="auto"/>
        <w:rPr>
          <w:szCs w:val="22"/>
        </w:rPr>
      </w:pPr>
      <w:r>
        <w:rPr>
          <w:szCs w:val="22"/>
        </w:rPr>
        <w:t>Les autres motifs principaux invoqués par les requérants se rapportaient :</w:t>
      </w:r>
    </w:p>
    <w:p w:rsidR="00386C30" w:rsidRDefault="00386C30" w:rsidP="003F227E">
      <w:pPr>
        <w:pStyle w:val="ListParagraph"/>
        <w:numPr>
          <w:ilvl w:val="0"/>
          <w:numId w:val="28"/>
        </w:numPr>
        <w:tabs>
          <w:tab w:val="left" w:pos="284"/>
        </w:tabs>
        <w:spacing w:line="276" w:lineRule="auto"/>
        <w:rPr>
          <w:color w:val="000000" w:themeColor="text1"/>
          <w:szCs w:val="22"/>
        </w:rPr>
      </w:pPr>
      <w:r>
        <w:rPr>
          <w:szCs w:val="22"/>
        </w:rPr>
        <w:t xml:space="preserve">à </w:t>
      </w:r>
      <w:r>
        <w:rPr>
          <w:color w:val="000000" w:themeColor="text1"/>
          <w:szCs w:val="22"/>
        </w:rPr>
        <w:t>des motifs géographiques et organisationnels (16 recours rejetés</w:t>
      </w:r>
      <w:r w:rsidR="005674AD">
        <w:rPr>
          <w:color w:val="000000" w:themeColor="text1"/>
          <w:szCs w:val="22"/>
        </w:rPr>
        <w:t>,</w:t>
      </w:r>
      <w:r>
        <w:rPr>
          <w:color w:val="000000" w:themeColor="text1"/>
          <w:szCs w:val="22"/>
        </w:rPr>
        <w:t xml:space="preserve"> dont 1</w:t>
      </w:r>
      <w:r w:rsidR="009D4BA2">
        <w:rPr>
          <w:color w:val="000000" w:themeColor="text1"/>
          <w:szCs w:val="22"/>
        </w:rPr>
        <w:t>4</w:t>
      </w:r>
      <w:r w:rsidR="003F227E">
        <w:rPr>
          <w:color w:val="000000" w:themeColor="text1"/>
          <w:szCs w:val="22"/>
        </w:rPr>
        <w:t xml:space="preserve"> par ordonnance motivée),</w:t>
      </w:r>
    </w:p>
    <w:p w:rsidR="00386C30" w:rsidRDefault="00386C30" w:rsidP="00E93D1C">
      <w:pPr>
        <w:pStyle w:val="ListParagraph"/>
        <w:numPr>
          <w:ilvl w:val="0"/>
          <w:numId w:val="28"/>
        </w:numPr>
        <w:tabs>
          <w:tab w:val="left" w:pos="284"/>
        </w:tabs>
        <w:spacing w:before="360" w:line="276" w:lineRule="auto"/>
        <w:rPr>
          <w:color w:val="000000" w:themeColor="text1"/>
          <w:szCs w:val="22"/>
        </w:rPr>
      </w:pPr>
      <w:r>
        <w:rPr>
          <w:color w:val="000000" w:themeColor="text1"/>
          <w:szCs w:val="22"/>
        </w:rPr>
        <w:t>à la prise en compte de circonstances particulières pour permettre l’inscription dans l’école/site de première préférence (</w:t>
      </w:r>
      <w:r w:rsidR="009D4BA2">
        <w:rPr>
          <w:color w:val="000000" w:themeColor="text1"/>
          <w:szCs w:val="22"/>
        </w:rPr>
        <w:t>5</w:t>
      </w:r>
      <w:r>
        <w:rPr>
          <w:color w:val="000000" w:themeColor="text1"/>
          <w:szCs w:val="22"/>
        </w:rPr>
        <w:t xml:space="preserve"> recours</w:t>
      </w:r>
      <w:r w:rsidR="005674AD">
        <w:rPr>
          <w:color w:val="000000" w:themeColor="text1"/>
          <w:szCs w:val="22"/>
        </w:rPr>
        <w:t>,</w:t>
      </w:r>
      <w:r>
        <w:rPr>
          <w:color w:val="000000" w:themeColor="text1"/>
          <w:szCs w:val="22"/>
        </w:rPr>
        <w:t xml:space="preserve"> dont 2 ont abouti à l’annulation de la décision de l’ACI, ce qui impliquait un réexamen de la demande par l’ACI</w:t>
      </w:r>
      <w:r w:rsidR="005674AD">
        <w:rPr>
          <w:color w:val="000000" w:themeColor="text1"/>
          <w:szCs w:val="22"/>
        </w:rPr>
        <w:t>,</w:t>
      </w:r>
      <w:r>
        <w:rPr>
          <w:color w:val="000000" w:themeColor="text1"/>
          <w:szCs w:val="22"/>
        </w:rPr>
        <w:t xml:space="preserve"> et </w:t>
      </w:r>
      <w:r w:rsidR="009D4BA2">
        <w:rPr>
          <w:color w:val="000000" w:themeColor="text1"/>
          <w:szCs w:val="22"/>
        </w:rPr>
        <w:t>3</w:t>
      </w:r>
      <w:r>
        <w:rPr>
          <w:color w:val="000000" w:themeColor="text1"/>
          <w:szCs w:val="22"/>
        </w:rPr>
        <w:t xml:space="preserve"> ont été rejeté</w:t>
      </w:r>
      <w:r w:rsidR="005674AD">
        <w:rPr>
          <w:color w:val="000000" w:themeColor="text1"/>
          <w:szCs w:val="22"/>
        </w:rPr>
        <w:t>s</w:t>
      </w:r>
      <w:r w:rsidR="009D4BA2">
        <w:rPr>
          <w:color w:val="000000" w:themeColor="text1"/>
          <w:szCs w:val="22"/>
        </w:rPr>
        <w:t>, dont 2</w:t>
      </w:r>
      <w:r>
        <w:rPr>
          <w:color w:val="000000" w:themeColor="text1"/>
          <w:szCs w:val="22"/>
        </w:rPr>
        <w:t xml:space="preserve"> par ordonnance motivée) ou pour autoriser un transfert d’un(e) école/site de Bruxelles vers un(e) autre école/site (2 recours rejetés</w:t>
      </w:r>
      <w:r w:rsidR="009D4BA2">
        <w:rPr>
          <w:color w:val="000000" w:themeColor="text1"/>
          <w:szCs w:val="22"/>
        </w:rPr>
        <w:t>, dont l’un par ordonnance motivée,</w:t>
      </w:r>
      <w:r>
        <w:rPr>
          <w:color w:val="000000" w:themeColor="text1"/>
          <w:szCs w:val="22"/>
        </w:rPr>
        <w:t xml:space="preserve"> et 1 recours radié suite au désistement des parents). </w:t>
      </w:r>
    </w:p>
    <w:p w:rsidR="00386C30" w:rsidRDefault="00386C30" w:rsidP="003F227E">
      <w:pPr>
        <w:pStyle w:val="ListParagraph"/>
        <w:numPr>
          <w:ilvl w:val="0"/>
          <w:numId w:val="28"/>
        </w:numPr>
        <w:tabs>
          <w:tab w:val="left" w:pos="284"/>
        </w:tabs>
        <w:spacing w:before="240" w:line="276" w:lineRule="auto"/>
        <w:rPr>
          <w:color w:val="000000" w:themeColor="text1"/>
          <w:szCs w:val="22"/>
        </w:rPr>
      </w:pPr>
      <w:r>
        <w:rPr>
          <w:color w:val="000000" w:themeColor="text1"/>
          <w:szCs w:val="22"/>
        </w:rPr>
        <w:t>ainsi qu’à la prise en compte d’un cas de force majeure pour permettre l’introduction d’une demande d’inscription en deuxième phase pour des deman</w:t>
      </w:r>
      <w:r w:rsidR="005674AD">
        <w:rPr>
          <w:color w:val="000000" w:themeColor="text1"/>
          <w:szCs w:val="22"/>
        </w:rPr>
        <w:t xml:space="preserve">deurs d’inscription </w:t>
      </w:r>
      <w:r>
        <w:rPr>
          <w:color w:val="000000" w:themeColor="text1"/>
          <w:szCs w:val="22"/>
        </w:rPr>
        <w:t>en poste dans les Institutions européennes</w:t>
      </w:r>
      <w:r>
        <w:rPr>
          <w:rStyle w:val="FootnoteReference"/>
          <w:color w:val="000000" w:themeColor="text1"/>
          <w:szCs w:val="22"/>
        </w:rPr>
        <w:footnoteReference w:id="7"/>
      </w:r>
      <w:r>
        <w:rPr>
          <w:color w:val="000000" w:themeColor="text1"/>
          <w:szCs w:val="22"/>
        </w:rPr>
        <w:t xml:space="preserve"> au 31 décembre 2018 (8 recours</w:t>
      </w:r>
      <w:r w:rsidR="005674AD">
        <w:rPr>
          <w:color w:val="000000" w:themeColor="text1"/>
          <w:szCs w:val="22"/>
        </w:rPr>
        <w:t>,</w:t>
      </w:r>
      <w:r>
        <w:rPr>
          <w:color w:val="000000" w:themeColor="text1"/>
          <w:szCs w:val="22"/>
        </w:rPr>
        <w:t xml:space="preserve"> dont </w:t>
      </w:r>
      <w:r w:rsidR="003F227E">
        <w:rPr>
          <w:color w:val="000000" w:themeColor="text1"/>
          <w:szCs w:val="22"/>
        </w:rPr>
        <w:t>6</w:t>
      </w:r>
      <w:r>
        <w:rPr>
          <w:color w:val="000000" w:themeColor="text1"/>
          <w:szCs w:val="22"/>
        </w:rPr>
        <w:t xml:space="preserve">  rejeté</w:t>
      </w:r>
      <w:r w:rsidR="005674AD">
        <w:rPr>
          <w:color w:val="000000" w:themeColor="text1"/>
          <w:szCs w:val="22"/>
        </w:rPr>
        <w:t>s</w:t>
      </w:r>
      <w:r>
        <w:rPr>
          <w:color w:val="000000" w:themeColor="text1"/>
          <w:szCs w:val="22"/>
        </w:rPr>
        <w:t xml:space="preserve"> et </w:t>
      </w:r>
      <w:r w:rsidR="003F227E">
        <w:rPr>
          <w:color w:val="000000" w:themeColor="text1"/>
          <w:szCs w:val="22"/>
        </w:rPr>
        <w:t>2</w:t>
      </w:r>
      <w:r>
        <w:rPr>
          <w:color w:val="000000" w:themeColor="text1"/>
          <w:szCs w:val="22"/>
        </w:rPr>
        <w:t xml:space="preserve"> radié</w:t>
      </w:r>
      <w:r w:rsidR="003F227E">
        <w:rPr>
          <w:color w:val="000000" w:themeColor="text1"/>
          <w:szCs w:val="22"/>
        </w:rPr>
        <w:t>s</w:t>
      </w:r>
      <w:r>
        <w:rPr>
          <w:color w:val="000000" w:themeColor="text1"/>
          <w:szCs w:val="22"/>
        </w:rPr>
        <w:t xml:space="preserve">, les parents </w:t>
      </w:r>
      <w:r w:rsidR="005674AD">
        <w:rPr>
          <w:color w:val="000000" w:themeColor="text1"/>
          <w:szCs w:val="22"/>
        </w:rPr>
        <w:t>aya</w:t>
      </w:r>
      <w:r>
        <w:rPr>
          <w:color w:val="000000" w:themeColor="text1"/>
          <w:szCs w:val="22"/>
        </w:rPr>
        <w:t>nt renoncé à l’instance).</w:t>
      </w:r>
    </w:p>
    <w:p w:rsidR="009D4BA2" w:rsidRDefault="009D4BA2" w:rsidP="00EC650D">
      <w:pPr>
        <w:tabs>
          <w:tab w:val="left" w:pos="284"/>
        </w:tabs>
        <w:spacing w:before="240" w:after="0" w:line="276" w:lineRule="auto"/>
        <w:rPr>
          <w:b/>
          <w:szCs w:val="22"/>
        </w:rPr>
      </w:pPr>
    </w:p>
    <w:p w:rsidR="001D6B06" w:rsidRDefault="001D6B06" w:rsidP="00EC650D">
      <w:pPr>
        <w:tabs>
          <w:tab w:val="left" w:pos="284"/>
        </w:tabs>
        <w:spacing w:before="240" w:after="0" w:line="276" w:lineRule="auto"/>
        <w:rPr>
          <w:b/>
          <w:szCs w:val="22"/>
        </w:rPr>
      </w:pPr>
      <w:r>
        <w:rPr>
          <w:b/>
          <w:szCs w:val="22"/>
        </w:rPr>
        <w:t xml:space="preserve">III. </w:t>
      </w:r>
      <w:r w:rsidRPr="001D6B06">
        <w:rPr>
          <w:b/>
          <w:sz w:val="24"/>
          <w:szCs w:val="24"/>
          <w:u w:val="single"/>
        </w:rPr>
        <w:t>Situation des écoles à l’issue de la campagne d’inscription 201</w:t>
      </w:r>
      <w:r w:rsidR="00D03D61">
        <w:rPr>
          <w:b/>
          <w:sz w:val="24"/>
          <w:szCs w:val="24"/>
          <w:u w:val="single"/>
        </w:rPr>
        <w:t>9</w:t>
      </w:r>
      <w:r w:rsidRPr="001D6B06">
        <w:rPr>
          <w:b/>
          <w:sz w:val="24"/>
          <w:szCs w:val="24"/>
          <w:u w:val="single"/>
        </w:rPr>
        <w:t>-20</w:t>
      </w:r>
      <w:r w:rsidR="00D03D61">
        <w:rPr>
          <w:b/>
          <w:sz w:val="24"/>
          <w:szCs w:val="24"/>
          <w:u w:val="single"/>
        </w:rPr>
        <w:t>20</w:t>
      </w:r>
    </w:p>
    <w:p w:rsidR="001D6B06" w:rsidRDefault="001D6B06" w:rsidP="000B4781">
      <w:pPr>
        <w:tabs>
          <w:tab w:val="left" w:pos="284"/>
        </w:tabs>
        <w:spacing w:before="240" w:after="0" w:line="276" w:lineRule="auto"/>
        <w:rPr>
          <w:b/>
          <w:szCs w:val="22"/>
        </w:rPr>
      </w:pPr>
      <w:r>
        <w:rPr>
          <w:b/>
          <w:szCs w:val="22"/>
        </w:rPr>
        <w:tab/>
        <w:t>3.1 Répartition de la population scolaire</w:t>
      </w:r>
    </w:p>
    <w:p w:rsidR="000B4781" w:rsidRDefault="000B4781" w:rsidP="000B4781">
      <w:pPr>
        <w:tabs>
          <w:tab w:val="left" w:pos="284"/>
        </w:tabs>
        <w:spacing w:before="0" w:line="276" w:lineRule="auto"/>
        <w:rPr>
          <w:b/>
          <w:szCs w:val="22"/>
        </w:rPr>
      </w:pPr>
    </w:p>
    <w:p w:rsidR="001D6B06" w:rsidRDefault="001D6B06" w:rsidP="00760BAE">
      <w:pPr>
        <w:tabs>
          <w:tab w:val="left" w:pos="284"/>
        </w:tabs>
        <w:spacing w:after="0" w:line="276" w:lineRule="auto"/>
        <w:rPr>
          <w:b/>
          <w:szCs w:val="22"/>
        </w:rPr>
      </w:pPr>
      <w:r>
        <w:rPr>
          <w:b/>
          <w:szCs w:val="22"/>
        </w:rPr>
        <w:tab/>
        <w:t xml:space="preserve">3.1.1. Pour l’ensemble des écoles </w:t>
      </w:r>
    </w:p>
    <w:p w:rsidR="00425194" w:rsidRDefault="000B09FF" w:rsidP="00EC650D">
      <w:pPr>
        <w:tabs>
          <w:tab w:val="left" w:pos="284"/>
        </w:tabs>
        <w:spacing w:before="240" w:after="0" w:line="276" w:lineRule="auto"/>
        <w:rPr>
          <w:szCs w:val="22"/>
        </w:rPr>
      </w:pPr>
      <w:r>
        <w:rPr>
          <w:szCs w:val="22"/>
        </w:rPr>
        <w:t xml:space="preserve">Au 15 </w:t>
      </w:r>
      <w:r w:rsidRPr="00466052">
        <w:rPr>
          <w:szCs w:val="22"/>
        </w:rPr>
        <w:t>octobre 201</w:t>
      </w:r>
      <w:r w:rsidR="00A539B0">
        <w:rPr>
          <w:szCs w:val="22"/>
        </w:rPr>
        <w:t>9</w:t>
      </w:r>
      <w:r w:rsidR="00737F92" w:rsidRPr="00466052">
        <w:rPr>
          <w:szCs w:val="22"/>
        </w:rPr>
        <w:t xml:space="preserve">, </w:t>
      </w:r>
      <w:r w:rsidR="00737F92">
        <w:rPr>
          <w:szCs w:val="22"/>
        </w:rPr>
        <w:t>l</w:t>
      </w:r>
      <w:r w:rsidR="00425194" w:rsidRPr="00425194">
        <w:rPr>
          <w:szCs w:val="22"/>
        </w:rPr>
        <w:t>a population scolaire des</w:t>
      </w:r>
      <w:r w:rsidR="001B2938">
        <w:rPr>
          <w:szCs w:val="22"/>
        </w:rPr>
        <w:t xml:space="preserve"> E</w:t>
      </w:r>
      <w:r w:rsidR="00425194" w:rsidRPr="00425194">
        <w:rPr>
          <w:szCs w:val="22"/>
        </w:rPr>
        <w:t>coles européennes de Bruxelle</w:t>
      </w:r>
      <w:r w:rsidR="00425194" w:rsidRPr="00737F92">
        <w:rPr>
          <w:szCs w:val="22"/>
        </w:rPr>
        <w:t>s</w:t>
      </w:r>
      <w:r w:rsidR="00C87FE9" w:rsidRPr="00737F92">
        <w:rPr>
          <w:szCs w:val="22"/>
        </w:rPr>
        <w:t xml:space="preserve"> </w:t>
      </w:r>
      <w:r w:rsidR="000C6033" w:rsidRPr="00737F92">
        <w:rPr>
          <w:szCs w:val="22"/>
        </w:rPr>
        <w:t xml:space="preserve">continue </w:t>
      </w:r>
      <w:r w:rsidR="00A539B0">
        <w:rPr>
          <w:szCs w:val="22"/>
        </w:rPr>
        <w:t xml:space="preserve">de nouveau de </w:t>
      </w:r>
      <w:r w:rsidR="000C6033" w:rsidRPr="00737F92">
        <w:rPr>
          <w:szCs w:val="22"/>
        </w:rPr>
        <w:t>cro</w:t>
      </w:r>
      <w:r w:rsidR="00A539B0">
        <w:rPr>
          <w:szCs w:val="22"/>
        </w:rPr>
        <w:t>î</w:t>
      </w:r>
      <w:r w:rsidR="000C6033" w:rsidRPr="00737F92">
        <w:rPr>
          <w:szCs w:val="22"/>
        </w:rPr>
        <w:t>tre</w:t>
      </w:r>
      <w:r w:rsidR="003F0CA3">
        <w:rPr>
          <w:szCs w:val="22"/>
        </w:rPr>
        <w:t xml:space="preserve">, </w:t>
      </w:r>
      <w:r w:rsidR="00737F92" w:rsidRPr="00737F92">
        <w:rPr>
          <w:szCs w:val="22"/>
        </w:rPr>
        <w:t>comme en atteste</w:t>
      </w:r>
      <w:r w:rsidR="00737F92">
        <w:rPr>
          <w:szCs w:val="22"/>
        </w:rPr>
        <w:t>nt</w:t>
      </w:r>
      <w:r w:rsidR="00737F92" w:rsidRPr="00737F92">
        <w:rPr>
          <w:szCs w:val="22"/>
        </w:rPr>
        <w:t xml:space="preserve"> le</w:t>
      </w:r>
      <w:r w:rsidR="00737F92">
        <w:rPr>
          <w:szCs w:val="22"/>
        </w:rPr>
        <w:t>s données s</w:t>
      </w:r>
      <w:r w:rsidR="00737F92" w:rsidRPr="00737F92">
        <w:rPr>
          <w:szCs w:val="22"/>
        </w:rPr>
        <w:t>uivant</w:t>
      </w:r>
      <w:r w:rsidR="00737F92">
        <w:rPr>
          <w:szCs w:val="22"/>
        </w:rPr>
        <w:t>es</w:t>
      </w:r>
      <w:r w:rsidR="00737F92" w:rsidRPr="00737F92">
        <w:rPr>
          <w:szCs w:val="22"/>
        </w:rPr>
        <w:t xml:space="preserve"> </w:t>
      </w:r>
      <w:r w:rsidR="00C91BAF" w:rsidRPr="00737F92">
        <w:rPr>
          <w:szCs w:val="22"/>
        </w:rPr>
        <w:t>:</w:t>
      </w:r>
      <w:r w:rsidR="00B95CB6">
        <w:rPr>
          <w:szCs w:val="22"/>
        </w:rPr>
        <w:t xml:space="preserve"> </w:t>
      </w:r>
    </w:p>
    <w:p w:rsidR="005F6CE5" w:rsidRDefault="00842EB0" w:rsidP="00EC650D">
      <w:pPr>
        <w:tabs>
          <w:tab w:val="left" w:pos="284"/>
        </w:tabs>
        <w:spacing w:before="240" w:after="0" w:line="276" w:lineRule="auto"/>
        <w:rPr>
          <w:szCs w:val="22"/>
        </w:rPr>
      </w:pPr>
      <w:r w:rsidRPr="00842EB0">
        <w:rPr>
          <w:noProof/>
          <w:lang w:val="en-US" w:eastAsia="en-US"/>
        </w:rPr>
        <w:drawing>
          <wp:inline distT="0" distB="0" distL="0" distR="0">
            <wp:extent cx="5841365" cy="6367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1365" cy="636736"/>
                    </a:xfrm>
                    <a:prstGeom prst="rect">
                      <a:avLst/>
                    </a:prstGeom>
                    <a:noFill/>
                    <a:ln>
                      <a:noFill/>
                    </a:ln>
                  </pic:spPr>
                </pic:pic>
              </a:graphicData>
            </a:graphic>
          </wp:inline>
        </w:drawing>
      </w:r>
    </w:p>
    <w:p w:rsidR="00A3438D" w:rsidRDefault="00A3438D" w:rsidP="00760BAE">
      <w:pPr>
        <w:tabs>
          <w:tab w:val="left" w:pos="284"/>
        </w:tabs>
        <w:spacing w:before="240" w:line="276" w:lineRule="auto"/>
        <w:rPr>
          <w:szCs w:val="22"/>
        </w:rPr>
      </w:pPr>
    </w:p>
    <w:p w:rsidR="000B4781" w:rsidRDefault="00760BAE" w:rsidP="00760BAE">
      <w:pPr>
        <w:tabs>
          <w:tab w:val="left" w:pos="284"/>
        </w:tabs>
        <w:spacing w:before="240" w:line="276" w:lineRule="auto"/>
        <w:rPr>
          <w:szCs w:val="22"/>
        </w:rPr>
      </w:pPr>
      <w:r w:rsidRPr="00D53AAE">
        <w:rPr>
          <w:szCs w:val="22"/>
        </w:rPr>
        <w:lastRenderedPageBreak/>
        <w:t xml:space="preserve">Cette situation globale doit également être prise en considération par rapport à la capacité théorique de chaque école et </w:t>
      </w:r>
      <w:r w:rsidR="00A539B0" w:rsidRPr="00D53AAE">
        <w:rPr>
          <w:szCs w:val="22"/>
        </w:rPr>
        <w:t xml:space="preserve">à </w:t>
      </w:r>
      <w:r w:rsidRPr="00D53AAE">
        <w:rPr>
          <w:szCs w:val="22"/>
        </w:rPr>
        <w:t xml:space="preserve">leurs </w:t>
      </w:r>
      <w:r w:rsidR="00885379" w:rsidRPr="00D53AAE">
        <w:rPr>
          <w:szCs w:val="22"/>
        </w:rPr>
        <w:t xml:space="preserve">effectifs </w:t>
      </w:r>
      <w:r w:rsidRPr="00D53AAE">
        <w:rPr>
          <w:szCs w:val="22"/>
        </w:rPr>
        <w:t>respectifs au 15</w:t>
      </w:r>
      <w:r w:rsidR="00885379" w:rsidRPr="00D53AAE">
        <w:rPr>
          <w:szCs w:val="22"/>
        </w:rPr>
        <w:t xml:space="preserve"> octobre </w:t>
      </w:r>
      <w:r w:rsidR="00442097">
        <w:rPr>
          <w:szCs w:val="22"/>
        </w:rPr>
        <w:t xml:space="preserve">de </w:t>
      </w:r>
      <w:r w:rsidR="00885379" w:rsidRPr="00D53AAE">
        <w:rPr>
          <w:szCs w:val="22"/>
        </w:rPr>
        <w:t>2012</w:t>
      </w:r>
      <w:r w:rsidR="00805FE2" w:rsidRPr="00D53AAE">
        <w:rPr>
          <w:szCs w:val="22"/>
        </w:rPr>
        <w:t xml:space="preserve"> à </w:t>
      </w:r>
      <w:r w:rsidR="007264DA" w:rsidRPr="00D53AAE">
        <w:rPr>
          <w:szCs w:val="22"/>
        </w:rPr>
        <w:t>201</w:t>
      </w:r>
      <w:r w:rsidR="00D2421C">
        <w:rPr>
          <w:szCs w:val="22"/>
        </w:rPr>
        <w:t>9</w:t>
      </w:r>
      <w:r w:rsidR="007264DA" w:rsidRPr="00D53AAE">
        <w:rPr>
          <w:szCs w:val="22"/>
        </w:rPr>
        <w:t xml:space="preserve"> </w:t>
      </w:r>
      <w:r w:rsidRPr="00D53AAE">
        <w:rPr>
          <w:szCs w:val="22"/>
        </w:rPr>
        <w:t>figurant ci-après :</w:t>
      </w:r>
    </w:p>
    <w:p w:rsidR="0096335F" w:rsidRDefault="0012495C" w:rsidP="00A3438D">
      <w:pPr>
        <w:tabs>
          <w:tab w:val="left" w:pos="284"/>
        </w:tabs>
        <w:spacing w:line="276" w:lineRule="auto"/>
        <w:rPr>
          <w:b/>
          <w:szCs w:val="22"/>
        </w:rPr>
      </w:pPr>
      <w:r w:rsidRPr="0012495C">
        <w:rPr>
          <w:noProof/>
          <w:lang w:val="en-US" w:eastAsia="en-US"/>
        </w:rPr>
        <w:drawing>
          <wp:inline distT="0" distB="0" distL="0" distR="0">
            <wp:extent cx="5841365" cy="1444038"/>
            <wp:effectExtent l="0" t="0" r="698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1365" cy="1444038"/>
                    </a:xfrm>
                    <a:prstGeom prst="rect">
                      <a:avLst/>
                    </a:prstGeom>
                    <a:noFill/>
                    <a:ln>
                      <a:noFill/>
                    </a:ln>
                  </pic:spPr>
                </pic:pic>
              </a:graphicData>
            </a:graphic>
          </wp:inline>
        </w:drawing>
      </w:r>
      <w:r w:rsidR="00E81E85">
        <w:rPr>
          <w:b/>
          <w:szCs w:val="22"/>
        </w:rPr>
        <w:tab/>
      </w:r>
      <w:r w:rsidR="000232DF">
        <w:rPr>
          <w:noProof/>
          <w:lang w:val="en-US" w:eastAsia="en-US"/>
        </w:rPr>
        <w:drawing>
          <wp:inline distT="0" distB="0" distL="0" distR="0" wp14:anchorId="4601FCCD" wp14:editId="554C1758">
            <wp:extent cx="5760085" cy="2736215"/>
            <wp:effectExtent l="0" t="0" r="12065" b="698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32DF" w:rsidRDefault="000232DF" w:rsidP="00F63DB0">
      <w:pPr>
        <w:tabs>
          <w:tab w:val="left" w:pos="284"/>
        </w:tabs>
        <w:spacing w:before="0" w:line="276" w:lineRule="auto"/>
        <w:rPr>
          <w:b/>
          <w:szCs w:val="22"/>
        </w:rPr>
      </w:pPr>
    </w:p>
    <w:p w:rsidR="00B744F3" w:rsidRPr="005243F1" w:rsidRDefault="00B744F3" w:rsidP="00F63DB0">
      <w:pPr>
        <w:tabs>
          <w:tab w:val="left" w:pos="284"/>
        </w:tabs>
        <w:spacing w:before="0" w:line="276" w:lineRule="auto"/>
        <w:rPr>
          <w:szCs w:val="22"/>
        </w:rPr>
      </w:pPr>
      <w:r w:rsidRPr="00B744F3">
        <w:rPr>
          <w:b/>
          <w:szCs w:val="22"/>
        </w:rPr>
        <w:t xml:space="preserve">3.1.2. Par cycle </w:t>
      </w:r>
    </w:p>
    <w:p w:rsidR="00423DB3" w:rsidRDefault="00706B29" w:rsidP="00760BAE">
      <w:pPr>
        <w:tabs>
          <w:tab w:val="left" w:pos="284"/>
        </w:tabs>
        <w:spacing w:before="240" w:line="276" w:lineRule="auto"/>
        <w:rPr>
          <w:szCs w:val="22"/>
        </w:rPr>
      </w:pPr>
      <w:r>
        <w:rPr>
          <w:szCs w:val="22"/>
        </w:rPr>
        <w:t>Les e</w:t>
      </w:r>
      <w:r w:rsidR="00CE5BFA" w:rsidRPr="00CE5BFA">
        <w:rPr>
          <w:szCs w:val="22"/>
        </w:rPr>
        <w:t xml:space="preserve">ffectifs du </w:t>
      </w:r>
      <w:r w:rsidR="00CE5BFA" w:rsidRPr="00CE5BFA">
        <w:rPr>
          <w:b/>
          <w:szCs w:val="22"/>
        </w:rPr>
        <w:t>cycle maternel</w:t>
      </w:r>
      <w:r w:rsidR="00CE5BFA" w:rsidRPr="00CE5BFA">
        <w:rPr>
          <w:szCs w:val="22"/>
        </w:rPr>
        <w:t xml:space="preserve"> </w:t>
      </w:r>
      <w:r>
        <w:rPr>
          <w:szCs w:val="22"/>
        </w:rPr>
        <w:t xml:space="preserve">avaient atteint </w:t>
      </w:r>
      <w:r w:rsidR="00CE5BFA">
        <w:rPr>
          <w:szCs w:val="22"/>
        </w:rPr>
        <w:t xml:space="preserve">pour l’année scolaire </w:t>
      </w:r>
      <w:r w:rsidR="00CE5BFA" w:rsidRPr="00CE5BFA">
        <w:rPr>
          <w:szCs w:val="22"/>
        </w:rPr>
        <w:t>2015</w:t>
      </w:r>
      <w:r w:rsidR="00CE5BFA">
        <w:rPr>
          <w:szCs w:val="22"/>
        </w:rPr>
        <w:t>-2016</w:t>
      </w:r>
      <w:r>
        <w:rPr>
          <w:szCs w:val="22"/>
        </w:rPr>
        <w:t xml:space="preserve"> un niveau record</w:t>
      </w:r>
      <w:r w:rsidR="00CE5BFA" w:rsidRPr="00CE5BFA">
        <w:rPr>
          <w:szCs w:val="22"/>
        </w:rPr>
        <w:t xml:space="preserve">, soit 1 237 élèves </w:t>
      </w:r>
      <w:r>
        <w:rPr>
          <w:szCs w:val="22"/>
        </w:rPr>
        <w:t xml:space="preserve">répartis sur </w:t>
      </w:r>
      <w:r w:rsidR="00CE5BFA">
        <w:rPr>
          <w:szCs w:val="22"/>
        </w:rPr>
        <w:t>quatre écoles</w:t>
      </w:r>
      <w:r>
        <w:rPr>
          <w:szCs w:val="22"/>
        </w:rPr>
        <w:t xml:space="preserve">. </w:t>
      </w:r>
      <w:r w:rsidR="00D2421C">
        <w:rPr>
          <w:szCs w:val="22"/>
        </w:rPr>
        <w:t xml:space="preserve">A partir de </w:t>
      </w:r>
      <w:r>
        <w:rPr>
          <w:szCs w:val="22"/>
        </w:rPr>
        <w:t xml:space="preserve">septembre 2016, </w:t>
      </w:r>
      <w:r w:rsidR="00D2421C">
        <w:rPr>
          <w:szCs w:val="22"/>
        </w:rPr>
        <w:t xml:space="preserve">date à laquelle le site de Berkendael est utilisé à titre d’extension de l’Ecole européenne de Bruxelles I, </w:t>
      </w:r>
      <w:r w:rsidR="00CE5BFA">
        <w:rPr>
          <w:szCs w:val="22"/>
        </w:rPr>
        <w:t>l’évolution</w:t>
      </w:r>
      <w:r>
        <w:rPr>
          <w:szCs w:val="22"/>
        </w:rPr>
        <w:t xml:space="preserve"> de ces effectifs</w:t>
      </w:r>
      <w:r w:rsidR="00CE5BFA">
        <w:rPr>
          <w:szCs w:val="22"/>
        </w:rPr>
        <w:t xml:space="preserve"> s’est stabilisée </w:t>
      </w:r>
      <w:r w:rsidR="00D87AFE">
        <w:rPr>
          <w:szCs w:val="22"/>
        </w:rPr>
        <w:t xml:space="preserve">aux environs de </w:t>
      </w:r>
      <w:r w:rsidR="00CE5BFA">
        <w:rPr>
          <w:szCs w:val="22"/>
        </w:rPr>
        <w:t xml:space="preserve">1 </w:t>
      </w:r>
      <w:r w:rsidR="002F6744">
        <w:rPr>
          <w:szCs w:val="22"/>
        </w:rPr>
        <w:t>150</w:t>
      </w:r>
      <w:r w:rsidR="00CE5BFA">
        <w:rPr>
          <w:szCs w:val="22"/>
        </w:rPr>
        <w:t xml:space="preserve"> élèves</w:t>
      </w:r>
      <w:r w:rsidR="00D2421C">
        <w:rPr>
          <w:szCs w:val="22"/>
        </w:rPr>
        <w:t xml:space="preserve">. </w:t>
      </w:r>
    </w:p>
    <w:p w:rsidR="00423DB3" w:rsidRDefault="008826E4" w:rsidP="00466052">
      <w:pPr>
        <w:tabs>
          <w:tab w:val="left" w:pos="284"/>
        </w:tabs>
        <w:spacing w:before="240" w:line="276" w:lineRule="auto"/>
        <w:rPr>
          <w:szCs w:val="22"/>
        </w:rPr>
      </w:pPr>
      <w:r>
        <w:rPr>
          <w:noProof/>
          <w:lang w:val="en-US" w:eastAsia="en-US"/>
        </w:rPr>
        <w:drawing>
          <wp:inline distT="0" distB="0" distL="0" distR="0" wp14:anchorId="75AE942D" wp14:editId="4C0B34E6">
            <wp:extent cx="5760085" cy="2352675"/>
            <wp:effectExtent l="0" t="0" r="1206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58DA" w:rsidRDefault="00DF618C" w:rsidP="00466052">
      <w:pPr>
        <w:tabs>
          <w:tab w:val="left" w:pos="284"/>
        </w:tabs>
        <w:spacing w:before="240" w:line="276" w:lineRule="auto"/>
        <w:rPr>
          <w:szCs w:val="22"/>
        </w:rPr>
      </w:pPr>
      <w:r>
        <w:rPr>
          <w:szCs w:val="22"/>
        </w:rPr>
        <w:lastRenderedPageBreak/>
        <w:t xml:space="preserve">En revanche, </w:t>
      </w:r>
      <w:r w:rsidR="00F91ADD">
        <w:rPr>
          <w:szCs w:val="22"/>
        </w:rPr>
        <w:t xml:space="preserve">même si </w:t>
      </w:r>
      <w:r>
        <w:rPr>
          <w:szCs w:val="22"/>
        </w:rPr>
        <w:t>la progression du</w:t>
      </w:r>
      <w:r w:rsidR="00466052">
        <w:rPr>
          <w:szCs w:val="22"/>
        </w:rPr>
        <w:t xml:space="preserve"> cycle </w:t>
      </w:r>
      <w:r w:rsidR="00466052" w:rsidRPr="00B744F3">
        <w:rPr>
          <w:b/>
          <w:szCs w:val="22"/>
        </w:rPr>
        <w:t>primaire</w:t>
      </w:r>
      <w:r w:rsidR="00466052">
        <w:rPr>
          <w:szCs w:val="22"/>
        </w:rPr>
        <w:t xml:space="preserve"> </w:t>
      </w:r>
      <w:r w:rsidR="00BD58DA">
        <w:rPr>
          <w:szCs w:val="22"/>
        </w:rPr>
        <w:t xml:space="preserve">n’est plus aussi importante que les </w:t>
      </w:r>
      <w:r w:rsidR="00D2421C">
        <w:rPr>
          <w:szCs w:val="22"/>
        </w:rPr>
        <w:t>dernières années</w:t>
      </w:r>
      <w:r w:rsidR="00BD58DA">
        <w:rPr>
          <w:szCs w:val="22"/>
        </w:rPr>
        <w:t xml:space="preserve">, </w:t>
      </w:r>
      <w:r w:rsidR="00F91ADD">
        <w:rPr>
          <w:szCs w:val="22"/>
        </w:rPr>
        <w:t xml:space="preserve">sa surpopulation </w:t>
      </w:r>
      <w:r w:rsidR="00BD58DA">
        <w:rPr>
          <w:szCs w:val="22"/>
        </w:rPr>
        <w:t xml:space="preserve">est toujours </w:t>
      </w:r>
      <w:r w:rsidR="00F91ADD">
        <w:rPr>
          <w:szCs w:val="22"/>
        </w:rPr>
        <w:t>difficile à gérer pour les écoles, qui ne disposent pas de locaux en nombre suffisant pour ce cycle</w:t>
      </w:r>
      <w:r w:rsidR="00442097">
        <w:rPr>
          <w:szCs w:val="22"/>
        </w:rPr>
        <w:t xml:space="preserve"> et sont amenées </w:t>
      </w:r>
      <w:r w:rsidR="00E66FBF">
        <w:rPr>
          <w:szCs w:val="22"/>
        </w:rPr>
        <w:t xml:space="preserve">parfois </w:t>
      </w:r>
      <w:r w:rsidR="00442097">
        <w:rPr>
          <w:szCs w:val="22"/>
        </w:rPr>
        <w:t>à utiliser des locaux au cycle secondaire</w:t>
      </w:r>
      <w:r w:rsidR="00F91ADD">
        <w:rPr>
          <w:szCs w:val="22"/>
        </w:rPr>
        <w:t xml:space="preserve">. </w:t>
      </w:r>
    </w:p>
    <w:p w:rsidR="00BD58DA" w:rsidRDefault="00F91ADD" w:rsidP="00466052">
      <w:pPr>
        <w:tabs>
          <w:tab w:val="left" w:pos="284"/>
        </w:tabs>
        <w:spacing w:before="240" w:line="276" w:lineRule="auto"/>
        <w:rPr>
          <w:szCs w:val="22"/>
        </w:rPr>
      </w:pPr>
      <w:r>
        <w:rPr>
          <w:szCs w:val="22"/>
        </w:rPr>
        <w:t xml:space="preserve">Quant au cycle </w:t>
      </w:r>
      <w:r w:rsidR="00DF618C" w:rsidRPr="00DF618C">
        <w:rPr>
          <w:b/>
          <w:szCs w:val="22"/>
        </w:rPr>
        <w:t>secondaire</w:t>
      </w:r>
      <w:r w:rsidRPr="00F91ADD">
        <w:rPr>
          <w:szCs w:val="22"/>
        </w:rPr>
        <w:t>, sa progression</w:t>
      </w:r>
      <w:r w:rsidR="00DF618C" w:rsidRPr="00F91ADD">
        <w:rPr>
          <w:szCs w:val="22"/>
        </w:rPr>
        <w:t xml:space="preserve"> </w:t>
      </w:r>
      <w:r w:rsidR="00466052">
        <w:rPr>
          <w:szCs w:val="22"/>
        </w:rPr>
        <w:t>constante</w:t>
      </w:r>
      <w:r w:rsidR="00BD58DA">
        <w:rPr>
          <w:szCs w:val="22"/>
        </w:rPr>
        <w:t xml:space="preserve"> s’est accentuée cette année avec plus de 300 élèves supplémentaires</w:t>
      </w:r>
      <w:r w:rsidR="00466052">
        <w:rPr>
          <w:szCs w:val="22"/>
        </w:rPr>
        <w:t xml:space="preserve">. </w:t>
      </w:r>
      <w:r w:rsidR="00D2421C">
        <w:rPr>
          <w:szCs w:val="22"/>
        </w:rPr>
        <w:t>D</w:t>
      </w:r>
      <w:r w:rsidR="00D96DFD">
        <w:rPr>
          <w:szCs w:val="22"/>
        </w:rPr>
        <w:t xml:space="preserve">eux facteurs </w:t>
      </w:r>
      <w:r w:rsidR="00805FE2">
        <w:rPr>
          <w:szCs w:val="22"/>
        </w:rPr>
        <w:t xml:space="preserve">expliquent cette croissance : le passage des élèves de plus en plus nombreux </w:t>
      </w:r>
      <w:r w:rsidR="005A52AC">
        <w:rPr>
          <w:szCs w:val="22"/>
        </w:rPr>
        <w:t xml:space="preserve">du cycle primaire </w:t>
      </w:r>
      <w:r w:rsidR="00805FE2">
        <w:rPr>
          <w:szCs w:val="22"/>
        </w:rPr>
        <w:t xml:space="preserve">au secondaire et </w:t>
      </w:r>
      <w:r w:rsidR="005A52AC">
        <w:rPr>
          <w:szCs w:val="22"/>
        </w:rPr>
        <w:t xml:space="preserve">le nombre </w:t>
      </w:r>
      <w:r w:rsidR="00A33C39">
        <w:rPr>
          <w:szCs w:val="22"/>
        </w:rPr>
        <w:t xml:space="preserve">constant </w:t>
      </w:r>
      <w:r w:rsidR="005A52AC">
        <w:rPr>
          <w:szCs w:val="22"/>
        </w:rPr>
        <w:t>de demandes d’</w:t>
      </w:r>
      <w:r w:rsidR="00A33C39">
        <w:rPr>
          <w:szCs w:val="22"/>
        </w:rPr>
        <w:t>inscription au cycle secondaire</w:t>
      </w:r>
      <w:r w:rsidR="005A52AC">
        <w:rPr>
          <w:szCs w:val="22"/>
        </w:rPr>
        <w:t xml:space="preserve">. </w:t>
      </w:r>
    </w:p>
    <w:p w:rsidR="00C33595" w:rsidRDefault="00C33595" w:rsidP="00466052">
      <w:pPr>
        <w:tabs>
          <w:tab w:val="left" w:pos="284"/>
        </w:tabs>
        <w:spacing w:before="240" w:line="276" w:lineRule="auto"/>
        <w:rPr>
          <w:szCs w:val="22"/>
        </w:rPr>
      </w:pPr>
      <w:r>
        <w:rPr>
          <w:noProof/>
          <w:lang w:val="en-US" w:eastAsia="en-US"/>
        </w:rPr>
        <w:drawing>
          <wp:inline distT="0" distB="0" distL="0" distR="0" wp14:anchorId="7FD09538" wp14:editId="6440C1E8">
            <wp:extent cx="5841365" cy="4124325"/>
            <wp:effectExtent l="0" t="0" r="698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11F1" w:rsidRDefault="00A028E2" w:rsidP="00EC650D">
      <w:pPr>
        <w:tabs>
          <w:tab w:val="left" w:pos="284"/>
        </w:tabs>
        <w:spacing w:before="240" w:line="276" w:lineRule="auto"/>
        <w:rPr>
          <w:szCs w:val="22"/>
        </w:rPr>
      </w:pPr>
      <w:r w:rsidRPr="00887465">
        <w:rPr>
          <w:szCs w:val="22"/>
        </w:rPr>
        <w:t>Si l’on compare le nombre d’élèves du cycle secondaire dans toutes les écoles, l</w:t>
      </w:r>
      <w:r w:rsidR="008B409B" w:rsidRPr="00887465">
        <w:rPr>
          <w:szCs w:val="22"/>
        </w:rPr>
        <w:t xml:space="preserve">a surpopulation </w:t>
      </w:r>
      <w:r w:rsidR="00027A3C" w:rsidRPr="00887465">
        <w:rPr>
          <w:szCs w:val="22"/>
        </w:rPr>
        <w:t>d</w:t>
      </w:r>
      <w:r w:rsidR="003A6055" w:rsidRPr="00887465">
        <w:rPr>
          <w:szCs w:val="22"/>
        </w:rPr>
        <w:t>e ce c</w:t>
      </w:r>
      <w:r w:rsidR="00027A3C" w:rsidRPr="00887465">
        <w:rPr>
          <w:szCs w:val="22"/>
        </w:rPr>
        <w:t xml:space="preserve">ycle </w:t>
      </w:r>
      <w:r w:rsidR="005F033E" w:rsidRPr="00887465">
        <w:rPr>
          <w:szCs w:val="22"/>
        </w:rPr>
        <w:t xml:space="preserve">est </w:t>
      </w:r>
      <w:r w:rsidR="00BD58DA" w:rsidRPr="00887465">
        <w:rPr>
          <w:szCs w:val="22"/>
        </w:rPr>
        <w:t xml:space="preserve">manifeste </w:t>
      </w:r>
      <w:r w:rsidR="00027A3C" w:rsidRPr="00887465">
        <w:rPr>
          <w:szCs w:val="22"/>
        </w:rPr>
        <w:t>à l’Ecole de Bruxelles I</w:t>
      </w:r>
      <w:r w:rsidR="00A06750" w:rsidRPr="00887465">
        <w:rPr>
          <w:szCs w:val="22"/>
        </w:rPr>
        <w:t xml:space="preserve"> – site Uccle</w:t>
      </w:r>
      <w:r w:rsidRPr="00887465">
        <w:rPr>
          <w:szCs w:val="22"/>
        </w:rPr>
        <w:t xml:space="preserve"> avec </w:t>
      </w:r>
      <w:r w:rsidR="004B11F1" w:rsidRPr="00887465">
        <w:rPr>
          <w:szCs w:val="22"/>
        </w:rPr>
        <w:t>p</w:t>
      </w:r>
      <w:r w:rsidR="00C33595" w:rsidRPr="00887465">
        <w:rPr>
          <w:szCs w:val="22"/>
        </w:rPr>
        <w:t xml:space="preserve">rès de </w:t>
      </w:r>
      <w:r w:rsidR="008C39A7">
        <w:rPr>
          <w:szCs w:val="22"/>
        </w:rPr>
        <w:t xml:space="preserve">      </w:t>
      </w:r>
      <w:r w:rsidR="00BD58DA" w:rsidRPr="00887465">
        <w:rPr>
          <w:szCs w:val="22"/>
        </w:rPr>
        <w:t>2</w:t>
      </w:r>
      <w:r w:rsidRPr="00887465">
        <w:rPr>
          <w:szCs w:val="22"/>
        </w:rPr>
        <w:t xml:space="preserve"> </w:t>
      </w:r>
      <w:r w:rsidR="00BD58DA" w:rsidRPr="00887465">
        <w:rPr>
          <w:szCs w:val="22"/>
        </w:rPr>
        <w:t>0</w:t>
      </w:r>
      <w:r w:rsidR="004B11F1" w:rsidRPr="00887465">
        <w:rPr>
          <w:szCs w:val="22"/>
        </w:rPr>
        <w:t>00 élèves</w:t>
      </w:r>
      <w:r w:rsidR="003A6055" w:rsidRPr="00887465">
        <w:rPr>
          <w:szCs w:val="22"/>
        </w:rPr>
        <w:t>.</w:t>
      </w:r>
      <w:r w:rsidR="00A06750" w:rsidRPr="00887465">
        <w:rPr>
          <w:szCs w:val="22"/>
        </w:rPr>
        <w:t xml:space="preserve"> </w:t>
      </w:r>
      <w:r w:rsidR="00B91518">
        <w:rPr>
          <w:szCs w:val="22"/>
        </w:rPr>
        <w:t>Même si du fait de l’organisation des cours dans ce cycle, les élèves n’occupent pas en permanence le même local, c</w:t>
      </w:r>
      <w:r w:rsidR="00A06750" w:rsidRPr="0045681F">
        <w:rPr>
          <w:szCs w:val="22"/>
        </w:rPr>
        <w:t xml:space="preserve">ette surpopulation devient de plus en plus délicate </w:t>
      </w:r>
      <w:r w:rsidR="00A06750">
        <w:rPr>
          <w:szCs w:val="22"/>
        </w:rPr>
        <w:t>à gérer</w:t>
      </w:r>
      <w:r w:rsidR="00754992">
        <w:rPr>
          <w:szCs w:val="22"/>
        </w:rPr>
        <w:t xml:space="preserve">. </w:t>
      </w:r>
      <w:r w:rsidR="00E03B32" w:rsidRPr="00754992">
        <w:rPr>
          <w:szCs w:val="22"/>
        </w:rPr>
        <w:t>Par ailleurs,</w:t>
      </w:r>
      <w:r w:rsidR="00E03B32">
        <w:rPr>
          <w:szCs w:val="22"/>
        </w:rPr>
        <w:t xml:space="preserve"> </w:t>
      </w:r>
      <w:r w:rsidR="0045681F">
        <w:rPr>
          <w:szCs w:val="22"/>
        </w:rPr>
        <w:t xml:space="preserve">les </w:t>
      </w:r>
      <w:r w:rsidR="0045681F" w:rsidRPr="00062BA8">
        <w:rPr>
          <w:szCs w:val="22"/>
        </w:rPr>
        <w:t>infrastructures destinées à ce cycle à l’</w:t>
      </w:r>
      <w:r w:rsidR="00D74E38" w:rsidRPr="00062BA8">
        <w:rPr>
          <w:szCs w:val="22"/>
        </w:rPr>
        <w:t>E</w:t>
      </w:r>
      <w:r w:rsidR="0045681F" w:rsidRPr="00062BA8">
        <w:rPr>
          <w:szCs w:val="22"/>
        </w:rPr>
        <w:t>cole de Bruxelles IV sont de moins en moins disponibles</w:t>
      </w:r>
      <w:r w:rsidR="00E0338B" w:rsidRPr="00062BA8">
        <w:rPr>
          <w:szCs w:val="22"/>
        </w:rPr>
        <w:t xml:space="preserve">, </w:t>
      </w:r>
      <w:r w:rsidR="00BD58DA">
        <w:rPr>
          <w:szCs w:val="22"/>
        </w:rPr>
        <w:t>compte tenu du dév</w:t>
      </w:r>
      <w:r w:rsidR="00854182" w:rsidRPr="00062BA8">
        <w:rPr>
          <w:szCs w:val="22"/>
        </w:rPr>
        <w:t>eloppe</w:t>
      </w:r>
      <w:r w:rsidR="00BD58DA">
        <w:rPr>
          <w:szCs w:val="22"/>
        </w:rPr>
        <w:t>me</w:t>
      </w:r>
      <w:r w:rsidR="00854182" w:rsidRPr="00062BA8">
        <w:rPr>
          <w:szCs w:val="22"/>
        </w:rPr>
        <w:t>nt progressi</w:t>
      </w:r>
      <w:r w:rsidR="00BD58DA">
        <w:rPr>
          <w:szCs w:val="22"/>
        </w:rPr>
        <w:t>f au secondaire d</w:t>
      </w:r>
      <w:r w:rsidR="00D74E38" w:rsidRPr="00062BA8">
        <w:rPr>
          <w:szCs w:val="22"/>
        </w:rPr>
        <w:t>e</w:t>
      </w:r>
      <w:r w:rsidR="0045681F" w:rsidRPr="00062BA8">
        <w:rPr>
          <w:szCs w:val="22"/>
        </w:rPr>
        <w:t xml:space="preserve">s sections linguistiques uniques </w:t>
      </w:r>
      <w:r w:rsidR="00BD58DA">
        <w:rPr>
          <w:szCs w:val="22"/>
        </w:rPr>
        <w:t xml:space="preserve">ouvertes dans </w:t>
      </w:r>
      <w:r w:rsidR="00854182" w:rsidRPr="00062BA8">
        <w:rPr>
          <w:szCs w:val="22"/>
        </w:rPr>
        <w:t>cette école</w:t>
      </w:r>
      <w:r w:rsidR="0045681F" w:rsidRPr="00062BA8">
        <w:rPr>
          <w:szCs w:val="22"/>
        </w:rPr>
        <w:t>.</w:t>
      </w:r>
    </w:p>
    <w:p w:rsidR="00B744F3" w:rsidRPr="00B744F3" w:rsidRDefault="00F63DB0" w:rsidP="00E738C4">
      <w:pPr>
        <w:tabs>
          <w:tab w:val="left" w:pos="284"/>
        </w:tabs>
        <w:spacing w:before="360" w:line="276" w:lineRule="auto"/>
        <w:rPr>
          <w:b/>
          <w:szCs w:val="22"/>
        </w:rPr>
      </w:pPr>
      <w:r>
        <w:rPr>
          <w:szCs w:val="22"/>
        </w:rPr>
        <w:tab/>
      </w:r>
      <w:r w:rsidR="00B744F3" w:rsidRPr="00B744F3">
        <w:rPr>
          <w:b/>
          <w:szCs w:val="22"/>
        </w:rPr>
        <w:t>3.1.3. Par école</w:t>
      </w:r>
    </w:p>
    <w:p w:rsidR="00FA4DDC" w:rsidRPr="008F59F5" w:rsidRDefault="00B744F3" w:rsidP="00737F92">
      <w:pPr>
        <w:tabs>
          <w:tab w:val="left" w:pos="284"/>
        </w:tabs>
        <w:spacing w:line="276" w:lineRule="auto"/>
        <w:rPr>
          <w:szCs w:val="22"/>
        </w:rPr>
      </w:pPr>
      <w:r>
        <w:rPr>
          <w:szCs w:val="22"/>
        </w:rPr>
        <w:t xml:space="preserve">Pour </w:t>
      </w:r>
      <w:r w:rsidR="00FA4DDC" w:rsidRPr="008F59F5">
        <w:rPr>
          <w:szCs w:val="22"/>
        </w:rPr>
        <w:t>chaque école, la situation est la suivante :</w:t>
      </w:r>
    </w:p>
    <w:p w:rsidR="005F033E" w:rsidRDefault="008F59F5" w:rsidP="00F71543">
      <w:pPr>
        <w:numPr>
          <w:ilvl w:val="0"/>
          <w:numId w:val="22"/>
        </w:numPr>
        <w:tabs>
          <w:tab w:val="left" w:pos="284"/>
        </w:tabs>
        <w:spacing w:line="276" w:lineRule="auto"/>
        <w:rPr>
          <w:szCs w:val="22"/>
        </w:rPr>
      </w:pPr>
      <w:r w:rsidRPr="008F59F5">
        <w:rPr>
          <w:szCs w:val="22"/>
        </w:rPr>
        <w:t>A l</w:t>
      </w:r>
      <w:r w:rsidR="0054249F" w:rsidRPr="008F59F5">
        <w:rPr>
          <w:szCs w:val="22"/>
        </w:rPr>
        <w:t xml:space="preserve">’école de </w:t>
      </w:r>
      <w:r w:rsidR="0054249F" w:rsidRPr="00B744F3">
        <w:rPr>
          <w:b/>
          <w:szCs w:val="22"/>
        </w:rPr>
        <w:t>Bruxelles I</w:t>
      </w:r>
      <w:r w:rsidRPr="008F59F5">
        <w:rPr>
          <w:szCs w:val="22"/>
        </w:rPr>
        <w:t xml:space="preserve">, </w:t>
      </w:r>
      <w:r w:rsidR="005F033E">
        <w:rPr>
          <w:szCs w:val="22"/>
        </w:rPr>
        <w:t>sur le site d’</w:t>
      </w:r>
      <w:r w:rsidR="005F033E" w:rsidRPr="005F033E">
        <w:rPr>
          <w:b/>
          <w:szCs w:val="22"/>
        </w:rPr>
        <w:t>Uccle</w:t>
      </w:r>
      <w:r w:rsidR="005F033E">
        <w:rPr>
          <w:szCs w:val="22"/>
        </w:rPr>
        <w:t xml:space="preserve">, </w:t>
      </w:r>
      <w:r w:rsidRPr="008F59F5">
        <w:rPr>
          <w:szCs w:val="22"/>
        </w:rPr>
        <w:t xml:space="preserve">les effectifs globaux </w:t>
      </w:r>
      <w:r w:rsidR="005F033E">
        <w:rPr>
          <w:szCs w:val="22"/>
        </w:rPr>
        <w:t>– 3 3</w:t>
      </w:r>
      <w:r w:rsidR="00C51205">
        <w:rPr>
          <w:szCs w:val="22"/>
        </w:rPr>
        <w:t>4</w:t>
      </w:r>
      <w:r w:rsidR="005F033E">
        <w:rPr>
          <w:szCs w:val="22"/>
        </w:rPr>
        <w:t xml:space="preserve">9 élèves - </w:t>
      </w:r>
      <w:r w:rsidRPr="008F59F5">
        <w:rPr>
          <w:szCs w:val="22"/>
        </w:rPr>
        <w:t>sont toujours aussi importants</w:t>
      </w:r>
      <w:r w:rsidR="005F033E">
        <w:rPr>
          <w:szCs w:val="22"/>
        </w:rPr>
        <w:t xml:space="preserve"> malgré une légère diminution de </w:t>
      </w:r>
      <w:r w:rsidR="00C51205">
        <w:rPr>
          <w:szCs w:val="22"/>
        </w:rPr>
        <w:t>4</w:t>
      </w:r>
      <w:r w:rsidR="003A22D6">
        <w:rPr>
          <w:szCs w:val="22"/>
        </w:rPr>
        <w:t>1</w:t>
      </w:r>
      <w:r w:rsidR="005F033E">
        <w:rPr>
          <w:szCs w:val="22"/>
        </w:rPr>
        <w:t xml:space="preserve"> élèves par rapport à 201</w:t>
      </w:r>
      <w:r w:rsidR="00C51205">
        <w:rPr>
          <w:szCs w:val="22"/>
        </w:rPr>
        <w:t>8</w:t>
      </w:r>
      <w:r w:rsidR="005F033E">
        <w:rPr>
          <w:szCs w:val="22"/>
        </w:rPr>
        <w:t xml:space="preserve"> </w:t>
      </w:r>
      <w:r w:rsidR="00E03B32" w:rsidRPr="00457713">
        <w:rPr>
          <w:szCs w:val="22"/>
        </w:rPr>
        <w:t>(pour rappel, la capacité théorique de l’école est de 3 100 élèves)</w:t>
      </w:r>
      <w:r w:rsidR="00336238" w:rsidRPr="00457713">
        <w:rPr>
          <w:szCs w:val="22"/>
        </w:rPr>
        <w:t xml:space="preserve">. </w:t>
      </w:r>
    </w:p>
    <w:p w:rsidR="00943E91" w:rsidRPr="00AB78C0" w:rsidRDefault="008F59F5" w:rsidP="005F033E">
      <w:pPr>
        <w:tabs>
          <w:tab w:val="left" w:pos="284"/>
        </w:tabs>
        <w:spacing w:line="276" w:lineRule="auto"/>
        <w:ind w:left="786"/>
        <w:rPr>
          <w:color w:val="FF0000"/>
          <w:szCs w:val="22"/>
        </w:rPr>
      </w:pPr>
      <w:r w:rsidRPr="00457713">
        <w:rPr>
          <w:szCs w:val="22"/>
        </w:rPr>
        <w:t xml:space="preserve">Sur le site de </w:t>
      </w:r>
      <w:r w:rsidRPr="005F033E">
        <w:rPr>
          <w:b/>
          <w:szCs w:val="22"/>
        </w:rPr>
        <w:t>Berkendael</w:t>
      </w:r>
      <w:r w:rsidRPr="00457713">
        <w:rPr>
          <w:szCs w:val="22"/>
        </w:rPr>
        <w:t xml:space="preserve">, </w:t>
      </w:r>
      <w:r w:rsidR="00B86028">
        <w:rPr>
          <w:szCs w:val="22"/>
        </w:rPr>
        <w:t>dont la capacité est de 1 000</w:t>
      </w:r>
      <w:r w:rsidR="00C51205">
        <w:rPr>
          <w:szCs w:val="22"/>
        </w:rPr>
        <w:t xml:space="preserve"> élèves</w:t>
      </w:r>
      <w:r w:rsidR="00B86028">
        <w:rPr>
          <w:szCs w:val="22"/>
        </w:rPr>
        <w:t xml:space="preserve">, </w:t>
      </w:r>
      <w:r w:rsidR="004179F3" w:rsidRPr="00457713">
        <w:rPr>
          <w:szCs w:val="22"/>
        </w:rPr>
        <w:t xml:space="preserve">les effectifs </w:t>
      </w:r>
      <w:r w:rsidR="005F033E">
        <w:rPr>
          <w:szCs w:val="22"/>
        </w:rPr>
        <w:t>progressent</w:t>
      </w:r>
      <w:r w:rsidR="00C51205">
        <w:rPr>
          <w:szCs w:val="22"/>
        </w:rPr>
        <w:t xml:space="preserve"> : </w:t>
      </w:r>
      <w:r w:rsidR="00BF0DC1">
        <w:rPr>
          <w:szCs w:val="22"/>
        </w:rPr>
        <w:t xml:space="preserve">de </w:t>
      </w:r>
      <w:r w:rsidR="00C51205">
        <w:rPr>
          <w:szCs w:val="22"/>
        </w:rPr>
        <w:t>5</w:t>
      </w:r>
      <w:r w:rsidR="006D154F">
        <w:rPr>
          <w:szCs w:val="22"/>
        </w:rPr>
        <w:t>59</w:t>
      </w:r>
      <w:r w:rsidR="00C51205">
        <w:rPr>
          <w:szCs w:val="22"/>
        </w:rPr>
        <w:t xml:space="preserve"> </w:t>
      </w:r>
      <w:r w:rsidR="005F033E">
        <w:rPr>
          <w:szCs w:val="22"/>
        </w:rPr>
        <w:t>élèves au 15 octobre 201</w:t>
      </w:r>
      <w:r w:rsidR="00C51205">
        <w:rPr>
          <w:szCs w:val="22"/>
        </w:rPr>
        <w:t>8</w:t>
      </w:r>
      <w:r w:rsidR="005F033E">
        <w:rPr>
          <w:szCs w:val="22"/>
        </w:rPr>
        <w:t xml:space="preserve"> à </w:t>
      </w:r>
      <w:r w:rsidR="00C51205">
        <w:rPr>
          <w:szCs w:val="22"/>
        </w:rPr>
        <w:t>730</w:t>
      </w:r>
      <w:r w:rsidR="005F033E">
        <w:rPr>
          <w:szCs w:val="22"/>
        </w:rPr>
        <w:t xml:space="preserve"> élèves au </w:t>
      </w:r>
      <w:r w:rsidR="004179F3" w:rsidRPr="00457713">
        <w:rPr>
          <w:szCs w:val="22"/>
        </w:rPr>
        <w:t>15</w:t>
      </w:r>
      <w:r w:rsidR="0045681F" w:rsidRPr="00457713">
        <w:rPr>
          <w:szCs w:val="22"/>
        </w:rPr>
        <w:t xml:space="preserve"> octobre </w:t>
      </w:r>
      <w:r w:rsidR="00971452" w:rsidRPr="00457713">
        <w:rPr>
          <w:szCs w:val="22"/>
        </w:rPr>
        <w:t>201</w:t>
      </w:r>
      <w:r w:rsidR="00C51205">
        <w:rPr>
          <w:szCs w:val="22"/>
        </w:rPr>
        <w:t>9</w:t>
      </w:r>
      <w:r w:rsidRPr="00062BA8">
        <w:rPr>
          <w:szCs w:val="22"/>
        </w:rPr>
        <w:t xml:space="preserve">. </w:t>
      </w:r>
      <w:r w:rsidR="00DE14E4" w:rsidRPr="00062BA8">
        <w:rPr>
          <w:szCs w:val="22"/>
        </w:rPr>
        <w:t xml:space="preserve">Sur </w:t>
      </w:r>
      <w:r w:rsidR="00DE14E4" w:rsidRPr="00062BA8">
        <w:rPr>
          <w:szCs w:val="22"/>
        </w:rPr>
        <w:lastRenderedPageBreak/>
        <w:t xml:space="preserve">ce site, la section linguistique francophone représente </w:t>
      </w:r>
      <w:r w:rsidR="00C51205">
        <w:rPr>
          <w:szCs w:val="22"/>
        </w:rPr>
        <w:t>66</w:t>
      </w:r>
      <w:r w:rsidR="00DE14E4" w:rsidRPr="00062BA8">
        <w:rPr>
          <w:szCs w:val="22"/>
        </w:rPr>
        <w:t xml:space="preserve"> % des effectifs</w:t>
      </w:r>
      <w:r w:rsidR="00C51205">
        <w:rPr>
          <w:szCs w:val="22"/>
        </w:rPr>
        <w:t xml:space="preserve"> (71 % en 2018 – 81% en 2017)</w:t>
      </w:r>
      <w:r w:rsidR="00D2421C">
        <w:rPr>
          <w:szCs w:val="22"/>
        </w:rPr>
        <w:t xml:space="preserve">, tandis que les classes satellites se développent, puisque </w:t>
      </w:r>
      <w:r w:rsidR="00D2421C" w:rsidRPr="00D2421C">
        <w:rPr>
          <w:szCs w:val="22"/>
        </w:rPr>
        <w:t xml:space="preserve">chaque année un niveau supplémentaire est ouvert. Ainsi, cette année les classes de </w:t>
      </w:r>
      <w:r w:rsidR="00FB709A">
        <w:rPr>
          <w:szCs w:val="22"/>
        </w:rPr>
        <w:t xml:space="preserve">P4 DE, P1 EL, EN et IT </w:t>
      </w:r>
      <w:r w:rsidR="00D2421C" w:rsidRPr="00D2421C">
        <w:rPr>
          <w:szCs w:val="22"/>
        </w:rPr>
        <w:t>sont ouverts</w:t>
      </w:r>
      <w:r w:rsidR="00B86028" w:rsidRPr="00D2421C">
        <w:rPr>
          <w:szCs w:val="22"/>
        </w:rPr>
        <w:t>.</w:t>
      </w:r>
      <w:r w:rsidR="005F033E" w:rsidRPr="00D2421C">
        <w:rPr>
          <w:szCs w:val="22"/>
        </w:rPr>
        <w:t xml:space="preserve"> </w:t>
      </w:r>
      <w:r w:rsidR="00FB709A">
        <w:rPr>
          <w:szCs w:val="22"/>
        </w:rPr>
        <w:t>Quant à la classe de maternelle ES, qui comptait 16 enfants de 4 ans lors de son ouverture l’année précédente, elle accueille à présent 2 enfants de 4 ans et 17 de 5 ans.</w:t>
      </w:r>
    </w:p>
    <w:p w:rsidR="00943E91" w:rsidRPr="00CE2B54" w:rsidRDefault="00C51205" w:rsidP="00F71543">
      <w:pPr>
        <w:numPr>
          <w:ilvl w:val="0"/>
          <w:numId w:val="22"/>
        </w:numPr>
        <w:tabs>
          <w:tab w:val="left" w:pos="284"/>
        </w:tabs>
        <w:spacing w:line="276" w:lineRule="auto"/>
        <w:rPr>
          <w:color w:val="0000FF"/>
          <w:szCs w:val="22"/>
        </w:rPr>
      </w:pPr>
      <w:r>
        <w:rPr>
          <w:szCs w:val="22"/>
        </w:rPr>
        <w:t>L</w:t>
      </w:r>
      <w:r w:rsidR="00FE0755" w:rsidRPr="00457713">
        <w:rPr>
          <w:szCs w:val="22"/>
        </w:rPr>
        <w:t xml:space="preserve">’école de </w:t>
      </w:r>
      <w:r w:rsidR="00FE0755" w:rsidRPr="00457713">
        <w:rPr>
          <w:b/>
          <w:szCs w:val="22"/>
        </w:rPr>
        <w:t>Bruxelles II</w:t>
      </w:r>
      <w:r w:rsidR="00FE0755" w:rsidRPr="00457713">
        <w:rPr>
          <w:szCs w:val="22"/>
        </w:rPr>
        <w:t xml:space="preserve"> </w:t>
      </w:r>
      <w:r>
        <w:rPr>
          <w:szCs w:val="22"/>
        </w:rPr>
        <w:t xml:space="preserve">voit ses effectifs </w:t>
      </w:r>
      <w:r w:rsidR="00FE0755" w:rsidRPr="00457713">
        <w:rPr>
          <w:szCs w:val="22"/>
        </w:rPr>
        <w:t xml:space="preserve">(3 </w:t>
      </w:r>
      <w:r>
        <w:rPr>
          <w:szCs w:val="22"/>
        </w:rPr>
        <w:t>1</w:t>
      </w:r>
      <w:r w:rsidR="00B86028">
        <w:rPr>
          <w:szCs w:val="22"/>
        </w:rPr>
        <w:t>75</w:t>
      </w:r>
      <w:r w:rsidR="00FE0755" w:rsidRPr="00457713">
        <w:rPr>
          <w:szCs w:val="22"/>
        </w:rPr>
        <w:t xml:space="preserve"> élèves au 15 octobre 201</w:t>
      </w:r>
      <w:r>
        <w:rPr>
          <w:szCs w:val="22"/>
        </w:rPr>
        <w:t>9</w:t>
      </w:r>
      <w:r w:rsidR="00F621A1" w:rsidRPr="00457713">
        <w:rPr>
          <w:szCs w:val="22"/>
        </w:rPr>
        <w:t xml:space="preserve"> / </w:t>
      </w:r>
      <w:r w:rsidR="00FE0755" w:rsidRPr="00457713">
        <w:rPr>
          <w:szCs w:val="22"/>
        </w:rPr>
        <w:t>capacité théorique de 2 850 élèves</w:t>
      </w:r>
      <w:r w:rsidR="00F621A1" w:rsidRPr="00457713">
        <w:rPr>
          <w:szCs w:val="22"/>
        </w:rPr>
        <w:t>)</w:t>
      </w:r>
      <w:r w:rsidR="00FE0755" w:rsidRPr="00457713">
        <w:rPr>
          <w:szCs w:val="22"/>
        </w:rPr>
        <w:t xml:space="preserve"> </w:t>
      </w:r>
      <w:r>
        <w:rPr>
          <w:szCs w:val="22"/>
        </w:rPr>
        <w:t>augmenter de 10</w:t>
      </w:r>
      <w:r w:rsidR="00E75588">
        <w:rPr>
          <w:szCs w:val="22"/>
        </w:rPr>
        <w:t>0</w:t>
      </w:r>
      <w:r>
        <w:rPr>
          <w:szCs w:val="22"/>
        </w:rPr>
        <w:t xml:space="preserve"> </w:t>
      </w:r>
      <w:r w:rsidR="00DE14E4" w:rsidRPr="00457713">
        <w:rPr>
          <w:szCs w:val="22"/>
        </w:rPr>
        <w:t>élèves</w:t>
      </w:r>
      <w:r w:rsidR="00B86028">
        <w:rPr>
          <w:szCs w:val="22"/>
        </w:rPr>
        <w:t>, principalement au</w:t>
      </w:r>
      <w:r>
        <w:rPr>
          <w:szCs w:val="22"/>
        </w:rPr>
        <w:t xml:space="preserve"> c</w:t>
      </w:r>
      <w:r w:rsidR="00B86028">
        <w:rPr>
          <w:szCs w:val="22"/>
        </w:rPr>
        <w:t>ycle</w:t>
      </w:r>
      <w:r>
        <w:rPr>
          <w:szCs w:val="22"/>
        </w:rPr>
        <w:t xml:space="preserve"> </w:t>
      </w:r>
      <w:r w:rsidR="00B86028" w:rsidRPr="00CE2B54">
        <w:rPr>
          <w:szCs w:val="22"/>
        </w:rPr>
        <w:t>secondaire</w:t>
      </w:r>
      <w:r w:rsidRPr="00CE2B54">
        <w:rPr>
          <w:szCs w:val="22"/>
        </w:rPr>
        <w:t>.</w:t>
      </w:r>
      <w:r w:rsidR="00C91BAF" w:rsidRPr="00CE2B54">
        <w:rPr>
          <w:szCs w:val="22"/>
        </w:rPr>
        <w:t xml:space="preserve"> </w:t>
      </w:r>
    </w:p>
    <w:p w:rsidR="00CE2B54" w:rsidRPr="00CE2B54" w:rsidRDefault="00CE2B54" w:rsidP="00F71543">
      <w:pPr>
        <w:numPr>
          <w:ilvl w:val="0"/>
          <w:numId w:val="22"/>
        </w:numPr>
        <w:tabs>
          <w:tab w:val="left" w:pos="284"/>
        </w:tabs>
        <w:spacing w:line="276" w:lineRule="auto"/>
        <w:rPr>
          <w:color w:val="0000FF"/>
          <w:szCs w:val="22"/>
        </w:rPr>
      </w:pPr>
      <w:r>
        <w:rPr>
          <w:szCs w:val="22"/>
        </w:rPr>
        <w:t xml:space="preserve">La surpopulation </w:t>
      </w:r>
      <w:r w:rsidRPr="00CE2B54">
        <w:rPr>
          <w:szCs w:val="22"/>
        </w:rPr>
        <w:t xml:space="preserve">de l’école de </w:t>
      </w:r>
      <w:r w:rsidRPr="00CE2B54">
        <w:rPr>
          <w:b/>
          <w:szCs w:val="22"/>
        </w:rPr>
        <w:t>Bruxelles III</w:t>
      </w:r>
      <w:r w:rsidRPr="00CE2B54">
        <w:rPr>
          <w:szCs w:val="22"/>
        </w:rPr>
        <w:t xml:space="preserve"> s’est accrue de </w:t>
      </w:r>
      <w:r w:rsidR="00E75588">
        <w:rPr>
          <w:szCs w:val="22"/>
        </w:rPr>
        <w:t>103</w:t>
      </w:r>
      <w:r w:rsidRPr="00CE2B54">
        <w:rPr>
          <w:szCs w:val="22"/>
        </w:rPr>
        <w:t xml:space="preserve"> élèves (3 202 élèves au 15 octobre 2019 / capacité théorique de 2 650 élèves). A noter que les effectifs de la section linguistique EL sont toujours très importants (609 élèves en 2019 par rapport à 584 en 201</w:t>
      </w:r>
      <w:r w:rsidR="00534E06">
        <w:rPr>
          <w:szCs w:val="22"/>
        </w:rPr>
        <w:t>8</w:t>
      </w:r>
      <w:r w:rsidRPr="00CE2B54">
        <w:rPr>
          <w:szCs w:val="22"/>
        </w:rPr>
        <w:t xml:space="preserve"> et 581 en 2017)</w:t>
      </w:r>
      <w:r>
        <w:rPr>
          <w:szCs w:val="22"/>
        </w:rPr>
        <w:t>.</w:t>
      </w:r>
    </w:p>
    <w:p w:rsidR="002F1E89" w:rsidRPr="008564DB" w:rsidRDefault="003225DC" w:rsidP="000B4781">
      <w:pPr>
        <w:numPr>
          <w:ilvl w:val="0"/>
          <w:numId w:val="22"/>
        </w:numPr>
        <w:tabs>
          <w:tab w:val="left" w:pos="284"/>
        </w:tabs>
        <w:spacing w:line="276" w:lineRule="auto"/>
        <w:rPr>
          <w:i/>
          <w:szCs w:val="22"/>
        </w:rPr>
      </w:pPr>
      <w:r w:rsidRPr="008564DB">
        <w:rPr>
          <w:szCs w:val="22"/>
        </w:rPr>
        <w:t>L</w:t>
      </w:r>
      <w:r w:rsidR="002F1E89" w:rsidRPr="008564DB">
        <w:rPr>
          <w:szCs w:val="22"/>
        </w:rPr>
        <w:t xml:space="preserve">’école de </w:t>
      </w:r>
      <w:r w:rsidR="002F1E89" w:rsidRPr="008564DB">
        <w:rPr>
          <w:b/>
          <w:szCs w:val="22"/>
        </w:rPr>
        <w:t>Bruxelles IV</w:t>
      </w:r>
      <w:r w:rsidR="00B86028" w:rsidRPr="008564DB">
        <w:rPr>
          <w:b/>
          <w:szCs w:val="22"/>
        </w:rPr>
        <w:t xml:space="preserve"> </w:t>
      </w:r>
      <w:r w:rsidRPr="008564DB">
        <w:rPr>
          <w:szCs w:val="22"/>
        </w:rPr>
        <w:t>a</w:t>
      </w:r>
      <w:r w:rsidR="00B86028" w:rsidRPr="008564DB">
        <w:rPr>
          <w:szCs w:val="22"/>
        </w:rPr>
        <w:t xml:space="preserve"> a</w:t>
      </w:r>
      <w:r w:rsidRPr="008564DB">
        <w:rPr>
          <w:szCs w:val="22"/>
        </w:rPr>
        <w:t>t</w:t>
      </w:r>
      <w:r w:rsidR="004179F3" w:rsidRPr="008564DB">
        <w:rPr>
          <w:szCs w:val="22"/>
        </w:rPr>
        <w:t>tein</w:t>
      </w:r>
      <w:r w:rsidR="00B86028" w:rsidRPr="008564DB">
        <w:rPr>
          <w:szCs w:val="22"/>
        </w:rPr>
        <w:t xml:space="preserve">t </w:t>
      </w:r>
      <w:r w:rsidR="004179F3" w:rsidRPr="008564DB">
        <w:rPr>
          <w:szCs w:val="22"/>
        </w:rPr>
        <w:t xml:space="preserve">sa capacité </w:t>
      </w:r>
      <w:r w:rsidR="00B86028" w:rsidRPr="008564DB">
        <w:rPr>
          <w:szCs w:val="22"/>
        </w:rPr>
        <w:t>de</w:t>
      </w:r>
      <w:r w:rsidR="004179F3" w:rsidRPr="008564DB">
        <w:rPr>
          <w:szCs w:val="22"/>
        </w:rPr>
        <w:t xml:space="preserve"> 2 </w:t>
      </w:r>
      <w:r w:rsidRPr="008564DB">
        <w:rPr>
          <w:szCs w:val="22"/>
        </w:rPr>
        <w:t>800 élèves</w:t>
      </w:r>
      <w:r w:rsidR="00B86028" w:rsidRPr="008564DB">
        <w:rPr>
          <w:szCs w:val="22"/>
        </w:rPr>
        <w:t xml:space="preserve"> (2 </w:t>
      </w:r>
      <w:r w:rsidR="00C51205">
        <w:rPr>
          <w:szCs w:val="22"/>
        </w:rPr>
        <w:t xml:space="preserve">974 </w:t>
      </w:r>
      <w:r w:rsidR="00B86028" w:rsidRPr="008564DB">
        <w:rPr>
          <w:szCs w:val="22"/>
        </w:rPr>
        <w:t>élèves au 15 octobre 201</w:t>
      </w:r>
      <w:r w:rsidR="00C51205">
        <w:rPr>
          <w:szCs w:val="22"/>
        </w:rPr>
        <w:t>9</w:t>
      </w:r>
      <w:r w:rsidR="00B86028" w:rsidRPr="008564DB">
        <w:rPr>
          <w:szCs w:val="22"/>
        </w:rPr>
        <w:t xml:space="preserve">) avec </w:t>
      </w:r>
      <w:r w:rsidR="00C51205">
        <w:rPr>
          <w:szCs w:val="22"/>
        </w:rPr>
        <w:t>13</w:t>
      </w:r>
      <w:r w:rsidR="00E75588">
        <w:rPr>
          <w:szCs w:val="22"/>
        </w:rPr>
        <w:t>9</w:t>
      </w:r>
      <w:r w:rsidR="00B86028" w:rsidRPr="008564DB">
        <w:rPr>
          <w:szCs w:val="22"/>
        </w:rPr>
        <w:t xml:space="preserve"> élèves de plus que l’année dernière. Le cycle secondaire </w:t>
      </w:r>
      <w:r w:rsidR="00C51205">
        <w:rPr>
          <w:szCs w:val="22"/>
        </w:rPr>
        <w:t xml:space="preserve">poursuit son </w:t>
      </w:r>
      <w:r w:rsidR="00B86028" w:rsidRPr="008564DB">
        <w:rPr>
          <w:szCs w:val="22"/>
        </w:rPr>
        <w:t>développe</w:t>
      </w:r>
      <w:r w:rsidR="00C51205">
        <w:rPr>
          <w:szCs w:val="22"/>
        </w:rPr>
        <w:t>ment</w:t>
      </w:r>
      <w:r w:rsidR="00B86028" w:rsidRPr="008564DB">
        <w:rPr>
          <w:szCs w:val="22"/>
        </w:rPr>
        <w:t xml:space="preserve">. </w:t>
      </w:r>
      <w:r w:rsidR="00DE14E4" w:rsidRPr="008564DB">
        <w:rPr>
          <w:szCs w:val="22"/>
        </w:rPr>
        <w:t xml:space="preserve"> </w:t>
      </w:r>
    </w:p>
    <w:p w:rsidR="00B744F3" w:rsidRPr="00B744F3" w:rsidRDefault="00B744F3" w:rsidP="00B744F3">
      <w:pPr>
        <w:tabs>
          <w:tab w:val="left" w:pos="284"/>
        </w:tabs>
        <w:spacing w:line="276" w:lineRule="auto"/>
        <w:ind w:left="786"/>
        <w:rPr>
          <w:i/>
          <w:szCs w:val="22"/>
        </w:rPr>
      </w:pPr>
    </w:p>
    <w:p w:rsidR="00B744F3" w:rsidRPr="00B744F3" w:rsidRDefault="00B744F3" w:rsidP="00B744F3">
      <w:pPr>
        <w:tabs>
          <w:tab w:val="left" w:pos="284"/>
        </w:tabs>
        <w:spacing w:line="276" w:lineRule="auto"/>
        <w:rPr>
          <w:b/>
          <w:i/>
          <w:szCs w:val="22"/>
        </w:rPr>
      </w:pPr>
      <w:r>
        <w:rPr>
          <w:szCs w:val="22"/>
        </w:rPr>
        <w:tab/>
      </w:r>
      <w:r w:rsidRPr="00EB62C3">
        <w:rPr>
          <w:b/>
          <w:szCs w:val="22"/>
        </w:rPr>
        <w:t>3.1.4. Par rapport aux sections linguistiques</w:t>
      </w:r>
    </w:p>
    <w:p w:rsidR="003B1722" w:rsidRDefault="002B2508" w:rsidP="00A72985">
      <w:pPr>
        <w:tabs>
          <w:tab w:val="left" w:pos="284"/>
        </w:tabs>
        <w:spacing w:before="240" w:line="276" w:lineRule="auto"/>
        <w:rPr>
          <w:szCs w:val="22"/>
        </w:rPr>
      </w:pPr>
      <w:r>
        <w:rPr>
          <w:szCs w:val="22"/>
        </w:rPr>
        <w:t>Les effectifs de l</w:t>
      </w:r>
      <w:r w:rsidR="003A083C">
        <w:rPr>
          <w:szCs w:val="22"/>
        </w:rPr>
        <w:t xml:space="preserve">a </w:t>
      </w:r>
      <w:r w:rsidR="00532947" w:rsidRPr="00532947">
        <w:rPr>
          <w:b/>
          <w:szCs w:val="22"/>
        </w:rPr>
        <w:t>section</w:t>
      </w:r>
      <w:r w:rsidR="003A083C">
        <w:rPr>
          <w:b/>
          <w:szCs w:val="22"/>
        </w:rPr>
        <w:t xml:space="preserve"> francophone</w:t>
      </w:r>
      <w:r>
        <w:rPr>
          <w:b/>
          <w:szCs w:val="22"/>
        </w:rPr>
        <w:t xml:space="preserve"> </w:t>
      </w:r>
      <w:r w:rsidR="003A083C">
        <w:rPr>
          <w:szCs w:val="22"/>
        </w:rPr>
        <w:t>c</w:t>
      </w:r>
      <w:r w:rsidR="00754992" w:rsidRPr="00DA703B">
        <w:rPr>
          <w:szCs w:val="22"/>
        </w:rPr>
        <w:t>ontinuent d’augmenter constamment</w:t>
      </w:r>
      <w:r w:rsidR="003A083C">
        <w:rPr>
          <w:szCs w:val="22"/>
        </w:rPr>
        <w:t>. P</w:t>
      </w:r>
      <w:r w:rsidR="003A083C" w:rsidRPr="00DA703B">
        <w:rPr>
          <w:szCs w:val="22"/>
        </w:rPr>
        <w:t xml:space="preserve">ar rapport à la population </w:t>
      </w:r>
      <w:r w:rsidR="003A083C" w:rsidRPr="00462D4F">
        <w:rPr>
          <w:szCs w:val="22"/>
        </w:rPr>
        <w:t>scolaire</w:t>
      </w:r>
      <w:r w:rsidR="003A083C">
        <w:rPr>
          <w:szCs w:val="22"/>
        </w:rPr>
        <w:t xml:space="preserve"> globale de toutes les écoles/sites, l</w:t>
      </w:r>
      <w:r w:rsidR="00943E91" w:rsidRPr="00DA703B">
        <w:rPr>
          <w:szCs w:val="22"/>
        </w:rPr>
        <w:t>a proportion</w:t>
      </w:r>
      <w:r w:rsidR="004A4ED7">
        <w:rPr>
          <w:szCs w:val="22"/>
        </w:rPr>
        <w:t xml:space="preserve"> </w:t>
      </w:r>
      <w:r w:rsidR="00754992">
        <w:rPr>
          <w:szCs w:val="22"/>
        </w:rPr>
        <w:t>des effectifs</w:t>
      </w:r>
      <w:r w:rsidR="003A083C">
        <w:rPr>
          <w:szCs w:val="22"/>
        </w:rPr>
        <w:t xml:space="preserve"> de cette section</w:t>
      </w:r>
      <w:r w:rsidR="00754992">
        <w:rPr>
          <w:szCs w:val="22"/>
        </w:rPr>
        <w:t xml:space="preserve"> </w:t>
      </w:r>
      <w:r w:rsidR="002F1E89" w:rsidRPr="00DA703B">
        <w:rPr>
          <w:szCs w:val="22"/>
        </w:rPr>
        <w:t>s’accentue</w:t>
      </w:r>
      <w:r w:rsidR="00DA703B">
        <w:rPr>
          <w:szCs w:val="22"/>
        </w:rPr>
        <w:t xml:space="preserve"> encore cette année</w:t>
      </w:r>
      <w:r w:rsidR="009128B8">
        <w:rPr>
          <w:szCs w:val="22"/>
        </w:rPr>
        <w:t xml:space="preserve"> avec près de 300 élèves supplémentaires, alors que les années précédentes cette croissance se situait autour de 200 élèves supplémentaires.</w:t>
      </w:r>
    </w:p>
    <w:p w:rsidR="005243F1" w:rsidRDefault="004D3E5F" w:rsidP="00737F92">
      <w:pPr>
        <w:tabs>
          <w:tab w:val="left" w:pos="284"/>
        </w:tabs>
        <w:spacing w:line="276" w:lineRule="auto"/>
        <w:rPr>
          <w:szCs w:val="22"/>
        </w:rPr>
      </w:pPr>
      <w:r w:rsidRPr="00532947">
        <w:rPr>
          <w:szCs w:val="22"/>
        </w:rPr>
        <w:t>Pour information, de 2012 à 201</w:t>
      </w:r>
      <w:r w:rsidR="002B2508">
        <w:rPr>
          <w:szCs w:val="22"/>
        </w:rPr>
        <w:t>9</w:t>
      </w:r>
      <w:r w:rsidRPr="00532947">
        <w:rPr>
          <w:szCs w:val="22"/>
        </w:rPr>
        <w:t xml:space="preserve">, </w:t>
      </w:r>
      <w:r w:rsidR="00912F8B" w:rsidRPr="00532947">
        <w:rPr>
          <w:szCs w:val="22"/>
        </w:rPr>
        <w:t>l</w:t>
      </w:r>
      <w:r w:rsidR="009128B8">
        <w:rPr>
          <w:szCs w:val="22"/>
        </w:rPr>
        <w:t>a</w:t>
      </w:r>
      <w:r w:rsidR="00912F8B" w:rsidRPr="00532947">
        <w:rPr>
          <w:szCs w:val="22"/>
        </w:rPr>
        <w:t xml:space="preserve"> proportion </w:t>
      </w:r>
      <w:r w:rsidR="009128B8">
        <w:rPr>
          <w:szCs w:val="22"/>
        </w:rPr>
        <w:t xml:space="preserve">de la section francophone par rapport à l’ensemble des effectifs </w:t>
      </w:r>
      <w:r w:rsidR="00912F8B" w:rsidRPr="00532947">
        <w:rPr>
          <w:szCs w:val="22"/>
        </w:rPr>
        <w:t>est la suivante :</w:t>
      </w:r>
    </w:p>
    <w:tbl>
      <w:tblPr>
        <w:tblW w:w="8995" w:type="dxa"/>
        <w:tblInd w:w="113" w:type="dxa"/>
        <w:tblLayout w:type="fixed"/>
        <w:tblLook w:val="04A0" w:firstRow="1" w:lastRow="0" w:firstColumn="1" w:lastColumn="0" w:noHBand="0" w:noVBand="1"/>
      </w:tblPr>
      <w:tblGrid>
        <w:gridCol w:w="1124"/>
        <w:gridCol w:w="1124"/>
        <w:gridCol w:w="1125"/>
        <w:gridCol w:w="1124"/>
        <w:gridCol w:w="1124"/>
        <w:gridCol w:w="1125"/>
        <w:gridCol w:w="1124"/>
        <w:gridCol w:w="1125"/>
      </w:tblGrid>
      <w:tr w:rsidR="000F2E8B" w:rsidRPr="000F2E8B" w:rsidTr="000F2E8B">
        <w:trPr>
          <w:trHeight w:val="300"/>
        </w:trPr>
        <w:tc>
          <w:tcPr>
            <w:tcW w:w="1124" w:type="dxa"/>
            <w:tcBorders>
              <w:top w:val="single" w:sz="4" w:space="0" w:color="auto"/>
              <w:left w:val="single" w:sz="4" w:space="0" w:color="auto"/>
              <w:bottom w:val="single" w:sz="4" w:space="0" w:color="auto"/>
              <w:right w:val="single" w:sz="4" w:space="0" w:color="auto"/>
            </w:tcBorders>
            <w:shd w:val="clear" w:color="FFFFFF" w:fill="D9D9D9"/>
            <w:noWrap/>
            <w:vAlign w:val="center"/>
            <w:hideMark/>
          </w:tcPr>
          <w:p w:rsidR="000F2E8B" w:rsidRPr="000F2E8B" w:rsidRDefault="000F2E8B" w:rsidP="000F2E8B">
            <w:pPr>
              <w:spacing w:before="0" w:after="0"/>
              <w:jc w:val="center"/>
              <w:rPr>
                <w:rFonts w:cs="Arial"/>
                <w:b/>
                <w:bCs/>
                <w:sz w:val="18"/>
                <w:szCs w:val="18"/>
                <w:lang w:val="en-US" w:eastAsia="en-US"/>
              </w:rPr>
            </w:pPr>
            <w:r w:rsidRPr="000F2E8B">
              <w:rPr>
                <w:rFonts w:cs="Arial"/>
                <w:b/>
                <w:bCs/>
                <w:sz w:val="18"/>
                <w:szCs w:val="18"/>
                <w:lang w:val="en-US" w:eastAsia="en-US"/>
              </w:rPr>
              <w:t>2012-2013</w:t>
            </w:r>
          </w:p>
        </w:tc>
        <w:tc>
          <w:tcPr>
            <w:tcW w:w="1124" w:type="dxa"/>
            <w:tcBorders>
              <w:top w:val="single" w:sz="4" w:space="0" w:color="000000"/>
              <w:left w:val="nil"/>
              <w:bottom w:val="single" w:sz="4" w:space="0" w:color="000000"/>
              <w:right w:val="single" w:sz="4" w:space="0" w:color="000000"/>
            </w:tcBorders>
            <w:shd w:val="clear" w:color="FFFFFF" w:fill="D9D9D9"/>
            <w:noWrap/>
            <w:vAlign w:val="center"/>
            <w:hideMark/>
          </w:tcPr>
          <w:p w:rsidR="000F2E8B" w:rsidRPr="000F2E8B" w:rsidRDefault="000F2E8B" w:rsidP="000F2E8B">
            <w:pPr>
              <w:spacing w:before="0" w:after="0"/>
              <w:jc w:val="center"/>
              <w:rPr>
                <w:rFonts w:cs="Arial"/>
                <w:b/>
                <w:bCs/>
                <w:sz w:val="18"/>
                <w:szCs w:val="18"/>
                <w:lang w:val="en-US" w:eastAsia="en-US"/>
              </w:rPr>
            </w:pPr>
            <w:r w:rsidRPr="000F2E8B">
              <w:rPr>
                <w:rFonts w:cs="Arial"/>
                <w:b/>
                <w:bCs/>
                <w:sz w:val="18"/>
                <w:szCs w:val="18"/>
                <w:lang w:val="en-US" w:eastAsia="en-US"/>
              </w:rPr>
              <w:t>2013-2014</w:t>
            </w:r>
          </w:p>
        </w:tc>
        <w:tc>
          <w:tcPr>
            <w:tcW w:w="1125" w:type="dxa"/>
            <w:tcBorders>
              <w:top w:val="single" w:sz="4" w:space="0" w:color="000000"/>
              <w:left w:val="nil"/>
              <w:bottom w:val="single" w:sz="4" w:space="0" w:color="000000"/>
              <w:right w:val="single" w:sz="4" w:space="0" w:color="000000"/>
            </w:tcBorders>
            <w:shd w:val="clear" w:color="FFFFFF" w:fill="D9D9D9"/>
            <w:noWrap/>
            <w:vAlign w:val="center"/>
            <w:hideMark/>
          </w:tcPr>
          <w:p w:rsidR="000F2E8B" w:rsidRPr="000F2E8B" w:rsidRDefault="000F2E8B" w:rsidP="000F2E8B">
            <w:pPr>
              <w:spacing w:before="0" w:after="0"/>
              <w:jc w:val="center"/>
              <w:rPr>
                <w:rFonts w:cs="Arial"/>
                <w:b/>
                <w:bCs/>
                <w:sz w:val="18"/>
                <w:szCs w:val="18"/>
                <w:lang w:val="en-US" w:eastAsia="en-US"/>
              </w:rPr>
            </w:pPr>
            <w:r w:rsidRPr="000F2E8B">
              <w:rPr>
                <w:rFonts w:cs="Arial"/>
                <w:b/>
                <w:bCs/>
                <w:sz w:val="18"/>
                <w:szCs w:val="18"/>
                <w:lang w:val="en-US" w:eastAsia="en-US"/>
              </w:rPr>
              <w:t>2014-2015</w:t>
            </w:r>
          </w:p>
        </w:tc>
        <w:tc>
          <w:tcPr>
            <w:tcW w:w="1124" w:type="dxa"/>
            <w:tcBorders>
              <w:top w:val="single" w:sz="4" w:space="0" w:color="000000"/>
              <w:left w:val="nil"/>
              <w:bottom w:val="single" w:sz="4" w:space="0" w:color="000000"/>
              <w:right w:val="single" w:sz="4" w:space="0" w:color="000000"/>
            </w:tcBorders>
            <w:shd w:val="clear" w:color="FFFFFF" w:fill="D9D9D9"/>
            <w:noWrap/>
            <w:vAlign w:val="center"/>
            <w:hideMark/>
          </w:tcPr>
          <w:p w:rsidR="000F2E8B" w:rsidRPr="000F2E8B" w:rsidRDefault="000F2E8B" w:rsidP="000F2E8B">
            <w:pPr>
              <w:spacing w:before="0" w:after="0"/>
              <w:jc w:val="center"/>
              <w:rPr>
                <w:rFonts w:cs="Arial"/>
                <w:b/>
                <w:bCs/>
                <w:sz w:val="18"/>
                <w:szCs w:val="18"/>
                <w:lang w:val="en-US" w:eastAsia="en-US"/>
              </w:rPr>
            </w:pPr>
            <w:r w:rsidRPr="000F2E8B">
              <w:rPr>
                <w:rFonts w:cs="Arial"/>
                <w:b/>
                <w:bCs/>
                <w:sz w:val="18"/>
                <w:szCs w:val="18"/>
                <w:lang w:val="en-US" w:eastAsia="en-US"/>
              </w:rPr>
              <w:t>2015-2016</w:t>
            </w:r>
          </w:p>
        </w:tc>
        <w:tc>
          <w:tcPr>
            <w:tcW w:w="1124" w:type="dxa"/>
            <w:tcBorders>
              <w:top w:val="single" w:sz="4" w:space="0" w:color="000000"/>
              <w:left w:val="nil"/>
              <w:bottom w:val="single" w:sz="4" w:space="0" w:color="000000"/>
              <w:right w:val="single" w:sz="4" w:space="0" w:color="000000"/>
            </w:tcBorders>
            <w:shd w:val="clear" w:color="FFFFFF" w:fill="D9D9D9"/>
            <w:noWrap/>
            <w:vAlign w:val="center"/>
            <w:hideMark/>
          </w:tcPr>
          <w:p w:rsidR="000F2E8B" w:rsidRPr="000F2E8B" w:rsidRDefault="000F2E8B" w:rsidP="000F2E8B">
            <w:pPr>
              <w:spacing w:before="0" w:after="0"/>
              <w:jc w:val="center"/>
              <w:rPr>
                <w:rFonts w:cs="Arial"/>
                <w:b/>
                <w:bCs/>
                <w:sz w:val="18"/>
                <w:szCs w:val="18"/>
                <w:lang w:val="en-US" w:eastAsia="en-US"/>
              </w:rPr>
            </w:pPr>
            <w:r w:rsidRPr="000F2E8B">
              <w:rPr>
                <w:rFonts w:cs="Arial"/>
                <w:b/>
                <w:bCs/>
                <w:sz w:val="18"/>
                <w:szCs w:val="18"/>
                <w:lang w:val="en-US" w:eastAsia="en-US"/>
              </w:rPr>
              <w:t>2016-2017</w:t>
            </w:r>
          </w:p>
        </w:tc>
        <w:tc>
          <w:tcPr>
            <w:tcW w:w="1125" w:type="dxa"/>
            <w:tcBorders>
              <w:top w:val="single" w:sz="4" w:space="0" w:color="000000"/>
              <w:left w:val="nil"/>
              <w:bottom w:val="single" w:sz="4" w:space="0" w:color="000000"/>
              <w:right w:val="single" w:sz="4" w:space="0" w:color="000000"/>
            </w:tcBorders>
            <w:shd w:val="clear" w:color="FFFFFF" w:fill="D9D9D9"/>
            <w:noWrap/>
            <w:vAlign w:val="center"/>
            <w:hideMark/>
          </w:tcPr>
          <w:p w:rsidR="000F2E8B" w:rsidRPr="000F2E8B" w:rsidRDefault="000F2E8B" w:rsidP="000F2E8B">
            <w:pPr>
              <w:spacing w:before="0" w:after="0"/>
              <w:jc w:val="center"/>
              <w:rPr>
                <w:rFonts w:cs="Arial"/>
                <w:b/>
                <w:bCs/>
                <w:sz w:val="18"/>
                <w:szCs w:val="18"/>
                <w:lang w:val="en-US" w:eastAsia="en-US"/>
              </w:rPr>
            </w:pPr>
            <w:r w:rsidRPr="000F2E8B">
              <w:rPr>
                <w:rFonts w:cs="Arial"/>
                <w:b/>
                <w:bCs/>
                <w:sz w:val="18"/>
                <w:szCs w:val="18"/>
                <w:lang w:val="en-US" w:eastAsia="en-US"/>
              </w:rPr>
              <w:t>2017-2018</w:t>
            </w:r>
          </w:p>
        </w:tc>
        <w:tc>
          <w:tcPr>
            <w:tcW w:w="1124" w:type="dxa"/>
            <w:tcBorders>
              <w:top w:val="single" w:sz="4" w:space="0" w:color="000000"/>
              <w:left w:val="nil"/>
              <w:bottom w:val="single" w:sz="4" w:space="0" w:color="000000"/>
              <w:right w:val="single" w:sz="4" w:space="0" w:color="000000"/>
            </w:tcBorders>
            <w:shd w:val="clear" w:color="FFFFFF" w:fill="D9D9D9"/>
            <w:noWrap/>
            <w:vAlign w:val="center"/>
            <w:hideMark/>
          </w:tcPr>
          <w:p w:rsidR="000F2E8B" w:rsidRPr="000F2E8B" w:rsidRDefault="000F2E8B" w:rsidP="000F2E8B">
            <w:pPr>
              <w:spacing w:before="0" w:after="0"/>
              <w:jc w:val="center"/>
              <w:rPr>
                <w:rFonts w:cs="Arial"/>
                <w:b/>
                <w:bCs/>
                <w:sz w:val="18"/>
                <w:szCs w:val="18"/>
                <w:lang w:val="en-US" w:eastAsia="en-US"/>
              </w:rPr>
            </w:pPr>
            <w:r w:rsidRPr="000F2E8B">
              <w:rPr>
                <w:rFonts w:cs="Arial"/>
                <w:b/>
                <w:bCs/>
                <w:sz w:val="18"/>
                <w:szCs w:val="18"/>
                <w:lang w:val="en-US" w:eastAsia="en-US"/>
              </w:rPr>
              <w:t>2018-2019</w:t>
            </w:r>
          </w:p>
        </w:tc>
        <w:tc>
          <w:tcPr>
            <w:tcW w:w="1125" w:type="dxa"/>
            <w:tcBorders>
              <w:top w:val="single" w:sz="4" w:space="0" w:color="000000"/>
              <w:left w:val="nil"/>
              <w:bottom w:val="single" w:sz="4" w:space="0" w:color="000000"/>
              <w:right w:val="single" w:sz="4" w:space="0" w:color="000000"/>
            </w:tcBorders>
            <w:shd w:val="clear" w:color="FFFFFF" w:fill="D9D9D9"/>
            <w:noWrap/>
            <w:vAlign w:val="center"/>
            <w:hideMark/>
          </w:tcPr>
          <w:p w:rsidR="000F2E8B" w:rsidRPr="000F2E8B" w:rsidRDefault="000F2E8B" w:rsidP="000F2E8B">
            <w:pPr>
              <w:spacing w:before="0" w:after="0"/>
              <w:jc w:val="center"/>
              <w:rPr>
                <w:rFonts w:cs="Arial"/>
                <w:b/>
                <w:bCs/>
                <w:sz w:val="18"/>
                <w:szCs w:val="18"/>
                <w:lang w:val="en-US" w:eastAsia="en-US"/>
              </w:rPr>
            </w:pPr>
            <w:r w:rsidRPr="000F2E8B">
              <w:rPr>
                <w:rFonts w:cs="Arial"/>
                <w:b/>
                <w:bCs/>
                <w:sz w:val="18"/>
                <w:szCs w:val="18"/>
                <w:lang w:val="en-US" w:eastAsia="en-US"/>
              </w:rPr>
              <w:t>2019-2020</w:t>
            </w:r>
          </w:p>
        </w:tc>
      </w:tr>
      <w:tr w:rsidR="000F2E8B" w:rsidRPr="000F2E8B" w:rsidTr="000F2E8B">
        <w:trPr>
          <w:trHeight w:val="300"/>
        </w:trPr>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30.61%</w:t>
            </w:r>
          </w:p>
        </w:tc>
        <w:tc>
          <w:tcPr>
            <w:tcW w:w="1124"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31.37%</w:t>
            </w:r>
          </w:p>
        </w:tc>
        <w:tc>
          <w:tcPr>
            <w:tcW w:w="1125"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31.91%</w:t>
            </w:r>
          </w:p>
        </w:tc>
        <w:tc>
          <w:tcPr>
            <w:tcW w:w="1124"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32.24%</w:t>
            </w:r>
          </w:p>
        </w:tc>
        <w:tc>
          <w:tcPr>
            <w:tcW w:w="1124" w:type="dxa"/>
            <w:tcBorders>
              <w:top w:val="nil"/>
              <w:left w:val="nil"/>
              <w:bottom w:val="single" w:sz="4" w:space="0" w:color="auto"/>
              <w:right w:val="single" w:sz="4" w:space="0" w:color="auto"/>
            </w:tcBorders>
            <w:shd w:val="clear" w:color="000000" w:fill="FFFFFF"/>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32.80%</w:t>
            </w:r>
          </w:p>
        </w:tc>
        <w:tc>
          <w:tcPr>
            <w:tcW w:w="1125"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33.31%</w:t>
            </w:r>
          </w:p>
        </w:tc>
        <w:tc>
          <w:tcPr>
            <w:tcW w:w="1124"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34.02%</w:t>
            </w:r>
          </w:p>
        </w:tc>
        <w:tc>
          <w:tcPr>
            <w:tcW w:w="1125"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35.06%</w:t>
            </w:r>
          </w:p>
        </w:tc>
      </w:tr>
    </w:tbl>
    <w:p w:rsidR="00EB62C3" w:rsidRDefault="00EB62C3" w:rsidP="00EB62C3">
      <w:pPr>
        <w:tabs>
          <w:tab w:val="left" w:pos="284"/>
        </w:tabs>
        <w:spacing w:before="0" w:after="0"/>
        <w:rPr>
          <w:szCs w:val="22"/>
        </w:rPr>
      </w:pPr>
    </w:p>
    <w:p w:rsidR="009371DF" w:rsidRDefault="009128B8" w:rsidP="006424A1">
      <w:pPr>
        <w:spacing w:line="276" w:lineRule="auto"/>
        <w:rPr>
          <w:szCs w:val="22"/>
        </w:rPr>
      </w:pPr>
      <w:r>
        <w:rPr>
          <w:szCs w:val="22"/>
        </w:rPr>
        <w:t xml:space="preserve">et pour l’année scolaire 2019-2020, elle représente par école </w:t>
      </w:r>
      <w:r w:rsidR="007429B7">
        <w:rPr>
          <w:szCs w:val="22"/>
        </w:rPr>
        <w:t xml:space="preserve"> : </w:t>
      </w:r>
    </w:p>
    <w:tbl>
      <w:tblPr>
        <w:tblW w:w="6115" w:type="dxa"/>
        <w:tblInd w:w="113" w:type="dxa"/>
        <w:tblLayout w:type="fixed"/>
        <w:tblLook w:val="04A0" w:firstRow="1" w:lastRow="0" w:firstColumn="1" w:lastColumn="0" w:noHBand="0" w:noVBand="1"/>
      </w:tblPr>
      <w:tblGrid>
        <w:gridCol w:w="1406"/>
        <w:gridCol w:w="1177"/>
        <w:gridCol w:w="1177"/>
        <w:gridCol w:w="1177"/>
        <w:gridCol w:w="1178"/>
      </w:tblGrid>
      <w:tr w:rsidR="000F2E8B" w:rsidRPr="000F2E8B" w:rsidTr="000F2E8B">
        <w:trPr>
          <w:trHeight w:val="300"/>
        </w:trPr>
        <w:tc>
          <w:tcPr>
            <w:tcW w:w="140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F2E8B" w:rsidRPr="000F2E8B" w:rsidRDefault="000F2E8B" w:rsidP="000F2E8B">
            <w:pPr>
              <w:spacing w:before="0" w:after="0"/>
              <w:jc w:val="center"/>
              <w:rPr>
                <w:rFonts w:cs="Arial"/>
                <w:b/>
                <w:bCs/>
                <w:color w:val="000000"/>
                <w:sz w:val="20"/>
                <w:lang w:val="en-US" w:eastAsia="en-US"/>
              </w:rPr>
            </w:pPr>
            <w:r w:rsidRPr="000F2E8B">
              <w:rPr>
                <w:rFonts w:cs="Arial"/>
                <w:b/>
                <w:bCs/>
                <w:color w:val="000000"/>
                <w:sz w:val="20"/>
                <w:lang w:val="en-US" w:eastAsia="en-US"/>
              </w:rPr>
              <w:t>EEB1- UCC</w:t>
            </w:r>
          </w:p>
        </w:tc>
        <w:tc>
          <w:tcPr>
            <w:tcW w:w="1177" w:type="dxa"/>
            <w:tcBorders>
              <w:top w:val="single" w:sz="4" w:space="0" w:color="auto"/>
              <w:left w:val="nil"/>
              <w:bottom w:val="single" w:sz="4" w:space="0" w:color="auto"/>
              <w:right w:val="single" w:sz="4" w:space="0" w:color="auto"/>
            </w:tcBorders>
            <w:shd w:val="clear" w:color="000000" w:fill="D9D9D9"/>
            <w:noWrap/>
            <w:vAlign w:val="bottom"/>
            <w:hideMark/>
          </w:tcPr>
          <w:p w:rsidR="000F2E8B" w:rsidRPr="000F2E8B" w:rsidRDefault="000F2E8B" w:rsidP="000F2E8B">
            <w:pPr>
              <w:spacing w:before="0" w:after="0"/>
              <w:jc w:val="center"/>
              <w:rPr>
                <w:rFonts w:cs="Arial"/>
                <w:b/>
                <w:bCs/>
                <w:color w:val="000000"/>
                <w:sz w:val="20"/>
                <w:lang w:val="en-US" w:eastAsia="en-US"/>
              </w:rPr>
            </w:pPr>
            <w:r w:rsidRPr="000F2E8B">
              <w:rPr>
                <w:rFonts w:cs="Arial"/>
                <w:b/>
                <w:bCs/>
                <w:color w:val="000000"/>
                <w:sz w:val="20"/>
                <w:lang w:val="en-US" w:eastAsia="en-US"/>
              </w:rPr>
              <w:t>EEB1-BK</w:t>
            </w:r>
          </w:p>
        </w:tc>
        <w:tc>
          <w:tcPr>
            <w:tcW w:w="1177" w:type="dxa"/>
            <w:tcBorders>
              <w:top w:val="single" w:sz="4" w:space="0" w:color="auto"/>
              <w:left w:val="nil"/>
              <w:bottom w:val="single" w:sz="4" w:space="0" w:color="auto"/>
              <w:right w:val="single" w:sz="4" w:space="0" w:color="auto"/>
            </w:tcBorders>
            <w:shd w:val="clear" w:color="000000" w:fill="D9D9D9"/>
            <w:noWrap/>
            <w:vAlign w:val="bottom"/>
            <w:hideMark/>
          </w:tcPr>
          <w:p w:rsidR="000F2E8B" w:rsidRPr="000F2E8B" w:rsidRDefault="000F2E8B" w:rsidP="000F2E8B">
            <w:pPr>
              <w:spacing w:before="0" w:after="0"/>
              <w:jc w:val="center"/>
              <w:rPr>
                <w:rFonts w:cs="Arial"/>
                <w:b/>
                <w:bCs/>
                <w:color w:val="000000"/>
                <w:sz w:val="20"/>
                <w:lang w:val="en-US" w:eastAsia="en-US"/>
              </w:rPr>
            </w:pPr>
            <w:r w:rsidRPr="000F2E8B">
              <w:rPr>
                <w:rFonts w:cs="Arial"/>
                <w:b/>
                <w:bCs/>
                <w:color w:val="000000"/>
                <w:sz w:val="20"/>
                <w:lang w:val="en-US" w:eastAsia="en-US"/>
              </w:rPr>
              <w:t>EEB2</w:t>
            </w:r>
          </w:p>
        </w:tc>
        <w:tc>
          <w:tcPr>
            <w:tcW w:w="1177" w:type="dxa"/>
            <w:tcBorders>
              <w:top w:val="single" w:sz="4" w:space="0" w:color="auto"/>
              <w:left w:val="nil"/>
              <w:bottom w:val="single" w:sz="4" w:space="0" w:color="auto"/>
              <w:right w:val="single" w:sz="4" w:space="0" w:color="auto"/>
            </w:tcBorders>
            <w:shd w:val="clear" w:color="000000" w:fill="D9D9D9"/>
            <w:noWrap/>
            <w:vAlign w:val="bottom"/>
            <w:hideMark/>
          </w:tcPr>
          <w:p w:rsidR="000F2E8B" w:rsidRPr="000F2E8B" w:rsidRDefault="000F2E8B" w:rsidP="000F2E8B">
            <w:pPr>
              <w:spacing w:before="0" w:after="0"/>
              <w:jc w:val="center"/>
              <w:rPr>
                <w:rFonts w:cs="Arial"/>
                <w:b/>
                <w:bCs/>
                <w:color w:val="000000"/>
                <w:sz w:val="20"/>
                <w:lang w:val="en-US" w:eastAsia="en-US"/>
              </w:rPr>
            </w:pPr>
            <w:r w:rsidRPr="000F2E8B">
              <w:rPr>
                <w:rFonts w:cs="Arial"/>
                <w:b/>
                <w:bCs/>
                <w:color w:val="000000"/>
                <w:sz w:val="20"/>
                <w:lang w:val="en-US" w:eastAsia="en-US"/>
              </w:rPr>
              <w:t>EEB3</w:t>
            </w:r>
          </w:p>
        </w:tc>
        <w:tc>
          <w:tcPr>
            <w:tcW w:w="1178" w:type="dxa"/>
            <w:tcBorders>
              <w:top w:val="single" w:sz="4" w:space="0" w:color="auto"/>
              <w:left w:val="nil"/>
              <w:bottom w:val="single" w:sz="4" w:space="0" w:color="auto"/>
              <w:right w:val="single" w:sz="4" w:space="0" w:color="auto"/>
            </w:tcBorders>
            <w:shd w:val="clear" w:color="000000" w:fill="D9D9D9"/>
            <w:noWrap/>
            <w:vAlign w:val="bottom"/>
            <w:hideMark/>
          </w:tcPr>
          <w:p w:rsidR="000F2E8B" w:rsidRPr="000F2E8B" w:rsidRDefault="000F2E8B" w:rsidP="000F2E8B">
            <w:pPr>
              <w:spacing w:before="0" w:after="0"/>
              <w:jc w:val="center"/>
              <w:rPr>
                <w:rFonts w:cs="Arial"/>
                <w:b/>
                <w:bCs/>
                <w:color w:val="000000"/>
                <w:sz w:val="20"/>
                <w:lang w:val="en-US" w:eastAsia="en-US"/>
              </w:rPr>
            </w:pPr>
            <w:r w:rsidRPr="000F2E8B">
              <w:rPr>
                <w:rFonts w:cs="Arial"/>
                <w:b/>
                <w:bCs/>
                <w:color w:val="000000"/>
                <w:sz w:val="20"/>
                <w:lang w:val="en-US" w:eastAsia="en-US"/>
              </w:rPr>
              <w:t>EEB4</w:t>
            </w:r>
          </w:p>
        </w:tc>
      </w:tr>
      <w:tr w:rsidR="000F2E8B" w:rsidRPr="000F2E8B" w:rsidTr="000F2E8B">
        <w:trPr>
          <w:trHeight w:val="30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34%</w:t>
            </w:r>
          </w:p>
        </w:tc>
        <w:tc>
          <w:tcPr>
            <w:tcW w:w="1177"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66%</w:t>
            </w:r>
          </w:p>
        </w:tc>
        <w:tc>
          <w:tcPr>
            <w:tcW w:w="1177"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27%</w:t>
            </w:r>
          </w:p>
        </w:tc>
        <w:tc>
          <w:tcPr>
            <w:tcW w:w="1177"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30%</w:t>
            </w:r>
          </w:p>
        </w:tc>
        <w:tc>
          <w:tcPr>
            <w:tcW w:w="1178" w:type="dxa"/>
            <w:tcBorders>
              <w:top w:val="nil"/>
              <w:left w:val="nil"/>
              <w:bottom w:val="single" w:sz="4" w:space="0" w:color="auto"/>
              <w:right w:val="single" w:sz="4" w:space="0" w:color="auto"/>
            </w:tcBorders>
            <w:shd w:val="clear" w:color="auto" w:fill="auto"/>
            <w:noWrap/>
            <w:vAlign w:val="bottom"/>
            <w:hideMark/>
          </w:tcPr>
          <w:p w:rsidR="000F2E8B" w:rsidRPr="000F2E8B" w:rsidRDefault="000F2E8B" w:rsidP="000F2E8B">
            <w:pPr>
              <w:spacing w:before="0" w:after="0"/>
              <w:jc w:val="right"/>
              <w:rPr>
                <w:rFonts w:cs="Arial"/>
                <w:sz w:val="20"/>
                <w:lang w:val="en-US" w:eastAsia="en-US"/>
              </w:rPr>
            </w:pPr>
            <w:r w:rsidRPr="000F2E8B">
              <w:rPr>
                <w:rFonts w:cs="Arial"/>
                <w:sz w:val="20"/>
                <w:lang w:val="en-US" w:eastAsia="en-US"/>
              </w:rPr>
              <w:t>44%</w:t>
            </w:r>
          </w:p>
        </w:tc>
      </w:tr>
    </w:tbl>
    <w:p w:rsidR="006424A1" w:rsidRPr="000F2E8B" w:rsidRDefault="006424A1" w:rsidP="00AD7B67">
      <w:pPr>
        <w:spacing w:before="0" w:after="0" w:line="276" w:lineRule="auto"/>
        <w:rPr>
          <w:szCs w:val="22"/>
        </w:rPr>
      </w:pPr>
    </w:p>
    <w:p w:rsidR="007A56A5" w:rsidRPr="000F2E8B" w:rsidRDefault="007A56A5" w:rsidP="00AD7B67">
      <w:pPr>
        <w:spacing w:before="0" w:after="0" w:line="276" w:lineRule="auto"/>
        <w:rPr>
          <w:szCs w:val="22"/>
          <w:lang w:val="fr-BE"/>
        </w:rPr>
      </w:pPr>
    </w:p>
    <w:p w:rsidR="006424A1" w:rsidRDefault="006424A1" w:rsidP="00AD7B67">
      <w:pPr>
        <w:spacing w:before="0" w:after="0" w:line="276" w:lineRule="auto"/>
        <w:rPr>
          <w:szCs w:val="22"/>
        </w:rPr>
      </w:pPr>
      <w:r>
        <w:rPr>
          <w:szCs w:val="22"/>
        </w:rPr>
        <w:t>L</w:t>
      </w:r>
      <w:r w:rsidR="001A76F8" w:rsidRPr="001A76F8">
        <w:rPr>
          <w:szCs w:val="22"/>
        </w:rPr>
        <w:t>es</w:t>
      </w:r>
      <w:r w:rsidR="001A76F8">
        <w:rPr>
          <w:b/>
          <w:szCs w:val="22"/>
        </w:rPr>
        <w:t xml:space="preserve"> </w:t>
      </w:r>
      <w:r w:rsidR="00BC5CA3" w:rsidRPr="00912F8B">
        <w:rPr>
          <w:b/>
          <w:szCs w:val="22"/>
        </w:rPr>
        <w:t xml:space="preserve">sections </w:t>
      </w:r>
      <w:r w:rsidR="00BC5CA3" w:rsidRPr="003A083C">
        <w:rPr>
          <w:b/>
          <w:szCs w:val="22"/>
        </w:rPr>
        <w:t>linguistiques</w:t>
      </w:r>
      <w:r w:rsidR="00BC5CA3" w:rsidRPr="00912F8B">
        <w:rPr>
          <w:b/>
          <w:szCs w:val="22"/>
        </w:rPr>
        <w:t xml:space="preserve"> </w:t>
      </w:r>
      <w:r w:rsidR="00BC5CA3" w:rsidRPr="003A083C">
        <w:rPr>
          <w:b/>
          <w:szCs w:val="22"/>
        </w:rPr>
        <w:t>uniques</w:t>
      </w:r>
      <w:r w:rsidR="003A083C" w:rsidRPr="003A083C">
        <w:rPr>
          <w:b/>
          <w:szCs w:val="22"/>
        </w:rPr>
        <w:t xml:space="preserve"> créées récemment</w:t>
      </w:r>
      <w:r>
        <w:rPr>
          <w:b/>
          <w:szCs w:val="22"/>
        </w:rPr>
        <w:t xml:space="preserve"> </w:t>
      </w:r>
      <w:r w:rsidRPr="006424A1">
        <w:rPr>
          <w:szCs w:val="22"/>
        </w:rPr>
        <w:t>poursuivent leur</w:t>
      </w:r>
      <w:r>
        <w:rPr>
          <w:b/>
          <w:szCs w:val="22"/>
        </w:rPr>
        <w:t xml:space="preserve"> </w:t>
      </w:r>
      <w:r w:rsidR="003A083C">
        <w:rPr>
          <w:szCs w:val="22"/>
        </w:rPr>
        <w:t>développe</w:t>
      </w:r>
      <w:r>
        <w:rPr>
          <w:szCs w:val="22"/>
        </w:rPr>
        <w:t>me</w:t>
      </w:r>
      <w:r w:rsidR="003A083C">
        <w:rPr>
          <w:szCs w:val="22"/>
        </w:rPr>
        <w:t>nt</w:t>
      </w:r>
      <w:r>
        <w:rPr>
          <w:szCs w:val="22"/>
        </w:rPr>
        <w:t xml:space="preserve"> : </w:t>
      </w:r>
    </w:p>
    <w:p w:rsidR="00AD7B67" w:rsidRDefault="003A083C" w:rsidP="00AD7B67">
      <w:pPr>
        <w:spacing w:before="0" w:after="0" w:line="276" w:lineRule="auto"/>
        <w:rPr>
          <w:szCs w:val="22"/>
        </w:rPr>
      </w:pPr>
      <w:r>
        <w:rPr>
          <w:szCs w:val="22"/>
        </w:rPr>
        <w:t xml:space="preserve"> </w:t>
      </w:r>
      <w:r w:rsidR="00BC5CA3" w:rsidRPr="00912F8B">
        <w:rPr>
          <w:szCs w:val="22"/>
        </w:rPr>
        <w:t xml:space="preserve"> </w:t>
      </w:r>
    </w:p>
    <w:p w:rsidR="00540DA9" w:rsidRPr="00540DA9" w:rsidRDefault="009128B8" w:rsidP="00FB709A">
      <w:pPr>
        <w:pStyle w:val="ListParagraph"/>
        <w:numPr>
          <w:ilvl w:val="0"/>
          <w:numId w:val="22"/>
        </w:numPr>
        <w:spacing w:before="0" w:after="0" w:line="276" w:lineRule="auto"/>
        <w:rPr>
          <w:szCs w:val="22"/>
        </w:rPr>
      </w:pPr>
      <w:r w:rsidRPr="00540DA9">
        <w:rPr>
          <w:szCs w:val="22"/>
        </w:rPr>
        <w:t xml:space="preserve">à </w:t>
      </w:r>
      <w:r w:rsidR="001A5FEA" w:rsidRPr="00540DA9">
        <w:rPr>
          <w:szCs w:val="22"/>
        </w:rPr>
        <w:t>l’Ecole de</w:t>
      </w:r>
      <w:r w:rsidR="001A5FEA" w:rsidRPr="00540DA9">
        <w:rPr>
          <w:b/>
          <w:szCs w:val="22"/>
        </w:rPr>
        <w:t xml:space="preserve"> Bruxelles I</w:t>
      </w:r>
      <w:r w:rsidRPr="00540DA9">
        <w:rPr>
          <w:b/>
          <w:szCs w:val="22"/>
        </w:rPr>
        <w:t xml:space="preserve"> – site Berkendae</w:t>
      </w:r>
      <w:r w:rsidR="001A5FEA" w:rsidRPr="00540DA9">
        <w:rPr>
          <w:b/>
          <w:szCs w:val="22"/>
        </w:rPr>
        <w:t>I</w:t>
      </w:r>
      <w:r w:rsidR="00540DA9">
        <w:rPr>
          <w:szCs w:val="22"/>
        </w:rPr>
        <w:t xml:space="preserve">, </w:t>
      </w:r>
      <w:r w:rsidR="00E656F7">
        <w:rPr>
          <w:szCs w:val="22"/>
        </w:rPr>
        <w:t xml:space="preserve">tous les niveaux du cycle primaire de la section </w:t>
      </w:r>
      <w:r w:rsidR="00E656F7" w:rsidRPr="00E656F7">
        <w:rPr>
          <w:b/>
          <w:szCs w:val="22"/>
        </w:rPr>
        <w:t xml:space="preserve">LV </w:t>
      </w:r>
      <w:r w:rsidR="00E656F7">
        <w:rPr>
          <w:szCs w:val="22"/>
        </w:rPr>
        <w:t xml:space="preserve">sont ouverts, ses </w:t>
      </w:r>
      <w:r w:rsidR="00540DA9" w:rsidRPr="00540DA9">
        <w:rPr>
          <w:szCs w:val="22"/>
        </w:rPr>
        <w:t xml:space="preserve">effectifs </w:t>
      </w:r>
      <w:r w:rsidR="00E656F7">
        <w:rPr>
          <w:szCs w:val="22"/>
        </w:rPr>
        <w:t>étant</w:t>
      </w:r>
      <w:r w:rsidR="00540DA9" w:rsidRPr="00540DA9">
        <w:rPr>
          <w:szCs w:val="22"/>
        </w:rPr>
        <w:t xml:space="preserve"> passés de 16 élèves en 2018 à 28 à la rentrée de septembre 2019. </w:t>
      </w:r>
      <w:r w:rsidR="00540DA9">
        <w:rPr>
          <w:szCs w:val="22"/>
        </w:rPr>
        <w:t>Quant à l</w:t>
      </w:r>
      <w:r w:rsidR="00540DA9" w:rsidRPr="00540DA9">
        <w:rPr>
          <w:szCs w:val="22"/>
        </w:rPr>
        <w:t>a section linguistique</w:t>
      </w:r>
      <w:r w:rsidR="00540DA9" w:rsidRPr="00540DA9">
        <w:rPr>
          <w:b/>
          <w:szCs w:val="22"/>
        </w:rPr>
        <w:t xml:space="preserve"> SK</w:t>
      </w:r>
      <w:r w:rsidR="00540DA9">
        <w:rPr>
          <w:szCs w:val="22"/>
        </w:rPr>
        <w:t xml:space="preserve">, elle </w:t>
      </w:r>
      <w:r w:rsidR="00540DA9" w:rsidRPr="00540DA9">
        <w:rPr>
          <w:szCs w:val="22"/>
        </w:rPr>
        <w:t xml:space="preserve">compte à présent 21 élèves à la rentrée de septembre 2019 (12 élèves en 2018).    </w:t>
      </w:r>
    </w:p>
    <w:p w:rsidR="001A5FEA" w:rsidRPr="00E656F7" w:rsidRDefault="009128B8" w:rsidP="009128B8">
      <w:pPr>
        <w:pStyle w:val="ListParagraph"/>
        <w:numPr>
          <w:ilvl w:val="0"/>
          <w:numId w:val="22"/>
        </w:numPr>
        <w:spacing w:before="0" w:after="0" w:line="276" w:lineRule="auto"/>
        <w:rPr>
          <w:szCs w:val="22"/>
        </w:rPr>
      </w:pPr>
      <w:r>
        <w:rPr>
          <w:szCs w:val="22"/>
        </w:rPr>
        <w:t xml:space="preserve">à l’Ecole de </w:t>
      </w:r>
      <w:r w:rsidRPr="00232065">
        <w:rPr>
          <w:b/>
          <w:szCs w:val="22"/>
        </w:rPr>
        <w:t>Bruxelles II</w:t>
      </w:r>
      <w:r>
        <w:rPr>
          <w:szCs w:val="22"/>
        </w:rPr>
        <w:t xml:space="preserve">, </w:t>
      </w:r>
      <w:r w:rsidR="001A5FEA" w:rsidRPr="009128B8">
        <w:rPr>
          <w:szCs w:val="22"/>
        </w:rPr>
        <w:t>l</w:t>
      </w:r>
      <w:r>
        <w:rPr>
          <w:szCs w:val="22"/>
        </w:rPr>
        <w:t xml:space="preserve">e niveau de S5 a été ouvert en </w:t>
      </w:r>
      <w:r w:rsidR="001A5FEA" w:rsidRPr="009128B8">
        <w:rPr>
          <w:szCs w:val="22"/>
        </w:rPr>
        <w:t xml:space="preserve">section </w:t>
      </w:r>
      <w:r w:rsidR="001A5FEA" w:rsidRPr="009128B8">
        <w:rPr>
          <w:b/>
          <w:szCs w:val="22"/>
        </w:rPr>
        <w:t>LT</w:t>
      </w:r>
      <w:r w:rsidR="00E656F7">
        <w:rPr>
          <w:b/>
          <w:szCs w:val="22"/>
        </w:rPr>
        <w:t>,</w:t>
      </w:r>
    </w:p>
    <w:p w:rsidR="009128B8" w:rsidRDefault="00FB709A" w:rsidP="009128B8">
      <w:pPr>
        <w:pStyle w:val="ListParagraph"/>
        <w:numPr>
          <w:ilvl w:val="0"/>
          <w:numId w:val="22"/>
        </w:numPr>
        <w:spacing w:before="0" w:after="0" w:line="276" w:lineRule="auto"/>
        <w:rPr>
          <w:szCs w:val="22"/>
        </w:rPr>
      </w:pPr>
      <w:r>
        <w:rPr>
          <w:szCs w:val="22"/>
        </w:rPr>
        <w:t>à</w:t>
      </w:r>
      <w:r w:rsidR="009128B8">
        <w:rPr>
          <w:szCs w:val="22"/>
        </w:rPr>
        <w:t xml:space="preserve"> l’Ecole de </w:t>
      </w:r>
      <w:r w:rsidR="009128B8" w:rsidRPr="00232065">
        <w:rPr>
          <w:b/>
          <w:szCs w:val="22"/>
        </w:rPr>
        <w:t>Bruxelles IV</w:t>
      </w:r>
      <w:r w:rsidR="009128B8">
        <w:rPr>
          <w:szCs w:val="22"/>
        </w:rPr>
        <w:t>, ont été ouverts le</w:t>
      </w:r>
      <w:r w:rsidR="00232065">
        <w:rPr>
          <w:szCs w:val="22"/>
        </w:rPr>
        <w:t>s</w:t>
      </w:r>
      <w:r w:rsidR="009128B8">
        <w:rPr>
          <w:szCs w:val="22"/>
        </w:rPr>
        <w:t xml:space="preserve"> niveau</w:t>
      </w:r>
      <w:r w:rsidR="00232065">
        <w:rPr>
          <w:szCs w:val="22"/>
        </w:rPr>
        <w:t>x</w:t>
      </w:r>
      <w:r w:rsidR="009128B8">
        <w:rPr>
          <w:szCs w:val="22"/>
        </w:rPr>
        <w:t xml:space="preserve"> de S3 </w:t>
      </w:r>
      <w:r w:rsidR="00232065">
        <w:rPr>
          <w:szCs w:val="22"/>
        </w:rPr>
        <w:t xml:space="preserve">en section </w:t>
      </w:r>
      <w:r w:rsidR="00232065" w:rsidRPr="00232065">
        <w:rPr>
          <w:b/>
          <w:szCs w:val="22"/>
        </w:rPr>
        <w:t>BG</w:t>
      </w:r>
      <w:r w:rsidR="00232065">
        <w:rPr>
          <w:szCs w:val="22"/>
        </w:rPr>
        <w:t xml:space="preserve">, S2 en section </w:t>
      </w:r>
      <w:r w:rsidR="00232065" w:rsidRPr="00232065">
        <w:rPr>
          <w:b/>
          <w:szCs w:val="22"/>
        </w:rPr>
        <w:t>RO</w:t>
      </w:r>
      <w:r w:rsidR="00232065">
        <w:rPr>
          <w:szCs w:val="22"/>
        </w:rPr>
        <w:t xml:space="preserve"> et P3 en section </w:t>
      </w:r>
      <w:r w:rsidR="00232065" w:rsidRPr="00232065">
        <w:rPr>
          <w:b/>
          <w:szCs w:val="22"/>
        </w:rPr>
        <w:t>ET</w:t>
      </w:r>
      <w:r w:rsidR="00232065">
        <w:rPr>
          <w:szCs w:val="22"/>
        </w:rPr>
        <w:t xml:space="preserve">. </w:t>
      </w:r>
    </w:p>
    <w:p w:rsidR="009B7819" w:rsidRDefault="009B7819" w:rsidP="001A5FEA">
      <w:pPr>
        <w:spacing w:before="0" w:after="0" w:line="276" w:lineRule="auto"/>
        <w:ind w:left="720"/>
        <w:rPr>
          <w:szCs w:val="22"/>
        </w:rPr>
      </w:pPr>
    </w:p>
    <w:p w:rsidR="000F2E8B" w:rsidRDefault="000F2E8B">
      <w:pPr>
        <w:spacing w:before="0" w:after="0"/>
        <w:jc w:val="left"/>
        <w:rPr>
          <w:szCs w:val="22"/>
        </w:rPr>
      </w:pPr>
      <w:r>
        <w:rPr>
          <w:szCs w:val="22"/>
        </w:rPr>
        <w:br w:type="page"/>
      </w:r>
    </w:p>
    <w:p w:rsidR="00CB2B27" w:rsidRDefault="006424A1" w:rsidP="00762AF1">
      <w:pPr>
        <w:spacing w:before="0" w:after="0"/>
        <w:rPr>
          <w:szCs w:val="22"/>
        </w:rPr>
      </w:pPr>
      <w:r>
        <w:rPr>
          <w:szCs w:val="22"/>
        </w:rPr>
        <w:lastRenderedPageBreak/>
        <w:t>En parallèle</w:t>
      </w:r>
      <w:r w:rsidR="00B104CD">
        <w:rPr>
          <w:szCs w:val="22"/>
        </w:rPr>
        <w:t xml:space="preserve">, on peut constater une baisse des effectifs des </w:t>
      </w:r>
      <w:r w:rsidR="00B104CD" w:rsidRPr="003A083C">
        <w:rPr>
          <w:b/>
          <w:szCs w:val="22"/>
        </w:rPr>
        <w:t>SWALS</w:t>
      </w:r>
      <w:r w:rsidR="00B104CD">
        <w:rPr>
          <w:szCs w:val="22"/>
        </w:rPr>
        <w:t xml:space="preserve"> comme illustré ci-après :</w:t>
      </w:r>
    </w:p>
    <w:p w:rsidR="00B104CD" w:rsidRDefault="00B104CD" w:rsidP="00762AF1">
      <w:pPr>
        <w:spacing w:before="0" w:after="0"/>
        <w:rPr>
          <w:szCs w:val="22"/>
        </w:rPr>
      </w:pPr>
    </w:p>
    <w:p w:rsidR="001D5401" w:rsidRDefault="00B6771A" w:rsidP="00762AF1">
      <w:pPr>
        <w:spacing w:before="0" w:after="0"/>
        <w:rPr>
          <w:szCs w:val="22"/>
        </w:rPr>
      </w:pPr>
      <w:r w:rsidRPr="009679F8">
        <w:rPr>
          <w:noProof/>
          <w:lang w:val="en-US" w:eastAsia="en-US"/>
        </w:rPr>
        <w:drawing>
          <wp:inline distT="0" distB="0" distL="0" distR="0" wp14:anchorId="7F88A7E9" wp14:editId="389E9F5D">
            <wp:extent cx="5238750" cy="19907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1990725"/>
                    </a:xfrm>
                    <a:prstGeom prst="rect">
                      <a:avLst/>
                    </a:prstGeom>
                    <a:noFill/>
                    <a:ln>
                      <a:noFill/>
                    </a:ln>
                  </pic:spPr>
                </pic:pic>
              </a:graphicData>
            </a:graphic>
          </wp:inline>
        </w:drawing>
      </w:r>
    </w:p>
    <w:p w:rsidR="001D5401" w:rsidRDefault="001D5401" w:rsidP="00762AF1">
      <w:pPr>
        <w:spacing w:before="0" w:after="0"/>
        <w:rPr>
          <w:szCs w:val="22"/>
        </w:rPr>
      </w:pPr>
    </w:p>
    <w:p w:rsidR="003A083C" w:rsidRDefault="00F02521" w:rsidP="003A083C">
      <w:pPr>
        <w:spacing w:before="0" w:after="0" w:line="276" w:lineRule="auto"/>
        <w:rPr>
          <w:szCs w:val="22"/>
        </w:rPr>
      </w:pPr>
      <w:r>
        <w:rPr>
          <w:szCs w:val="22"/>
        </w:rPr>
        <w:t>Enfin, il convient de signaler qu</w:t>
      </w:r>
      <w:r w:rsidR="008C3403">
        <w:rPr>
          <w:szCs w:val="22"/>
        </w:rPr>
        <w:t xml:space="preserve">’en termes d’effectifs </w:t>
      </w:r>
      <w:r w:rsidR="006424A1">
        <w:rPr>
          <w:szCs w:val="22"/>
        </w:rPr>
        <w:t>l</w:t>
      </w:r>
      <w:r w:rsidR="003A083C">
        <w:rPr>
          <w:szCs w:val="22"/>
        </w:rPr>
        <w:t>e</w:t>
      </w:r>
      <w:r>
        <w:rPr>
          <w:szCs w:val="22"/>
        </w:rPr>
        <w:t xml:space="preserve"> nombre d’élèves de la </w:t>
      </w:r>
      <w:r w:rsidRPr="00F02521">
        <w:rPr>
          <w:szCs w:val="22"/>
        </w:rPr>
        <w:t>section linguistique anglophone</w:t>
      </w:r>
      <w:r>
        <w:rPr>
          <w:szCs w:val="22"/>
        </w:rPr>
        <w:t xml:space="preserve"> est </w:t>
      </w:r>
      <w:r w:rsidR="006424A1">
        <w:rPr>
          <w:szCs w:val="22"/>
        </w:rPr>
        <w:t xml:space="preserve">en baisse </w:t>
      </w:r>
      <w:r w:rsidR="003A083C">
        <w:rPr>
          <w:szCs w:val="22"/>
        </w:rPr>
        <w:t xml:space="preserve">: </w:t>
      </w:r>
    </w:p>
    <w:p w:rsidR="009B7819" w:rsidRDefault="009B7819" w:rsidP="003A083C">
      <w:pPr>
        <w:spacing w:before="0" w:after="0" w:line="276" w:lineRule="auto"/>
        <w:rPr>
          <w:szCs w:val="22"/>
        </w:rPr>
      </w:pPr>
    </w:p>
    <w:p w:rsidR="009B7819" w:rsidRDefault="000F2E8B" w:rsidP="003A083C">
      <w:pPr>
        <w:spacing w:before="0" w:after="0" w:line="276" w:lineRule="auto"/>
        <w:rPr>
          <w:szCs w:val="22"/>
        </w:rPr>
      </w:pPr>
      <w:r w:rsidRPr="000F2E8B">
        <w:rPr>
          <w:noProof/>
          <w:lang w:val="en-US" w:eastAsia="en-US"/>
        </w:rPr>
        <w:drawing>
          <wp:inline distT="0" distB="0" distL="0" distR="0">
            <wp:extent cx="5841365" cy="782488"/>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1365" cy="782488"/>
                    </a:xfrm>
                    <a:prstGeom prst="rect">
                      <a:avLst/>
                    </a:prstGeom>
                    <a:noFill/>
                    <a:ln>
                      <a:noFill/>
                    </a:ln>
                  </pic:spPr>
                </pic:pic>
              </a:graphicData>
            </a:graphic>
          </wp:inline>
        </w:drawing>
      </w:r>
    </w:p>
    <w:p w:rsidR="004F1552" w:rsidRPr="004F1552" w:rsidRDefault="004F1552" w:rsidP="003A083C">
      <w:pPr>
        <w:spacing w:before="0" w:after="0" w:line="276" w:lineRule="auto"/>
        <w:rPr>
          <w:sz w:val="16"/>
          <w:szCs w:val="16"/>
        </w:rPr>
      </w:pPr>
    </w:p>
    <w:p w:rsidR="003A083C" w:rsidRDefault="003A083C" w:rsidP="003A083C">
      <w:pPr>
        <w:spacing w:before="0" w:after="0" w:line="276" w:lineRule="auto"/>
        <w:rPr>
          <w:szCs w:val="22"/>
        </w:rPr>
      </w:pPr>
    </w:p>
    <w:p w:rsidR="001D5401" w:rsidRDefault="004978A0" w:rsidP="003A083C">
      <w:pPr>
        <w:spacing w:before="0" w:after="0" w:line="276" w:lineRule="auto"/>
        <w:rPr>
          <w:szCs w:val="22"/>
        </w:rPr>
      </w:pPr>
      <w:r>
        <w:rPr>
          <w:noProof/>
          <w:lang w:val="en-US" w:eastAsia="en-US"/>
        </w:rPr>
        <w:drawing>
          <wp:inline distT="0" distB="0" distL="0" distR="0" wp14:anchorId="12DAD7A3" wp14:editId="458502E3">
            <wp:extent cx="5841365" cy="2543175"/>
            <wp:effectExtent l="0" t="0" r="698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5401" w:rsidRDefault="001D5401" w:rsidP="003A083C">
      <w:pPr>
        <w:spacing w:before="0" w:after="0" w:line="276" w:lineRule="auto"/>
        <w:rPr>
          <w:szCs w:val="22"/>
        </w:rPr>
      </w:pPr>
    </w:p>
    <w:p w:rsidR="001D5401" w:rsidRDefault="001D5401" w:rsidP="003A083C">
      <w:pPr>
        <w:spacing w:before="0" w:after="0" w:line="276" w:lineRule="auto"/>
        <w:rPr>
          <w:szCs w:val="22"/>
        </w:rPr>
      </w:pPr>
    </w:p>
    <w:p w:rsidR="00F02521" w:rsidRDefault="00F02521" w:rsidP="003A083C">
      <w:pPr>
        <w:spacing w:before="0" w:after="0" w:line="276" w:lineRule="auto"/>
        <w:rPr>
          <w:szCs w:val="22"/>
        </w:rPr>
      </w:pPr>
    </w:p>
    <w:p w:rsidR="001D5401" w:rsidRDefault="009F393B" w:rsidP="001D5401">
      <w:pPr>
        <w:tabs>
          <w:tab w:val="left" w:pos="284"/>
        </w:tabs>
        <w:spacing w:before="0" w:after="0"/>
        <w:rPr>
          <w:b/>
          <w:szCs w:val="22"/>
        </w:rPr>
      </w:pPr>
      <w:r>
        <w:rPr>
          <w:b/>
          <w:szCs w:val="22"/>
        </w:rPr>
        <w:tab/>
      </w:r>
      <w:r w:rsidR="00B744F3">
        <w:rPr>
          <w:b/>
          <w:szCs w:val="22"/>
        </w:rPr>
        <w:t>3.2. Conclusions</w:t>
      </w:r>
    </w:p>
    <w:p w:rsidR="00232065" w:rsidRDefault="00232065" w:rsidP="001D5401">
      <w:pPr>
        <w:tabs>
          <w:tab w:val="left" w:pos="284"/>
        </w:tabs>
        <w:spacing w:before="0" w:after="0"/>
        <w:rPr>
          <w:b/>
          <w:szCs w:val="22"/>
        </w:rPr>
      </w:pPr>
    </w:p>
    <w:p w:rsidR="00CD1F32" w:rsidRDefault="00F8338E" w:rsidP="009A3C80">
      <w:pPr>
        <w:tabs>
          <w:tab w:val="left" w:pos="284"/>
        </w:tabs>
        <w:spacing w:line="276" w:lineRule="auto"/>
        <w:rPr>
          <w:szCs w:val="22"/>
        </w:rPr>
      </w:pPr>
      <w:r>
        <w:rPr>
          <w:szCs w:val="22"/>
        </w:rPr>
        <w:t>A l’issue de la campagne d’inscription 2019-2020, l</w:t>
      </w:r>
      <w:r w:rsidR="00232065">
        <w:rPr>
          <w:szCs w:val="22"/>
        </w:rPr>
        <w:t>’augmentation de la population scolaire globale</w:t>
      </w:r>
      <w:r w:rsidR="00442097">
        <w:rPr>
          <w:szCs w:val="22"/>
        </w:rPr>
        <w:t xml:space="preserve"> </w:t>
      </w:r>
      <w:r w:rsidR="00987A02">
        <w:rPr>
          <w:szCs w:val="22"/>
        </w:rPr>
        <w:t xml:space="preserve">de </w:t>
      </w:r>
      <w:r w:rsidR="00442097">
        <w:rPr>
          <w:szCs w:val="22"/>
        </w:rPr>
        <w:t xml:space="preserve">472 élèves supplémentaires par rapport à </w:t>
      </w:r>
      <w:r w:rsidR="00987A02">
        <w:rPr>
          <w:szCs w:val="22"/>
        </w:rPr>
        <w:t xml:space="preserve">celle de </w:t>
      </w:r>
      <w:r w:rsidR="00442097">
        <w:rPr>
          <w:szCs w:val="22"/>
        </w:rPr>
        <w:t xml:space="preserve">l’année dernière </w:t>
      </w:r>
      <w:r w:rsidR="00232065">
        <w:rPr>
          <w:szCs w:val="22"/>
        </w:rPr>
        <w:t>(</w:t>
      </w:r>
      <w:r w:rsidR="00442097">
        <w:rPr>
          <w:szCs w:val="22"/>
        </w:rPr>
        <w:t>267 élèves)</w:t>
      </w:r>
      <w:r>
        <w:rPr>
          <w:szCs w:val="22"/>
        </w:rPr>
        <w:t xml:space="preserve"> </w:t>
      </w:r>
      <w:r w:rsidR="006868FE">
        <w:rPr>
          <w:szCs w:val="22"/>
        </w:rPr>
        <w:t xml:space="preserve">a atteint </w:t>
      </w:r>
      <w:r>
        <w:rPr>
          <w:szCs w:val="22"/>
        </w:rPr>
        <w:t>un niveau</w:t>
      </w:r>
      <w:r w:rsidR="00FB709A">
        <w:rPr>
          <w:szCs w:val="22"/>
        </w:rPr>
        <w:t>,</w:t>
      </w:r>
      <w:r>
        <w:rPr>
          <w:szCs w:val="22"/>
        </w:rPr>
        <w:t xml:space="preserve"> qui n’avait plus été </w:t>
      </w:r>
      <w:r w:rsidR="006868FE">
        <w:rPr>
          <w:szCs w:val="22"/>
        </w:rPr>
        <w:t xml:space="preserve">enregistré </w:t>
      </w:r>
      <w:r>
        <w:rPr>
          <w:szCs w:val="22"/>
        </w:rPr>
        <w:t xml:space="preserve">depuis la </w:t>
      </w:r>
      <w:r w:rsidR="00CD1F32">
        <w:rPr>
          <w:szCs w:val="22"/>
        </w:rPr>
        <w:t xml:space="preserve">rentrée de septembre 2015, comme illustré ci-après : </w:t>
      </w:r>
    </w:p>
    <w:tbl>
      <w:tblPr>
        <w:tblStyle w:val="TableGrid"/>
        <w:tblW w:w="8937" w:type="dxa"/>
        <w:tblInd w:w="-5" w:type="dxa"/>
        <w:tblLook w:val="04A0" w:firstRow="1" w:lastRow="0" w:firstColumn="1" w:lastColumn="0" w:noHBand="0" w:noVBand="1"/>
      </w:tblPr>
      <w:tblGrid>
        <w:gridCol w:w="1276"/>
        <w:gridCol w:w="1276"/>
        <w:gridCol w:w="1277"/>
        <w:gridCol w:w="1277"/>
        <w:gridCol w:w="1277"/>
        <w:gridCol w:w="1277"/>
        <w:gridCol w:w="1277"/>
      </w:tblGrid>
      <w:tr w:rsidR="00CD1F32" w:rsidTr="00CD1F32">
        <w:trPr>
          <w:trHeight w:val="395"/>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1F32" w:rsidRDefault="00CD1F32" w:rsidP="00CD1F32">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2012-2013 à 2013-2014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1F32" w:rsidRDefault="00CD1F32" w:rsidP="00CD1F32">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2013-2014 à 2014-2015</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1F32" w:rsidRDefault="00CD1F32" w:rsidP="00CD1F32">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2014-2015 à 2015-2016</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1F32" w:rsidRDefault="00CD1F32" w:rsidP="00CD1F32">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2015-2016 à 2016-2017</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1F32" w:rsidRDefault="00CD1F32" w:rsidP="00CD1F32">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2016-2017 à 2017-2018</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1F32" w:rsidRDefault="00CD1F32" w:rsidP="00CD1F32">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2017-2018 à 2018-2019</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1F32" w:rsidRDefault="00CD1F32" w:rsidP="00CD1F32">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2018-2019 à 2019-2020</w:t>
            </w:r>
          </w:p>
        </w:tc>
      </w:tr>
      <w:tr w:rsidR="00CD1F32" w:rsidTr="00CD1F32">
        <w:tc>
          <w:tcPr>
            <w:tcW w:w="1276" w:type="dxa"/>
            <w:tcBorders>
              <w:top w:val="single" w:sz="4" w:space="0" w:color="auto"/>
              <w:left w:val="single" w:sz="4" w:space="0" w:color="auto"/>
              <w:bottom w:val="single" w:sz="4" w:space="0" w:color="auto"/>
              <w:right w:val="single" w:sz="4" w:space="0" w:color="auto"/>
            </w:tcBorders>
            <w:hideMark/>
          </w:tcPr>
          <w:p w:rsidR="00CD1F32" w:rsidRPr="00E93D1C" w:rsidRDefault="00CD1F32" w:rsidP="00CD1F32">
            <w:pPr>
              <w:spacing w:before="40" w:after="40" w:line="276" w:lineRule="auto"/>
              <w:jc w:val="center"/>
              <w:rPr>
                <w:rFonts w:cs="Arial"/>
                <w:sz w:val="20"/>
                <w:lang w:val="fr-BE"/>
              </w:rPr>
            </w:pPr>
            <w:r w:rsidRPr="00E93D1C">
              <w:rPr>
                <w:rFonts w:cs="Arial"/>
                <w:sz w:val="20"/>
                <w:lang w:val="fr-BE"/>
              </w:rPr>
              <w:t>371</w:t>
            </w:r>
          </w:p>
        </w:tc>
        <w:tc>
          <w:tcPr>
            <w:tcW w:w="1276" w:type="dxa"/>
            <w:tcBorders>
              <w:top w:val="single" w:sz="4" w:space="0" w:color="auto"/>
              <w:left w:val="single" w:sz="4" w:space="0" w:color="auto"/>
              <w:bottom w:val="single" w:sz="4" w:space="0" w:color="auto"/>
              <w:right w:val="single" w:sz="4" w:space="0" w:color="auto"/>
            </w:tcBorders>
            <w:hideMark/>
          </w:tcPr>
          <w:p w:rsidR="00CD1F32" w:rsidRPr="00E93D1C" w:rsidRDefault="00CD1F32" w:rsidP="00CD1F32">
            <w:pPr>
              <w:spacing w:before="40" w:after="40" w:line="276" w:lineRule="auto"/>
              <w:jc w:val="center"/>
              <w:rPr>
                <w:rFonts w:cs="Arial"/>
                <w:sz w:val="20"/>
                <w:lang w:val="fr-BE"/>
              </w:rPr>
            </w:pPr>
            <w:r w:rsidRPr="00E93D1C">
              <w:rPr>
                <w:rFonts w:cs="Arial"/>
                <w:sz w:val="20"/>
                <w:lang w:val="fr-BE"/>
              </w:rPr>
              <w:t>429</w:t>
            </w:r>
          </w:p>
        </w:tc>
        <w:tc>
          <w:tcPr>
            <w:tcW w:w="1277" w:type="dxa"/>
            <w:tcBorders>
              <w:top w:val="single" w:sz="4" w:space="0" w:color="auto"/>
              <w:left w:val="single" w:sz="4" w:space="0" w:color="auto"/>
              <w:bottom w:val="single" w:sz="4" w:space="0" w:color="auto"/>
              <w:right w:val="single" w:sz="4" w:space="0" w:color="auto"/>
            </w:tcBorders>
            <w:hideMark/>
          </w:tcPr>
          <w:p w:rsidR="00CD1F32" w:rsidRPr="00E93D1C" w:rsidRDefault="00CD1F32" w:rsidP="00CD1F32">
            <w:pPr>
              <w:spacing w:before="40" w:after="40" w:line="276" w:lineRule="auto"/>
              <w:jc w:val="center"/>
              <w:rPr>
                <w:rFonts w:cs="Arial"/>
                <w:sz w:val="20"/>
                <w:lang w:val="fr-BE"/>
              </w:rPr>
            </w:pPr>
            <w:r w:rsidRPr="00E93D1C">
              <w:rPr>
                <w:rFonts w:cs="Arial"/>
                <w:sz w:val="20"/>
                <w:lang w:val="fr-BE"/>
              </w:rPr>
              <w:t>479</w:t>
            </w:r>
          </w:p>
        </w:tc>
        <w:tc>
          <w:tcPr>
            <w:tcW w:w="1277" w:type="dxa"/>
            <w:tcBorders>
              <w:top w:val="single" w:sz="4" w:space="0" w:color="auto"/>
              <w:left w:val="single" w:sz="4" w:space="0" w:color="auto"/>
              <w:bottom w:val="single" w:sz="4" w:space="0" w:color="auto"/>
              <w:right w:val="single" w:sz="4" w:space="0" w:color="auto"/>
            </w:tcBorders>
            <w:hideMark/>
          </w:tcPr>
          <w:p w:rsidR="00CD1F32" w:rsidRPr="00E93D1C" w:rsidRDefault="00CD1F32" w:rsidP="00CD1F32">
            <w:pPr>
              <w:spacing w:before="40" w:after="40" w:line="276" w:lineRule="auto"/>
              <w:jc w:val="center"/>
              <w:rPr>
                <w:rFonts w:cs="Arial"/>
                <w:sz w:val="20"/>
                <w:lang w:val="fr-BE"/>
              </w:rPr>
            </w:pPr>
            <w:r w:rsidRPr="00E93D1C">
              <w:rPr>
                <w:rFonts w:cs="Arial"/>
                <w:sz w:val="20"/>
                <w:lang w:val="fr-BE"/>
              </w:rPr>
              <w:t>424</w:t>
            </w:r>
          </w:p>
        </w:tc>
        <w:tc>
          <w:tcPr>
            <w:tcW w:w="1277" w:type="dxa"/>
            <w:tcBorders>
              <w:top w:val="single" w:sz="4" w:space="0" w:color="auto"/>
              <w:left w:val="single" w:sz="4" w:space="0" w:color="auto"/>
              <w:bottom w:val="single" w:sz="4" w:space="0" w:color="auto"/>
              <w:right w:val="single" w:sz="4" w:space="0" w:color="auto"/>
            </w:tcBorders>
            <w:hideMark/>
          </w:tcPr>
          <w:p w:rsidR="00CD1F32" w:rsidRPr="00E93D1C" w:rsidRDefault="00CD1F32" w:rsidP="00CD1F32">
            <w:pPr>
              <w:spacing w:before="40" w:after="40" w:line="276" w:lineRule="auto"/>
              <w:jc w:val="center"/>
              <w:rPr>
                <w:rFonts w:cs="Arial"/>
                <w:sz w:val="20"/>
                <w:lang w:val="fr-BE"/>
              </w:rPr>
            </w:pPr>
            <w:r w:rsidRPr="00E93D1C">
              <w:rPr>
                <w:rFonts w:cs="Arial"/>
                <w:sz w:val="20"/>
                <w:lang w:val="fr-BE"/>
              </w:rPr>
              <w:t>382</w:t>
            </w:r>
          </w:p>
        </w:tc>
        <w:tc>
          <w:tcPr>
            <w:tcW w:w="1277" w:type="dxa"/>
            <w:tcBorders>
              <w:top w:val="single" w:sz="4" w:space="0" w:color="auto"/>
              <w:left w:val="single" w:sz="4" w:space="0" w:color="auto"/>
              <w:bottom w:val="single" w:sz="4" w:space="0" w:color="auto"/>
              <w:right w:val="single" w:sz="4" w:space="0" w:color="auto"/>
            </w:tcBorders>
            <w:hideMark/>
          </w:tcPr>
          <w:p w:rsidR="00CD1F32" w:rsidRPr="00E93D1C" w:rsidRDefault="00CD1F32" w:rsidP="00CD1F32">
            <w:pPr>
              <w:spacing w:before="40" w:after="40" w:line="276" w:lineRule="auto"/>
              <w:jc w:val="center"/>
              <w:rPr>
                <w:rFonts w:cs="Arial"/>
                <w:sz w:val="20"/>
                <w:lang w:val="fr-BE"/>
              </w:rPr>
            </w:pPr>
            <w:r w:rsidRPr="00E93D1C">
              <w:rPr>
                <w:rFonts w:cs="Arial"/>
                <w:sz w:val="20"/>
                <w:lang w:val="fr-BE"/>
              </w:rPr>
              <w:t>267</w:t>
            </w:r>
          </w:p>
        </w:tc>
        <w:tc>
          <w:tcPr>
            <w:tcW w:w="1277" w:type="dxa"/>
            <w:tcBorders>
              <w:top w:val="single" w:sz="4" w:space="0" w:color="auto"/>
              <w:left w:val="single" w:sz="4" w:space="0" w:color="auto"/>
              <w:bottom w:val="single" w:sz="4" w:space="0" w:color="auto"/>
              <w:right w:val="single" w:sz="4" w:space="0" w:color="auto"/>
            </w:tcBorders>
            <w:hideMark/>
          </w:tcPr>
          <w:p w:rsidR="00CD1F32" w:rsidRPr="00E93D1C" w:rsidRDefault="00CD1F32" w:rsidP="00CD1F32">
            <w:pPr>
              <w:spacing w:before="40" w:after="40" w:line="276" w:lineRule="auto"/>
              <w:jc w:val="center"/>
              <w:rPr>
                <w:rFonts w:cs="Arial"/>
                <w:sz w:val="20"/>
                <w:lang w:val="fr-BE"/>
              </w:rPr>
            </w:pPr>
            <w:r w:rsidRPr="00E93D1C">
              <w:rPr>
                <w:rFonts w:cs="Arial"/>
                <w:sz w:val="20"/>
                <w:lang w:val="fr-BE"/>
              </w:rPr>
              <w:t>472</w:t>
            </w:r>
          </w:p>
        </w:tc>
      </w:tr>
    </w:tbl>
    <w:p w:rsidR="00DF1698" w:rsidRDefault="00F8338E" w:rsidP="009A3C80">
      <w:pPr>
        <w:tabs>
          <w:tab w:val="left" w:pos="284"/>
        </w:tabs>
        <w:spacing w:line="276" w:lineRule="auto"/>
        <w:rPr>
          <w:szCs w:val="22"/>
        </w:rPr>
      </w:pPr>
      <w:r>
        <w:rPr>
          <w:szCs w:val="22"/>
        </w:rPr>
        <w:lastRenderedPageBreak/>
        <w:t xml:space="preserve">Certes, un nombre plus important de demandes ont été introduites </w:t>
      </w:r>
      <w:r w:rsidR="00B31B36">
        <w:rPr>
          <w:szCs w:val="22"/>
        </w:rPr>
        <w:t>cette année</w:t>
      </w:r>
      <w:r>
        <w:rPr>
          <w:szCs w:val="22"/>
        </w:rPr>
        <w:t xml:space="preserve">, mais </w:t>
      </w:r>
      <w:r w:rsidR="00B31B36">
        <w:rPr>
          <w:szCs w:val="22"/>
        </w:rPr>
        <w:t>s</w:t>
      </w:r>
      <w:r w:rsidR="00232065">
        <w:rPr>
          <w:szCs w:val="22"/>
        </w:rPr>
        <w:t>i l’on considère ce</w:t>
      </w:r>
      <w:r w:rsidR="00B31B36">
        <w:rPr>
          <w:szCs w:val="22"/>
        </w:rPr>
        <w:t xml:space="preserve"> niveau record avec celui de l’année passée, un certain équilibre s’est opéré selon le principe des vases communicants</w:t>
      </w:r>
      <w:r>
        <w:rPr>
          <w:szCs w:val="22"/>
        </w:rPr>
        <w:t>.</w:t>
      </w:r>
    </w:p>
    <w:p w:rsidR="00DF1698" w:rsidRDefault="00DF1698" w:rsidP="009A3C80">
      <w:pPr>
        <w:tabs>
          <w:tab w:val="left" w:pos="284"/>
        </w:tabs>
        <w:spacing w:line="276" w:lineRule="auto"/>
        <w:rPr>
          <w:szCs w:val="22"/>
        </w:rPr>
      </w:pPr>
      <w:r>
        <w:rPr>
          <w:szCs w:val="22"/>
        </w:rPr>
        <w:t>Il convient aussi d’attire</w:t>
      </w:r>
      <w:r w:rsidR="00F8338E">
        <w:rPr>
          <w:szCs w:val="22"/>
        </w:rPr>
        <w:t>r</w:t>
      </w:r>
      <w:r>
        <w:rPr>
          <w:szCs w:val="22"/>
        </w:rPr>
        <w:t xml:space="preserve"> l’attention sur le fait que </w:t>
      </w:r>
      <w:r w:rsidR="00CD1F32">
        <w:rPr>
          <w:szCs w:val="22"/>
        </w:rPr>
        <w:t xml:space="preserve">depuis 2016 </w:t>
      </w:r>
      <w:r>
        <w:rPr>
          <w:szCs w:val="22"/>
        </w:rPr>
        <w:t>l’augmentation aux cycles maternel et primaire est de presque 100 élèves chaque année, alors qu’au cycle secondaire elle se situe entre 250 et 300 élèves, avec une augmentation plus importante cette année de plus de 300 élèves. Résultat</w:t>
      </w:r>
      <w:r w:rsidR="00E66FBF">
        <w:rPr>
          <w:szCs w:val="22"/>
        </w:rPr>
        <w:t> :</w:t>
      </w:r>
      <w:r>
        <w:rPr>
          <w:szCs w:val="22"/>
        </w:rPr>
        <w:t xml:space="preserve"> l’augmentation réelle s’effectue plus au cycle secondaire qu’au cycle primaire. </w:t>
      </w:r>
    </w:p>
    <w:p w:rsidR="00DD6D31" w:rsidRDefault="00DD6D31" w:rsidP="0000386B">
      <w:pPr>
        <w:spacing w:before="0" w:after="0" w:line="276" w:lineRule="auto"/>
        <w:rPr>
          <w:szCs w:val="22"/>
          <w:lang w:val="it-IT"/>
        </w:rPr>
      </w:pPr>
      <w:r>
        <w:rPr>
          <w:szCs w:val="22"/>
        </w:rPr>
        <w:t>La situation des Ecoles européennes à Bruxelles</w:t>
      </w:r>
      <w:r w:rsidR="0000386B">
        <w:rPr>
          <w:szCs w:val="22"/>
        </w:rPr>
        <w:t>, qui est examinée régulièrement par le Groupe de suivi de ces écoles,</w:t>
      </w:r>
      <w:r>
        <w:rPr>
          <w:szCs w:val="22"/>
        </w:rPr>
        <w:t xml:space="preserve"> fait l’objet d’un document séparé </w:t>
      </w:r>
      <w:r w:rsidRPr="00DD6D31">
        <w:rPr>
          <w:szCs w:val="22"/>
        </w:rPr>
        <w:t>(</w:t>
      </w:r>
      <w:r w:rsidRPr="00DD6D31">
        <w:rPr>
          <w:szCs w:val="22"/>
          <w:lang w:val="it-IT"/>
        </w:rPr>
        <w:t>2019-11-D-17-fr-1)</w:t>
      </w:r>
      <w:r>
        <w:rPr>
          <w:szCs w:val="22"/>
          <w:lang w:val="it-IT"/>
        </w:rPr>
        <w:t>.</w:t>
      </w:r>
    </w:p>
    <w:p w:rsidR="005B26ED" w:rsidRPr="008B2A0B" w:rsidRDefault="0000386B" w:rsidP="00966E96">
      <w:pPr>
        <w:spacing w:line="276" w:lineRule="auto"/>
        <w:rPr>
          <w:b/>
          <w:color w:val="FF0000"/>
          <w:szCs w:val="22"/>
          <w:lang w:val="fr-BE"/>
        </w:rPr>
      </w:pPr>
      <w:r>
        <w:rPr>
          <w:szCs w:val="22"/>
        </w:rPr>
        <w:t>Quant aux r</w:t>
      </w:r>
      <w:r w:rsidR="00DD6D31">
        <w:rPr>
          <w:szCs w:val="22"/>
        </w:rPr>
        <w:t xml:space="preserve">eprésentants des </w:t>
      </w:r>
      <w:r>
        <w:rPr>
          <w:szCs w:val="22"/>
        </w:rPr>
        <w:t xml:space="preserve">quatre </w:t>
      </w:r>
      <w:r w:rsidR="00DD6D31">
        <w:rPr>
          <w:szCs w:val="22"/>
        </w:rPr>
        <w:t xml:space="preserve">APEEE </w:t>
      </w:r>
      <w:r>
        <w:rPr>
          <w:szCs w:val="22"/>
        </w:rPr>
        <w:t>de Bruxelles, qui ont rédigé une déclaration commune au sujet de la surpopulation des écoles</w:t>
      </w:r>
      <w:r w:rsidR="00966E96">
        <w:rPr>
          <w:szCs w:val="22"/>
        </w:rPr>
        <w:t xml:space="preserve"> de Bruxelles</w:t>
      </w:r>
      <w:r>
        <w:rPr>
          <w:szCs w:val="22"/>
        </w:rPr>
        <w:t>, ils ont sollicité qu</w:t>
      </w:r>
      <w:r w:rsidR="00966E96">
        <w:rPr>
          <w:szCs w:val="22"/>
        </w:rPr>
        <w:t xml:space="preserve">e celle-ci </w:t>
      </w:r>
      <w:r>
        <w:rPr>
          <w:szCs w:val="22"/>
        </w:rPr>
        <w:t xml:space="preserve">soit présentée au Conseil supérieur (Annexe III). En outre, lors des débats et consultations de l’Autorité centrale des inscriptions, ils ont pointé certaines situations causées par la surpopulation, à savoir </w:t>
      </w:r>
      <w:r w:rsidR="00966E96">
        <w:rPr>
          <w:szCs w:val="22"/>
        </w:rPr>
        <w:t xml:space="preserve">le fait que </w:t>
      </w:r>
      <w:r>
        <w:rPr>
          <w:szCs w:val="22"/>
        </w:rPr>
        <w:t>« </w:t>
      </w:r>
      <w:r w:rsidR="00966E96" w:rsidRPr="00966E96">
        <w:rPr>
          <w:i/>
          <w:sz w:val="20"/>
        </w:rPr>
        <w:t xml:space="preserve">les ordres du jour des élèves comportent des périodes d’étude dispersées au cours de la journée et, pour certains, il n’y a pas de salle d’étude disponible pendant ces périodes, ils n’ont donc nulle part où aller pour travailler ; de nombreuses leçons de sciences ne peuvent pas être menées dans des laboratoires, car les installations sont insuffisantes ; </w:t>
      </w:r>
      <w:r w:rsidR="00966E96" w:rsidRPr="00966E96">
        <w:rPr>
          <w:i/>
          <w:sz w:val="20"/>
          <w:lang w:val="fr-BE"/>
        </w:rPr>
        <w:t>les infrastructures communes comme les cantines et cafétéria sont surchargées, souvent au bout de leurs limites et même au-delà - en effet, certains élèves ne peuvent pas manger dans leur créneau horaire, certains élèves vu la capacité limitée des salles sont obligés de suivre les leçons pendant l’heure de la pause de midi ;  </w:t>
      </w:r>
      <w:r w:rsidR="00966E96" w:rsidRPr="00966E96">
        <w:rPr>
          <w:i/>
          <w:sz w:val="20"/>
        </w:rPr>
        <w:t>s'il n'y a plus assez de salles de classe, certains élèves ont des cours pendant le déjeuner, sans pause de la matinée à la fin de la journée scolaire ; la pénurie de salles de classe empêche les enseignants de préparer leurs leçons et de noter leurs travaux ; les couloirs deviennent dangereusement encombrés et bruyants, empêchant les élèves de suivre les cours à temps et risquant de tomber sur les escaliers ;</w:t>
      </w:r>
      <w:r w:rsidR="00966E96" w:rsidRPr="00966E96">
        <w:rPr>
          <w:i/>
          <w:sz w:val="20"/>
          <w:lang w:val="fr-BE"/>
        </w:rPr>
        <w:t> etc. »</w:t>
      </w:r>
      <w:r w:rsidR="00E66FBF">
        <w:rPr>
          <w:szCs w:val="22"/>
          <w:lang w:val="fr-BE"/>
        </w:rPr>
        <w:t xml:space="preserve">. </w:t>
      </w:r>
      <w:r w:rsidR="00E66FBF" w:rsidRPr="005B26ED">
        <w:rPr>
          <w:szCs w:val="22"/>
          <w:lang w:val="fr-BE"/>
        </w:rPr>
        <w:t xml:space="preserve">Pourtant, ces situations n’ont pas pu être </w:t>
      </w:r>
      <w:r w:rsidR="000B7758" w:rsidRPr="005B26ED">
        <w:rPr>
          <w:szCs w:val="22"/>
          <w:lang w:val="fr-BE"/>
        </w:rPr>
        <w:t xml:space="preserve">toujours </w:t>
      </w:r>
      <w:r w:rsidR="00E66FBF" w:rsidRPr="005B26ED">
        <w:rPr>
          <w:szCs w:val="22"/>
          <w:lang w:val="fr-BE"/>
        </w:rPr>
        <w:t>confirmées par les Directeurs</w:t>
      </w:r>
      <w:r w:rsidR="005B26ED">
        <w:rPr>
          <w:szCs w:val="22"/>
          <w:lang w:val="fr-BE"/>
        </w:rPr>
        <w:t xml:space="preserve">. </w:t>
      </w:r>
      <w:r w:rsidR="00716584" w:rsidRPr="00C55936">
        <w:rPr>
          <w:szCs w:val="22"/>
          <w:lang w:val="fr-BE"/>
        </w:rPr>
        <w:t>D</w:t>
      </w:r>
      <w:r w:rsidR="00B040E4" w:rsidRPr="00C55936">
        <w:rPr>
          <w:szCs w:val="22"/>
          <w:lang w:val="fr-BE"/>
        </w:rPr>
        <w:t>e plus</w:t>
      </w:r>
      <w:r w:rsidR="00716584" w:rsidRPr="00C55936">
        <w:rPr>
          <w:szCs w:val="22"/>
          <w:lang w:val="fr-BE"/>
        </w:rPr>
        <w:t xml:space="preserve">, </w:t>
      </w:r>
      <w:r w:rsidR="005B26ED" w:rsidRPr="00C55936">
        <w:rPr>
          <w:szCs w:val="22"/>
          <w:lang w:val="fr-BE"/>
        </w:rPr>
        <w:t xml:space="preserve">dans le cas où </w:t>
      </w:r>
      <w:r w:rsidR="00B040E4" w:rsidRPr="00C55936">
        <w:rPr>
          <w:szCs w:val="22"/>
          <w:lang w:val="fr-BE"/>
        </w:rPr>
        <w:t>elles ont pu l’être</w:t>
      </w:r>
      <w:r w:rsidR="005B26ED" w:rsidRPr="00C55936">
        <w:rPr>
          <w:szCs w:val="22"/>
          <w:lang w:val="fr-BE"/>
        </w:rPr>
        <w:t>, l</w:t>
      </w:r>
      <w:r w:rsidR="00716584" w:rsidRPr="00C55936">
        <w:rPr>
          <w:szCs w:val="22"/>
          <w:lang w:val="fr-BE"/>
        </w:rPr>
        <w:t xml:space="preserve">eur </w:t>
      </w:r>
      <w:r w:rsidR="005B26ED" w:rsidRPr="00C55936">
        <w:rPr>
          <w:szCs w:val="22"/>
          <w:lang w:val="fr-BE"/>
        </w:rPr>
        <w:t xml:space="preserve">origine n’a </w:t>
      </w:r>
      <w:r w:rsidR="00B040E4" w:rsidRPr="00C55936">
        <w:rPr>
          <w:szCs w:val="22"/>
          <w:lang w:val="fr-BE"/>
        </w:rPr>
        <w:t xml:space="preserve">pas </w:t>
      </w:r>
      <w:r w:rsidR="005B26ED" w:rsidRPr="00C55936">
        <w:rPr>
          <w:szCs w:val="22"/>
          <w:lang w:val="fr-BE"/>
        </w:rPr>
        <w:t>pu être clairement attribuée à la surpopulation uniquement.</w:t>
      </w:r>
      <w:r w:rsidR="005B26ED" w:rsidRPr="00C55936">
        <w:rPr>
          <w:b/>
          <w:szCs w:val="22"/>
          <w:lang w:val="fr-BE"/>
        </w:rPr>
        <w:t xml:space="preserve">  </w:t>
      </w:r>
    </w:p>
    <w:p w:rsidR="007B7432" w:rsidRDefault="00966E96" w:rsidP="007B7432">
      <w:pPr>
        <w:tabs>
          <w:tab w:val="left" w:pos="284"/>
        </w:tabs>
        <w:spacing w:line="276" w:lineRule="auto"/>
        <w:rPr>
          <w:szCs w:val="22"/>
        </w:rPr>
      </w:pPr>
      <w:r>
        <w:rPr>
          <w:szCs w:val="22"/>
        </w:rPr>
        <w:t>Force est de constater que l</w:t>
      </w:r>
      <w:r w:rsidR="00DF1698">
        <w:rPr>
          <w:szCs w:val="22"/>
        </w:rPr>
        <w:t>es écoles se trouvent dans une si</w:t>
      </w:r>
      <w:r w:rsidR="00F8338E">
        <w:rPr>
          <w:szCs w:val="22"/>
        </w:rPr>
        <w:t xml:space="preserve">tuation de surpopulation </w:t>
      </w:r>
      <w:r>
        <w:rPr>
          <w:szCs w:val="22"/>
        </w:rPr>
        <w:t xml:space="preserve">telle </w:t>
      </w:r>
      <w:r w:rsidR="00F8338E">
        <w:rPr>
          <w:szCs w:val="22"/>
        </w:rPr>
        <w:t xml:space="preserve">que la capacité </w:t>
      </w:r>
      <w:r w:rsidR="00824EEB">
        <w:rPr>
          <w:szCs w:val="22"/>
        </w:rPr>
        <w:t xml:space="preserve">d’accueil </w:t>
      </w:r>
      <w:r w:rsidR="00DF1698">
        <w:rPr>
          <w:szCs w:val="22"/>
        </w:rPr>
        <w:t xml:space="preserve">de nouveaux élèves est </w:t>
      </w:r>
      <w:r w:rsidR="00E66FBF">
        <w:rPr>
          <w:szCs w:val="22"/>
        </w:rPr>
        <w:t xml:space="preserve">très </w:t>
      </w:r>
      <w:r w:rsidR="00DF1698">
        <w:rPr>
          <w:szCs w:val="22"/>
        </w:rPr>
        <w:t xml:space="preserve">près </w:t>
      </w:r>
      <w:r w:rsidR="00F8338E">
        <w:rPr>
          <w:szCs w:val="22"/>
        </w:rPr>
        <w:t xml:space="preserve">de la limite </w:t>
      </w:r>
      <w:r w:rsidR="00824EEB">
        <w:rPr>
          <w:szCs w:val="22"/>
        </w:rPr>
        <w:t>en termes de salles de classe</w:t>
      </w:r>
      <w:r w:rsidR="00C60F2B">
        <w:rPr>
          <w:szCs w:val="22"/>
        </w:rPr>
        <w:t xml:space="preserve">. </w:t>
      </w:r>
      <w:r w:rsidR="007B7432">
        <w:rPr>
          <w:szCs w:val="22"/>
        </w:rPr>
        <w:t>Il est clair qu’en l’absence de nouvelles infrastructures mises à disposition pour la rentrée de septembre 2021, l</w:t>
      </w:r>
      <w:r w:rsidR="00E66FBF">
        <w:rPr>
          <w:szCs w:val="22"/>
        </w:rPr>
        <w:t xml:space="preserve">e Conseil supérieur risque fortement de devoir </w:t>
      </w:r>
      <w:r w:rsidR="007B7432">
        <w:rPr>
          <w:szCs w:val="22"/>
        </w:rPr>
        <w:t xml:space="preserve">envisager de refuser des demandes d’élèves de catégorie I. </w:t>
      </w:r>
    </w:p>
    <w:p w:rsidR="007B7432" w:rsidRPr="00966E96" w:rsidRDefault="007B7432" w:rsidP="007B7432">
      <w:pPr>
        <w:tabs>
          <w:tab w:val="left" w:pos="284"/>
        </w:tabs>
        <w:spacing w:line="276" w:lineRule="auto"/>
        <w:rPr>
          <w:szCs w:val="22"/>
        </w:rPr>
      </w:pPr>
      <w:r w:rsidRPr="00966E96">
        <w:rPr>
          <w:szCs w:val="22"/>
        </w:rPr>
        <w:t>Dans ce contexte, des mesures ciblées pour permettre d’accueillir les nouvelles demandes d’inscription dans le cadre de la campagne 20</w:t>
      </w:r>
      <w:r>
        <w:rPr>
          <w:szCs w:val="22"/>
        </w:rPr>
        <w:t>20</w:t>
      </w:r>
      <w:r w:rsidRPr="00966E96">
        <w:rPr>
          <w:szCs w:val="22"/>
        </w:rPr>
        <w:t>-202</w:t>
      </w:r>
      <w:r>
        <w:rPr>
          <w:szCs w:val="22"/>
        </w:rPr>
        <w:t>1</w:t>
      </w:r>
      <w:r w:rsidRPr="00966E96">
        <w:rPr>
          <w:szCs w:val="22"/>
        </w:rPr>
        <w:t xml:space="preserve"> sont nécessaires. </w:t>
      </w:r>
    </w:p>
    <w:p w:rsidR="007B7432" w:rsidRDefault="007B7432" w:rsidP="007B7432">
      <w:pPr>
        <w:tabs>
          <w:tab w:val="left" w:pos="284"/>
        </w:tabs>
        <w:spacing w:line="276" w:lineRule="auto"/>
        <w:rPr>
          <w:szCs w:val="22"/>
        </w:rPr>
      </w:pPr>
      <w:r>
        <w:rPr>
          <w:szCs w:val="22"/>
        </w:rPr>
        <w:t xml:space="preserve">Un autre paramètre à prendre en considération est le nombre de demandes reçues avec celui des places acceptées, le taux moyen d’acceptation de places se situant aux environs de 73% : </w:t>
      </w:r>
    </w:p>
    <w:tbl>
      <w:tblPr>
        <w:tblW w:w="9180" w:type="dxa"/>
        <w:tblInd w:w="108" w:type="dxa"/>
        <w:tblLayout w:type="fixed"/>
        <w:tblLook w:val="04A0" w:firstRow="1" w:lastRow="0" w:firstColumn="1" w:lastColumn="0" w:noHBand="0" w:noVBand="1"/>
      </w:tblPr>
      <w:tblGrid>
        <w:gridCol w:w="1260"/>
        <w:gridCol w:w="990"/>
        <w:gridCol w:w="990"/>
        <w:gridCol w:w="990"/>
        <w:gridCol w:w="990"/>
        <w:gridCol w:w="990"/>
        <w:gridCol w:w="990"/>
        <w:gridCol w:w="990"/>
        <w:gridCol w:w="990"/>
      </w:tblGrid>
      <w:tr w:rsidR="007B7432" w:rsidRPr="00056E82" w:rsidTr="00620164">
        <w:trPr>
          <w:trHeight w:val="270"/>
        </w:trPr>
        <w:tc>
          <w:tcPr>
            <w:tcW w:w="1260" w:type="dxa"/>
            <w:tcBorders>
              <w:top w:val="nil"/>
              <w:left w:val="nil"/>
              <w:bottom w:val="nil"/>
              <w:right w:val="nil"/>
            </w:tcBorders>
            <w:shd w:val="clear" w:color="auto" w:fill="auto"/>
            <w:noWrap/>
            <w:vAlign w:val="bottom"/>
            <w:hideMark/>
          </w:tcPr>
          <w:p w:rsidR="007B7432" w:rsidRPr="002411A6" w:rsidRDefault="007B7432" w:rsidP="00842EB0">
            <w:pPr>
              <w:spacing w:before="0" w:after="0"/>
              <w:jc w:val="left"/>
              <w:rPr>
                <w:rFonts w:ascii="Times New Roman" w:hAnsi="Times New Roman"/>
                <w:sz w:val="20"/>
                <w:szCs w:val="24"/>
                <w:lang w:val="fr-BE" w:eastAsia="en-US"/>
              </w:rPr>
            </w:pPr>
          </w:p>
        </w:tc>
        <w:tc>
          <w:tcPr>
            <w:tcW w:w="990" w:type="dxa"/>
            <w:tcBorders>
              <w:top w:val="single" w:sz="4" w:space="0" w:color="auto"/>
              <w:left w:val="single" w:sz="4" w:space="0" w:color="auto"/>
              <w:bottom w:val="single" w:sz="4" w:space="0" w:color="auto"/>
              <w:right w:val="single" w:sz="4" w:space="0" w:color="auto"/>
            </w:tcBorders>
            <w:shd w:val="clear" w:color="FFFFFF" w:fill="D9D9D9"/>
            <w:noWrap/>
            <w:vAlign w:val="center"/>
            <w:hideMark/>
          </w:tcPr>
          <w:p w:rsidR="007B7432" w:rsidRPr="00620164" w:rsidRDefault="007B7432" w:rsidP="00842EB0">
            <w:pPr>
              <w:spacing w:before="0" w:after="0"/>
              <w:jc w:val="center"/>
              <w:rPr>
                <w:rFonts w:cs="Arial"/>
                <w:b/>
                <w:bCs/>
                <w:color w:val="000000"/>
                <w:sz w:val="16"/>
                <w:szCs w:val="16"/>
                <w:lang w:val="en-US" w:eastAsia="en-US"/>
              </w:rPr>
            </w:pPr>
            <w:r w:rsidRPr="00620164">
              <w:rPr>
                <w:rFonts w:cs="Arial"/>
                <w:b/>
                <w:bCs/>
                <w:color w:val="000000"/>
                <w:sz w:val="16"/>
                <w:szCs w:val="16"/>
                <w:lang w:val="en-US" w:eastAsia="en-US"/>
              </w:rPr>
              <w:t>2012-2013</w:t>
            </w:r>
          </w:p>
        </w:tc>
        <w:tc>
          <w:tcPr>
            <w:tcW w:w="990" w:type="dxa"/>
            <w:tcBorders>
              <w:top w:val="single" w:sz="4" w:space="0" w:color="auto"/>
              <w:left w:val="nil"/>
              <w:bottom w:val="single" w:sz="4" w:space="0" w:color="auto"/>
              <w:right w:val="single" w:sz="4" w:space="0" w:color="auto"/>
            </w:tcBorders>
            <w:shd w:val="clear" w:color="FFFFFF" w:fill="D9D9D9"/>
            <w:noWrap/>
            <w:vAlign w:val="center"/>
            <w:hideMark/>
          </w:tcPr>
          <w:p w:rsidR="007B7432" w:rsidRPr="00620164" w:rsidRDefault="007B7432" w:rsidP="00842EB0">
            <w:pPr>
              <w:spacing w:before="0" w:after="0"/>
              <w:jc w:val="center"/>
              <w:rPr>
                <w:rFonts w:cs="Arial"/>
                <w:b/>
                <w:bCs/>
                <w:color w:val="000000"/>
                <w:sz w:val="16"/>
                <w:szCs w:val="16"/>
                <w:lang w:val="en-US" w:eastAsia="en-US"/>
              </w:rPr>
            </w:pPr>
            <w:r w:rsidRPr="00620164">
              <w:rPr>
                <w:rFonts w:cs="Arial"/>
                <w:b/>
                <w:bCs/>
                <w:color w:val="000000"/>
                <w:sz w:val="16"/>
                <w:szCs w:val="16"/>
                <w:lang w:val="en-US" w:eastAsia="en-US"/>
              </w:rPr>
              <w:t>2013-2014</w:t>
            </w:r>
          </w:p>
        </w:tc>
        <w:tc>
          <w:tcPr>
            <w:tcW w:w="990" w:type="dxa"/>
            <w:tcBorders>
              <w:top w:val="single" w:sz="4" w:space="0" w:color="auto"/>
              <w:left w:val="nil"/>
              <w:bottom w:val="single" w:sz="4" w:space="0" w:color="auto"/>
              <w:right w:val="single" w:sz="4" w:space="0" w:color="auto"/>
            </w:tcBorders>
            <w:shd w:val="clear" w:color="FFFFFF" w:fill="D9D9D9"/>
            <w:noWrap/>
            <w:vAlign w:val="center"/>
            <w:hideMark/>
          </w:tcPr>
          <w:p w:rsidR="007B7432" w:rsidRPr="00620164" w:rsidRDefault="007B7432" w:rsidP="00842EB0">
            <w:pPr>
              <w:spacing w:before="0" w:after="0"/>
              <w:jc w:val="center"/>
              <w:rPr>
                <w:rFonts w:cs="Arial"/>
                <w:b/>
                <w:bCs/>
                <w:color w:val="000000"/>
                <w:sz w:val="16"/>
                <w:szCs w:val="16"/>
                <w:lang w:val="en-US" w:eastAsia="en-US"/>
              </w:rPr>
            </w:pPr>
            <w:r w:rsidRPr="00620164">
              <w:rPr>
                <w:rFonts w:cs="Arial"/>
                <w:b/>
                <w:bCs/>
                <w:color w:val="000000"/>
                <w:sz w:val="16"/>
                <w:szCs w:val="16"/>
                <w:lang w:val="en-US" w:eastAsia="en-US"/>
              </w:rPr>
              <w:t>2014-2015</w:t>
            </w:r>
          </w:p>
        </w:tc>
        <w:tc>
          <w:tcPr>
            <w:tcW w:w="990" w:type="dxa"/>
            <w:tcBorders>
              <w:top w:val="single" w:sz="4" w:space="0" w:color="auto"/>
              <w:left w:val="nil"/>
              <w:bottom w:val="single" w:sz="4" w:space="0" w:color="auto"/>
              <w:right w:val="single" w:sz="4" w:space="0" w:color="auto"/>
            </w:tcBorders>
            <w:shd w:val="clear" w:color="FFFFFF" w:fill="D9D9D9"/>
            <w:noWrap/>
            <w:vAlign w:val="center"/>
            <w:hideMark/>
          </w:tcPr>
          <w:p w:rsidR="007B7432" w:rsidRPr="00620164" w:rsidRDefault="007B7432" w:rsidP="00842EB0">
            <w:pPr>
              <w:spacing w:before="0" w:after="0"/>
              <w:jc w:val="center"/>
              <w:rPr>
                <w:rFonts w:cs="Arial"/>
                <w:b/>
                <w:bCs/>
                <w:color w:val="000000"/>
                <w:sz w:val="16"/>
                <w:szCs w:val="16"/>
                <w:lang w:val="en-US" w:eastAsia="en-US"/>
              </w:rPr>
            </w:pPr>
            <w:r w:rsidRPr="00620164">
              <w:rPr>
                <w:rFonts w:cs="Arial"/>
                <w:b/>
                <w:bCs/>
                <w:color w:val="000000"/>
                <w:sz w:val="16"/>
                <w:szCs w:val="16"/>
                <w:lang w:val="en-US" w:eastAsia="en-US"/>
              </w:rPr>
              <w:t>2015-2016</w:t>
            </w:r>
          </w:p>
        </w:tc>
        <w:tc>
          <w:tcPr>
            <w:tcW w:w="990" w:type="dxa"/>
            <w:tcBorders>
              <w:top w:val="single" w:sz="4" w:space="0" w:color="auto"/>
              <w:left w:val="nil"/>
              <w:bottom w:val="single" w:sz="4" w:space="0" w:color="auto"/>
              <w:right w:val="single" w:sz="4" w:space="0" w:color="auto"/>
            </w:tcBorders>
            <w:shd w:val="clear" w:color="FFFFFF" w:fill="D9D9D9"/>
            <w:noWrap/>
            <w:vAlign w:val="center"/>
            <w:hideMark/>
          </w:tcPr>
          <w:p w:rsidR="007B7432" w:rsidRPr="00620164" w:rsidRDefault="007B7432" w:rsidP="00842EB0">
            <w:pPr>
              <w:spacing w:before="0" w:after="0"/>
              <w:jc w:val="center"/>
              <w:rPr>
                <w:rFonts w:cs="Arial"/>
                <w:b/>
                <w:bCs/>
                <w:color w:val="000000"/>
                <w:sz w:val="16"/>
                <w:szCs w:val="16"/>
                <w:lang w:val="en-US" w:eastAsia="en-US"/>
              </w:rPr>
            </w:pPr>
            <w:r w:rsidRPr="00620164">
              <w:rPr>
                <w:rFonts w:cs="Arial"/>
                <w:b/>
                <w:bCs/>
                <w:color w:val="000000"/>
                <w:sz w:val="16"/>
                <w:szCs w:val="16"/>
                <w:lang w:val="en-US" w:eastAsia="en-US"/>
              </w:rPr>
              <w:t>2016-2017</w:t>
            </w:r>
          </w:p>
        </w:tc>
        <w:tc>
          <w:tcPr>
            <w:tcW w:w="990" w:type="dxa"/>
            <w:tcBorders>
              <w:top w:val="single" w:sz="4" w:space="0" w:color="auto"/>
              <w:left w:val="nil"/>
              <w:bottom w:val="single" w:sz="4" w:space="0" w:color="auto"/>
              <w:right w:val="single" w:sz="4" w:space="0" w:color="auto"/>
            </w:tcBorders>
            <w:shd w:val="clear" w:color="FFFFFF" w:fill="D9D9D9"/>
            <w:noWrap/>
            <w:vAlign w:val="center"/>
            <w:hideMark/>
          </w:tcPr>
          <w:p w:rsidR="007B7432" w:rsidRPr="00620164" w:rsidRDefault="007B7432" w:rsidP="00842EB0">
            <w:pPr>
              <w:spacing w:before="0" w:after="0"/>
              <w:jc w:val="center"/>
              <w:rPr>
                <w:rFonts w:cs="Arial"/>
                <w:b/>
                <w:bCs/>
                <w:color w:val="000000"/>
                <w:sz w:val="16"/>
                <w:szCs w:val="16"/>
                <w:lang w:val="en-US" w:eastAsia="en-US"/>
              </w:rPr>
            </w:pPr>
            <w:r w:rsidRPr="00620164">
              <w:rPr>
                <w:rFonts w:cs="Arial"/>
                <w:b/>
                <w:bCs/>
                <w:color w:val="000000"/>
                <w:sz w:val="16"/>
                <w:szCs w:val="16"/>
                <w:lang w:val="en-US" w:eastAsia="en-US"/>
              </w:rPr>
              <w:t>2017-2018</w:t>
            </w:r>
          </w:p>
        </w:tc>
        <w:tc>
          <w:tcPr>
            <w:tcW w:w="990" w:type="dxa"/>
            <w:tcBorders>
              <w:top w:val="single" w:sz="4" w:space="0" w:color="auto"/>
              <w:left w:val="nil"/>
              <w:bottom w:val="single" w:sz="4" w:space="0" w:color="auto"/>
              <w:right w:val="single" w:sz="4" w:space="0" w:color="auto"/>
            </w:tcBorders>
            <w:shd w:val="clear" w:color="FFFFFF" w:fill="D9D9D9"/>
            <w:noWrap/>
            <w:vAlign w:val="center"/>
            <w:hideMark/>
          </w:tcPr>
          <w:p w:rsidR="007B7432" w:rsidRPr="00620164" w:rsidRDefault="007B7432" w:rsidP="00842EB0">
            <w:pPr>
              <w:spacing w:before="0" w:after="0"/>
              <w:jc w:val="center"/>
              <w:rPr>
                <w:rFonts w:cs="Arial"/>
                <w:b/>
                <w:bCs/>
                <w:color w:val="000000"/>
                <w:sz w:val="16"/>
                <w:szCs w:val="16"/>
                <w:lang w:val="en-US" w:eastAsia="en-US"/>
              </w:rPr>
            </w:pPr>
            <w:r w:rsidRPr="00620164">
              <w:rPr>
                <w:rFonts w:cs="Arial"/>
                <w:b/>
                <w:bCs/>
                <w:color w:val="000000"/>
                <w:sz w:val="16"/>
                <w:szCs w:val="16"/>
                <w:lang w:val="en-US" w:eastAsia="en-US"/>
              </w:rPr>
              <w:t>2018-2019</w:t>
            </w:r>
          </w:p>
        </w:tc>
        <w:tc>
          <w:tcPr>
            <w:tcW w:w="990" w:type="dxa"/>
            <w:tcBorders>
              <w:top w:val="single" w:sz="4" w:space="0" w:color="auto"/>
              <w:left w:val="nil"/>
              <w:bottom w:val="single" w:sz="4" w:space="0" w:color="auto"/>
              <w:right w:val="single" w:sz="4" w:space="0" w:color="auto"/>
            </w:tcBorders>
            <w:shd w:val="clear" w:color="FFFFFF" w:fill="D9D9D9"/>
            <w:noWrap/>
            <w:vAlign w:val="center"/>
            <w:hideMark/>
          </w:tcPr>
          <w:p w:rsidR="007B7432" w:rsidRPr="00620164" w:rsidRDefault="007B7432" w:rsidP="00842EB0">
            <w:pPr>
              <w:spacing w:before="0" w:after="0"/>
              <w:jc w:val="center"/>
              <w:rPr>
                <w:rFonts w:cs="Arial"/>
                <w:b/>
                <w:bCs/>
                <w:color w:val="000000"/>
                <w:sz w:val="16"/>
                <w:szCs w:val="16"/>
                <w:lang w:val="en-US" w:eastAsia="en-US"/>
              </w:rPr>
            </w:pPr>
            <w:r w:rsidRPr="00620164">
              <w:rPr>
                <w:rFonts w:cs="Arial"/>
                <w:b/>
                <w:bCs/>
                <w:color w:val="000000"/>
                <w:sz w:val="16"/>
                <w:szCs w:val="16"/>
                <w:lang w:val="en-US" w:eastAsia="en-US"/>
              </w:rPr>
              <w:t>2019-2020</w:t>
            </w:r>
          </w:p>
        </w:tc>
      </w:tr>
      <w:tr w:rsidR="007B7432" w:rsidRPr="00056E82" w:rsidTr="00620164">
        <w:trPr>
          <w:trHeight w:val="510"/>
        </w:trPr>
        <w:tc>
          <w:tcPr>
            <w:tcW w:w="1260" w:type="dxa"/>
            <w:tcBorders>
              <w:top w:val="single" w:sz="4" w:space="0" w:color="auto"/>
              <w:left w:val="single" w:sz="4" w:space="0" w:color="auto"/>
              <w:bottom w:val="single" w:sz="4" w:space="0" w:color="auto"/>
              <w:right w:val="nil"/>
            </w:tcBorders>
            <w:shd w:val="clear" w:color="auto" w:fill="auto"/>
            <w:vAlign w:val="bottom"/>
            <w:hideMark/>
          </w:tcPr>
          <w:p w:rsidR="007B7432" w:rsidRPr="000D537D" w:rsidRDefault="007B7432" w:rsidP="00842EB0">
            <w:pPr>
              <w:spacing w:before="0" w:after="0"/>
              <w:jc w:val="left"/>
              <w:rPr>
                <w:rFonts w:cs="Arial"/>
                <w:i/>
                <w:iCs/>
                <w:color w:val="000000"/>
                <w:sz w:val="20"/>
                <w:lang w:val="en-US" w:eastAsia="en-US"/>
              </w:rPr>
            </w:pPr>
            <w:r w:rsidRPr="000D537D">
              <w:rPr>
                <w:rFonts w:cs="Arial"/>
                <w:i/>
                <w:iCs/>
                <w:color w:val="000000"/>
                <w:sz w:val="20"/>
                <w:lang w:val="en-US" w:eastAsia="en-US"/>
              </w:rPr>
              <w:t>Demandes introduites</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2,267</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2,222</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2,370</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2,313</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2,509</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2,406</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2,506</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2,776</w:t>
            </w:r>
          </w:p>
        </w:tc>
      </w:tr>
      <w:tr w:rsidR="007B7432" w:rsidRPr="00056E82" w:rsidTr="00620164">
        <w:trPr>
          <w:trHeight w:val="510"/>
        </w:trPr>
        <w:tc>
          <w:tcPr>
            <w:tcW w:w="1260" w:type="dxa"/>
            <w:tcBorders>
              <w:top w:val="nil"/>
              <w:left w:val="single" w:sz="4" w:space="0" w:color="auto"/>
              <w:bottom w:val="single" w:sz="4" w:space="0" w:color="auto"/>
              <w:right w:val="nil"/>
            </w:tcBorders>
            <w:shd w:val="clear" w:color="auto" w:fill="auto"/>
            <w:vAlign w:val="bottom"/>
            <w:hideMark/>
          </w:tcPr>
          <w:p w:rsidR="007B7432" w:rsidRPr="000D537D" w:rsidRDefault="007B7432" w:rsidP="00842EB0">
            <w:pPr>
              <w:spacing w:before="0" w:after="0"/>
              <w:jc w:val="left"/>
              <w:rPr>
                <w:rFonts w:cs="Arial"/>
                <w:i/>
                <w:iCs/>
                <w:color w:val="000000"/>
                <w:sz w:val="20"/>
                <w:lang w:val="en-US" w:eastAsia="en-US"/>
              </w:rPr>
            </w:pPr>
            <w:r w:rsidRPr="000D537D">
              <w:rPr>
                <w:rFonts w:cs="Arial"/>
                <w:i/>
                <w:iCs/>
                <w:color w:val="000000"/>
                <w:sz w:val="20"/>
                <w:lang w:val="en-US" w:eastAsia="en-US"/>
              </w:rPr>
              <w:t>Places acceptées</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1,642</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1,656</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1,805</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1,770</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1,802</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1,785</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1,787</w:t>
            </w:r>
          </w:p>
        </w:tc>
        <w:tc>
          <w:tcPr>
            <w:tcW w:w="990" w:type="dxa"/>
            <w:tcBorders>
              <w:top w:val="nil"/>
              <w:left w:val="nil"/>
              <w:bottom w:val="single" w:sz="4" w:space="0" w:color="auto"/>
              <w:right w:val="single" w:sz="4" w:space="0" w:color="auto"/>
            </w:tcBorders>
            <w:shd w:val="clear" w:color="auto" w:fill="auto"/>
            <w:noWrap/>
            <w:vAlign w:val="center"/>
            <w:hideMark/>
          </w:tcPr>
          <w:p w:rsidR="007B7432" w:rsidRPr="000D537D" w:rsidRDefault="007B7432" w:rsidP="00842EB0">
            <w:pPr>
              <w:spacing w:before="0" w:after="0"/>
              <w:jc w:val="right"/>
              <w:rPr>
                <w:rFonts w:cs="Arial"/>
                <w:color w:val="000000"/>
                <w:sz w:val="20"/>
                <w:lang w:val="en-US" w:eastAsia="en-US"/>
              </w:rPr>
            </w:pPr>
            <w:r w:rsidRPr="000D537D">
              <w:rPr>
                <w:rFonts w:cs="Arial"/>
                <w:color w:val="000000"/>
                <w:sz w:val="20"/>
                <w:lang w:val="en-US" w:eastAsia="en-US"/>
              </w:rPr>
              <w:t>1,976</w:t>
            </w:r>
          </w:p>
        </w:tc>
      </w:tr>
      <w:tr w:rsidR="007B7432" w:rsidRPr="00056E82" w:rsidTr="00620164">
        <w:trPr>
          <w:trHeight w:val="36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7B7432" w:rsidRPr="00056E82" w:rsidRDefault="007B7432" w:rsidP="00842EB0">
            <w:pPr>
              <w:spacing w:before="0" w:after="0"/>
              <w:jc w:val="left"/>
              <w:rPr>
                <w:rFonts w:cs="Arial"/>
                <w:i/>
                <w:iCs/>
                <w:color w:val="000000"/>
                <w:sz w:val="18"/>
                <w:szCs w:val="18"/>
                <w:lang w:val="en-US" w:eastAsia="en-US"/>
              </w:rPr>
            </w:pPr>
            <w:r w:rsidRPr="00056E82">
              <w:rPr>
                <w:rFonts w:cs="Arial"/>
                <w:i/>
                <w:iCs/>
                <w:color w:val="000000"/>
                <w:sz w:val="18"/>
                <w:szCs w:val="18"/>
                <w:lang w:val="en-US" w:eastAsia="en-US"/>
              </w:rPr>
              <w:t>Pourcentage</w:t>
            </w:r>
          </w:p>
        </w:tc>
        <w:tc>
          <w:tcPr>
            <w:tcW w:w="990" w:type="dxa"/>
            <w:tcBorders>
              <w:top w:val="nil"/>
              <w:left w:val="nil"/>
              <w:bottom w:val="single" w:sz="4" w:space="0" w:color="auto"/>
              <w:right w:val="single" w:sz="4" w:space="0" w:color="auto"/>
            </w:tcBorders>
            <w:shd w:val="clear" w:color="auto" w:fill="auto"/>
            <w:noWrap/>
            <w:vAlign w:val="bottom"/>
            <w:hideMark/>
          </w:tcPr>
          <w:p w:rsidR="007B7432" w:rsidRPr="00056E82" w:rsidRDefault="007B7432" w:rsidP="00842EB0">
            <w:pPr>
              <w:spacing w:before="0" w:after="0"/>
              <w:jc w:val="right"/>
              <w:rPr>
                <w:rFonts w:cs="Arial"/>
                <w:i/>
                <w:iCs/>
                <w:color w:val="000000"/>
                <w:sz w:val="18"/>
                <w:szCs w:val="18"/>
                <w:lang w:val="en-US" w:eastAsia="en-US"/>
              </w:rPr>
            </w:pPr>
            <w:r w:rsidRPr="00056E82">
              <w:rPr>
                <w:rFonts w:cs="Arial"/>
                <w:i/>
                <w:iCs/>
                <w:color w:val="000000"/>
                <w:sz w:val="18"/>
                <w:szCs w:val="18"/>
                <w:lang w:val="en-US" w:eastAsia="en-US"/>
              </w:rPr>
              <w:t>72%</w:t>
            </w:r>
          </w:p>
        </w:tc>
        <w:tc>
          <w:tcPr>
            <w:tcW w:w="990" w:type="dxa"/>
            <w:tcBorders>
              <w:top w:val="nil"/>
              <w:left w:val="nil"/>
              <w:bottom w:val="single" w:sz="4" w:space="0" w:color="auto"/>
              <w:right w:val="single" w:sz="4" w:space="0" w:color="auto"/>
            </w:tcBorders>
            <w:shd w:val="clear" w:color="auto" w:fill="auto"/>
            <w:noWrap/>
            <w:vAlign w:val="bottom"/>
            <w:hideMark/>
          </w:tcPr>
          <w:p w:rsidR="007B7432" w:rsidRPr="00056E82" w:rsidRDefault="007B7432" w:rsidP="00842EB0">
            <w:pPr>
              <w:spacing w:before="0" w:after="0"/>
              <w:jc w:val="right"/>
              <w:rPr>
                <w:rFonts w:cs="Arial"/>
                <w:i/>
                <w:iCs/>
                <w:color w:val="000000"/>
                <w:sz w:val="18"/>
                <w:szCs w:val="18"/>
                <w:lang w:val="en-US" w:eastAsia="en-US"/>
              </w:rPr>
            </w:pPr>
            <w:r w:rsidRPr="00056E82">
              <w:rPr>
                <w:rFonts w:cs="Arial"/>
                <w:i/>
                <w:iCs/>
                <w:color w:val="000000"/>
                <w:sz w:val="18"/>
                <w:szCs w:val="18"/>
                <w:lang w:val="en-US" w:eastAsia="en-US"/>
              </w:rPr>
              <w:t>75%</w:t>
            </w:r>
          </w:p>
        </w:tc>
        <w:tc>
          <w:tcPr>
            <w:tcW w:w="990" w:type="dxa"/>
            <w:tcBorders>
              <w:top w:val="nil"/>
              <w:left w:val="nil"/>
              <w:bottom w:val="single" w:sz="4" w:space="0" w:color="auto"/>
              <w:right w:val="single" w:sz="4" w:space="0" w:color="auto"/>
            </w:tcBorders>
            <w:shd w:val="clear" w:color="auto" w:fill="auto"/>
            <w:noWrap/>
            <w:vAlign w:val="bottom"/>
            <w:hideMark/>
          </w:tcPr>
          <w:p w:rsidR="007B7432" w:rsidRPr="00056E82" w:rsidRDefault="007B7432" w:rsidP="00842EB0">
            <w:pPr>
              <w:spacing w:before="0" w:after="0"/>
              <w:jc w:val="right"/>
              <w:rPr>
                <w:rFonts w:cs="Arial"/>
                <w:i/>
                <w:iCs/>
                <w:color w:val="000000"/>
                <w:sz w:val="18"/>
                <w:szCs w:val="18"/>
                <w:lang w:val="en-US" w:eastAsia="en-US"/>
              </w:rPr>
            </w:pPr>
            <w:r w:rsidRPr="00056E82">
              <w:rPr>
                <w:rFonts w:cs="Arial"/>
                <w:i/>
                <w:iCs/>
                <w:color w:val="000000"/>
                <w:sz w:val="18"/>
                <w:szCs w:val="18"/>
                <w:lang w:val="en-US" w:eastAsia="en-US"/>
              </w:rPr>
              <w:t>76%</w:t>
            </w:r>
          </w:p>
        </w:tc>
        <w:tc>
          <w:tcPr>
            <w:tcW w:w="990" w:type="dxa"/>
            <w:tcBorders>
              <w:top w:val="nil"/>
              <w:left w:val="nil"/>
              <w:bottom w:val="single" w:sz="4" w:space="0" w:color="auto"/>
              <w:right w:val="single" w:sz="4" w:space="0" w:color="auto"/>
            </w:tcBorders>
            <w:shd w:val="clear" w:color="auto" w:fill="auto"/>
            <w:noWrap/>
            <w:vAlign w:val="bottom"/>
            <w:hideMark/>
          </w:tcPr>
          <w:p w:rsidR="007B7432" w:rsidRPr="00056E82" w:rsidRDefault="007B7432" w:rsidP="00842EB0">
            <w:pPr>
              <w:spacing w:before="0" w:after="0"/>
              <w:jc w:val="right"/>
              <w:rPr>
                <w:rFonts w:cs="Arial"/>
                <w:i/>
                <w:iCs/>
                <w:color w:val="000000"/>
                <w:sz w:val="18"/>
                <w:szCs w:val="18"/>
                <w:lang w:val="en-US" w:eastAsia="en-US"/>
              </w:rPr>
            </w:pPr>
            <w:r w:rsidRPr="00056E82">
              <w:rPr>
                <w:rFonts w:cs="Arial"/>
                <w:i/>
                <w:iCs/>
                <w:color w:val="000000"/>
                <w:sz w:val="18"/>
                <w:szCs w:val="18"/>
                <w:lang w:val="en-US" w:eastAsia="en-US"/>
              </w:rPr>
              <w:t>77%</w:t>
            </w:r>
          </w:p>
        </w:tc>
        <w:tc>
          <w:tcPr>
            <w:tcW w:w="990" w:type="dxa"/>
            <w:tcBorders>
              <w:top w:val="nil"/>
              <w:left w:val="nil"/>
              <w:bottom w:val="single" w:sz="4" w:space="0" w:color="auto"/>
              <w:right w:val="single" w:sz="4" w:space="0" w:color="auto"/>
            </w:tcBorders>
            <w:shd w:val="clear" w:color="auto" w:fill="auto"/>
            <w:noWrap/>
            <w:vAlign w:val="bottom"/>
            <w:hideMark/>
          </w:tcPr>
          <w:p w:rsidR="007B7432" w:rsidRPr="00056E82" w:rsidRDefault="007B7432" w:rsidP="00842EB0">
            <w:pPr>
              <w:spacing w:before="0" w:after="0"/>
              <w:jc w:val="right"/>
              <w:rPr>
                <w:rFonts w:cs="Arial"/>
                <w:i/>
                <w:iCs/>
                <w:color w:val="000000"/>
                <w:sz w:val="18"/>
                <w:szCs w:val="18"/>
                <w:lang w:val="en-US" w:eastAsia="en-US"/>
              </w:rPr>
            </w:pPr>
            <w:r w:rsidRPr="00056E82">
              <w:rPr>
                <w:rFonts w:cs="Arial"/>
                <w:i/>
                <w:iCs/>
                <w:color w:val="000000"/>
                <w:sz w:val="18"/>
                <w:szCs w:val="18"/>
                <w:lang w:val="en-US" w:eastAsia="en-US"/>
              </w:rPr>
              <w:t>72%</w:t>
            </w:r>
          </w:p>
        </w:tc>
        <w:tc>
          <w:tcPr>
            <w:tcW w:w="990" w:type="dxa"/>
            <w:tcBorders>
              <w:top w:val="nil"/>
              <w:left w:val="nil"/>
              <w:bottom w:val="single" w:sz="4" w:space="0" w:color="auto"/>
              <w:right w:val="single" w:sz="4" w:space="0" w:color="auto"/>
            </w:tcBorders>
            <w:shd w:val="clear" w:color="auto" w:fill="auto"/>
            <w:noWrap/>
            <w:vAlign w:val="bottom"/>
            <w:hideMark/>
          </w:tcPr>
          <w:p w:rsidR="007B7432" w:rsidRPr="00056E82" w:rsidRDefault="007B7432" w:rsidP="00842EB0">
            <w:pPr>
              <w:spacing w:before="0" w:after="0"/>
              <w:jc w:val="right"/>
              <w:rPr>
                <w:rFonts w:cs="Arial"/>
                <w:i/>
                <w:iCs/>
                <w:color w:val="000000"/>
                <w:sz w:val="18"/>
                <w:szCs w:val="18"/>
                <w:lang w:val="en-US" w:eastAsia="en-US"/>
              </w:rPr>
            </w:pPr>
            <w:r w:rsidRPr="00056E82">
              <w:rPr>
                <w:rFonts w:cs="Arial"/>
                <w:i/>
                <w:iCs/>
                <w:color w:val="000000"/>
                <w:sz w:val="18"/>
                <w:szCs w:val="18"/>
                <w:lang w:val="en-US" w:eastAsia="en-US"/>
              </w:rPr>
              <w:t>74%</w:t>
            </w:r>
          </w:p>
        </w:tc>
        <w:tc>
          <w:tcPr>
            <w:tcW w:w="990" w:type="dxa"/>
            <w:tcBorders>
              <w:top w:val="nil"/>
              <w:left w:val="nil"/>
              <w:bottom w:val="single" w:sz="4" w:space="0" w:color="auto"/>
              <w:right w:val="single" w:sz="4" w:space="0" w:color="auto"/>
            </w:tcBorders>
            <w:shd w:val="clear" w:color="auto" w:fill="auto"/>
            <w:noWrap/>
            <w:vAlign w:val="bottom"/>
            <w:hideMark/>
          </w:tcPr>
          <w:p w:rsidR="007B7432" w:rsidRPr="00056E82" w:rsidRDefault="007B7432" w:rsidP="00842EB0">
            <w:pPr>
              <w:spacing w:before="0" w:after="0"/>
              <w:jc w:val="right"/>
              <w:rPr>
                <w:rFonts w:cs="Arial"/>
                <w:i/>
                <w:iCs/>
                <w:color w:val="000000"/>
                <w:sz w:val="18"/>
                <w:szCs w:val="18"/>
                <w:lang w:val="en-US" w:eastAsia="en-US"/>
              </w:rPr>
            </w:pPr>
            <w:r w:rsidRPr="00056E82">
              <w:rPr>
                <w:rFonts w:cs="Arial"/>
                <w:i/>
                <w:iCs/>
                <w:color w:val="000000"/>
                <w:sz w:val="18"/>
                <w:szCs w:val="18"/>
                <w:lang w:val="en-US" w:eastAsia="en-US"/>
              </w:rPr>
              <w:t>71%</w:t>
            </w:r>
          </w:p>
        </w:tc>
        <w:tc>
          <w:tcPr>
            <w:tcW w:w="990" w:type="dxa"/>
            <w:tcBorders>
              <w:top w:val="nil"/>
              <w:left w:val="nil"/>
              <w:bottom w:val="single" w:sz="4" w:space="0" w:color="auto"/>
              <w:right w:val="single" w:sz="4" w:space="0" w:color="auto"/>
            </w:tcBorders>
            <w:shd w:val="clear" w:color="auto" w:fill="auto"/>
            <w:noWrap/>
            <w:vAlign w:val="bottom"/>
            <w:hideMark/>
          </w:tcPr>
          <w:p w:rsidR="007B7432" w:rsidRPr="00056E82" w:rsidRDefault="007B7432" w:rsidP="00842EB0">
            <w:pPr>
              <w:spacing w:before="0" w:after="0"/>
              <w:jc w:val="right"/>
              <w:rPr>
                <w:rFonts w:cs="Arial"/>
                <w:i/>
                <w:iCs/>
                <w:color w:val="000000"/>
                <w:sz w:val="18"/>
                <w:szCs w:val="18"/>
                <w:lang w:val="en-US" w:eastAsia="en-US"/>
              </w:rPr>
            </w:pPr>
            <w:r w:rsidRPr="00056E82">
              <w:rPr>
                <w:rFonts w:cs="Arial"/>
                <w:i/>
                <w:iCs/>
                <w:color w:val="000000"/>
                <w:sz w:val="18"/>
                <w:szCs w:val="18"/>
                <w:lang w:val="en-US" w:eastAsia="en-US"/>
              </w:rPr>
              <w:t>71%</w:t>
            </w:r>
          </w:p>
        </w:tc>
      </w:tr>
    </w:tbl>
    <w:p w:rsidR="007B7432" w:rsidRDefault="007B7432" w:rsidP="009A3C80">
      <w:pPr>
        <w:tabs>
          <w:tab w:val="left" w:pos="284"/>
        </w:tabs>
        <w:spacing w:line="276" w:lineRule="auto"/>
        <w:rPr>
          <w:szCs w:val="22"/>
        </w:rPr>
      </w:pPr>
    </w:p>
    <w:p w:rsidR="00A76EB9" w:rsidRPr="00824EEB" w:rsidRDefault="00A76EB9" w:rsidP="009A3C80">
      <w:pPr>
        <w:tabs>
          <w:tab w:val="left" w:pos="284"/>
        </w:tabs>
        <w:spacing w:line="276" w:lineRule="auto"/>
        <w:rPr>
          <w:szCs w:val="22"/>
        </w:rPr>
      </w:pPr>
      <w:r w:rsidRPr="00824EEB">
        <w:rPr>
          <w:szCs w:val="22"/>
        </w:rPr>
        <w:lastRenderedPageBreak/>
        <w:t xml:space="preserve">Si de nouvelles classes </w:t>
      </w:r>
      <w:r w:rsidR="00824EEB">
        <w:rPr>
          <w:szCs w:val="22"/>
        </w:rPr>
        <w:t>d</w:t>
      </w:r>
      <w:r w:rsidRPr="00824EEB">
        <w:rPr>
          <w:szCs w:val="22"/>
        </w:rPr>
        <w:t xml:space="preserve">oivent être ouvertes, </w:t>
      </w:r>
      <w:r w:rsidR="00824EEB">
        <w:rPr>
          <w:szCs w:val="22"/>
        </w:rPr>
        <w:t xml:space="preserve">elles ne le seront qu’en cas d’absolue nécessité et leur création sera examinée par priorité </w:t>
      </w:r>
      <w:r w:rsidRPr="00824EEB">
        <w:rPr>
          <w:szCs w:val="22"/>
        </w:rPr>
        <w:t xml:space="preserve">à l’Ecole européenne de Bruxelles I – site Berkendael, où </w:t>
      </w:r>
      <w:r w:rsidR="00F8338E" w:rsidRPr="00824EEB">
        <w:rPr>
          <w:szCs w:val="22"/>
        </w:rPr>
        <w:t xml:space="preserve">il reste </w:t>
      </w:r>
      <w:r w:rsidR="00F8338E" w:rsidRPr="00C55936">
        <w:rPr>
          <w:szCs w:val="22"/>
        </w:rPr>
        <w:t xml:space="preserve">encore des </w:t>
      </w:r>
      <w:r w:rsidR="00C55936" w:rsidRPr="00C55936">
        <w:rPr>
          <w:szCs w:val="22"/>
        </w:rPr>
        <w:t>locaux,</w:t>
      </w:r>
      <w:r w:rsidR="00F8338E" w:rsidRPr="00C55936">
        <w:rPr>
          <w:szCs w:val="22"/>
        </w:rPr>
        <w:t xml:space="preserve"> et</w:t>
      </w:r>
      <w:r w:rsidRPr="00C55936">
        <w:rPr>
          <w:szCs w:val="22"/>
        </w:rPr>
        <w:t xml:space="preserve"> </w:t>
      </w:r>
      <w:r w:rsidRPr="00824EEB">
        <w:rPr>
          <w:szCs w:val="22"/>
        </w:rPr>
        <w:t xml:space="preserve">à l’Ecole européenne de Bruxelles IV, </w:t>
      </w:r>
      <w:r w:rsidR="00824EEB" w:rsidRPr="00824EEB">
        <w:rPr>
          <w:szCs w:val="22"/>
        </w:rPr>
        <w:t xml:space="preserve">dans les sections linguistiques, niveaux ou classes satellites </w:t>
      </w:r>
      <w:r w:rsidRPr="00824EEB">
        <w:rPr>
          <w:szCs w:val="22"/>
        </w:rPr>
        <w:t>qui y sont ouverts. Certes, l’Ecole de Bruxelles IV a atteint sa capacité en termes d’effectifs, mais elle n’a pas encore atteint la limite maximal</w:t>
      </w:r>
      <w:r w:rsidR="000E443D">
        <w:rPr>
          <w:szCs w:val="22"/>
        </w:rPr>
        <w:t xml:space="preserve">e du nombre de salles de classe </w:t>
      </w:r>
      <w:r w:rsidR="000E443D" w:rsidRPr="00716584">
        <w:rPr>
          <w:szCs w:val="22"/>
        </w:rPr>
        <w:t>notamment au cycle secondaire.</w:t>
      </w:r>
    </w:p>
    <w:p w:rsidR="009A3C80" w:rsidRPr="0058652C" w:rsidRDefault="00512BA7" w:rsidP="009A3C80">
      <w:pPr>
        <w:tabs>
          <w:tab w:val="left" w:pos="284"/>
        </w:tabs>
        <w:spacing w:line="276" w:lineRule="auto"/>
        <w:rPr>
          <w:szCs w:val="22"/>
        </w:rPr>
      </w:pPr>
      <w:r w:rsidRPr="0058652C">
        <w:rPr>
          <w:szCs w:val="22"/>
        </w:rPr>
        <w:t xml:space="preserve">Cette année, </w:t>
      </w:r>
      <w:r w:rsidR="00824EEB">
        <w:rPr>
          <w:szCs w:val="22"/>
        </w:rPr>
        <w:t>69</w:t>
      </w:r>
      <w:r w:rsidR="0058652C">
        <w:rPr>
          <w:szCs w:val="22"/>
        </w:rPr>
        <w:t xml:space="preserve"> </w:t>
      </w:r>
      <w:r w:rsidR="005C70C0" w:rsidRPr="0058652C">
        <w:rPr>
          <w:szCs w:val="22"/>
        </w:rPr>
        <w:t xml:space="preserve">élèves </w:t>
      </w:r>
      <w:r w:rsidR="009A3C80" w:rsidRPr="0058652C">
        <w:rPr>
          <w:szCs w:val="22"/>
        </w:rPr>
        <w:t xml:space="preserve">de P5 FR scolarisés à l’Ecole de Bruxelles I – site Berkendael devront introduire une demande de transfert en S1 dans l’une des Ecoles de Bruxelles en exprimant un ordre de préférence d’écoles. </w:t>
      </w:r>
      <w:r w:rsidR="005C70C0" w:rsidRPr="0058652C">
        <w:rPr>
          <w:szCs w:val="22"/>
        </w:rPr>
        <w:t>Leurs demandes ainsi que celles de leur fratrie, le cas échéant, seront examinées en premier lieu.</w:t>
      </w:r>
      <w:r w:rsidR="00C308B5">
        <w:rPr>
          <w:szCs w:val="22"/>
        </w:rPr>
        <w:t xml:space="preserve"> En outre, 2 élèves de P5 LV scolarisés sur ce site devront être accueillis comme élèves SWALS à l’Ecole de Bruxelles II.</w:t>
      </w:r>
    </w:p>
    <w:p w:rsidR="005C70C0" w:rsidRDefault="00512BA7" w:rsidP="005C70C0">
      <w:pPr>
        <w:tabs>
          <w:tab w:val="left" w:pos="284"/>
        </w:tabs>
        <w:spacing w:line="276" w:lineRule="auto"/>
        <w:rPr>
          <w:szCs w:val="22"/>
        </w:rPr>
      </w:pPr>
      <w:r w:rsidRPr="0058652C">
        <w:rPr>
          <w:szCs w:val="22"/>
        </w:rPr>
        <w:t>L’organisation</w:t>
      </w:r>
      <w:r w:rsidR="00966E96">
        <w:rPr>
          <w:szCs w:val="22"/>
        </w:rPr>
        <w:t xml:space="preserve"> du calendrier des inscriptions, qui impose aux </w:t>
      </w:r>
      <w:r w:rsidRPr="0058652C">
        <w:rPr>
          <w:szCs w:val="22"/>
        </w:rPr>
        <w:t xml:space="preserve">personnels des </w:t>
      </w:r>
      <w:r w:rsidR="00D45E51" w:rsidRPr="0058652C">
        <w:rPr>
          <w:szCs w:val="22"/>
        </w:rPr>
        <w:t>I</w:t>
      </w:r>
      <w:r w:rsidRPr="0058652C">
        <w:rPr>
          <w:szCs w:val="22"/>
        </w:rPr>
        <w:t>nstitutions</w:t>
      </w:r>
      <w:r w:rsidR="00D45E51" w:rsidRPr="0058652C">
        <w:rPr>
          <w:szCs w:val="22"/>
        </w:rPr>
        <w:t xml:space="preserve"> européennes</w:t>
      </w:r>
      <w:r w:rsidR="00D45E51" w:rsidRPr="0058652C">
        <w:rPr>
          <w:rStyle w:val="FootnoteReference"/>
          <w:szCs w:val="22"/>
        </w:rPr>
        <w:footnoteReference w:id="8"/>
      </w:r>
      <w:r w:rsidRPr="0058652C">
        <w:rPr>
          <w:szCs w:val="22"/>
        </w:rPr>
        <w:t xml:space="preserve"> en poste au 31 décembre 201</w:t>
      </w:r>
      <w:r w:rsidR="0058652C" w:rsidRPr="0058652C">
        <w:rPr>
          <w:szCs w:val="22"/>
        </w:rPr>
        <w:t>9</w:t>
      </w:r>
      <w:r w:rsidRPr="0058652C">
        <w:rPr>
          <w:szCs w:val="22"/>
        </w:rPr>
        <w:t xml:space="preserve"> d’introduire leurs demandes d’inscription uniquement pendant la première phase d’inscription, est </w:t>
      </w:r>
      <w:r w:rsidR="0058652C" w:rsidRPr="0058652C">
        <w:rPr>
          <w:szCs w:val="22"/>
        </w:rPr>
        <w:t>reconduite</w:t>
      </w:r>
      <w:r w:rsidRPr="0058652C">
        <w:rPr>
          <w:szCs w:val="22"/>
        </w:rPr>
        <w:t xml:space="preserve">, car elle a permis </w:t>
      </w:r>
      <w:r w:rsidR="00966E96">
        <w:rPr>
          <w:szCs w:val="22"/>
        </w:rPr>
        <w:t xml:space="preserve">pour les écoles </w:t>
      </w:r>
      <w:r w:rsidRPr="0058652C">
        <w:rPr>
          <w:szCs w:val="22"/>
        </w:rPr>
        <w:t>de mieux planifier la rentrée scolaire.</w:t>
      </w:r>
    </w:p>
    <w:p w:rsidR="006B2350" w:rsidRDefault="006B2350" w:rsidP="009A3C80">
      <w:pPr>
        <w:tabs>
          <w:tab w:val="left" w:pos="284"/>
        </w:tabs>
        <w:spacing w:line="276" w:lineRule="auto"/>
        <w:rPr>
          <w:szCs w:val="22"/>
          <w:lang w:val="fr-BE"/>
        </w:rPr>
      </w:pPr>
    </w:p>
    <w:p w:rsidR="006B2350" w:rsidRDefault="006B2350" w:rsidP="006B2350">
      <w:pPr>
        <w:tabs>
          <w:tab w:val="left" w:pos="284"/>
        </w:tabs>
        <w:rPr>
          <w:b/>
          <w:sz w:val="24"/>
          <w:szCs w:val="24"/>
          <w:u w:val="single"/>
        </w:rPr>
      </w:pPr>
      <w:r>
        <w:rPr>
          <w:b/>
          <w:sz w:val="24"/>
          <w:szCs w:val="24"/>
        </w:rPr>
        <w:t>I</w:t>
      </w:r>
      <w:r w:rsidRPr="00B05B49">
        <w:rPr>
          <w:b/>
          <w:sz w:val="24"/>
          <w:szCs w:val="24"/>
        </w:rPr>
        <w:t xml:space="preserve">V. </w:t>
      </w:r>
      <w:r>
        <w:rPr>
          <w:b/>
          <w:sz w:val="24"/>
          <w:szCs w:val="24"/>
          <w:u w:val="single"/>
        </w:rPr>
        <w:t>Propositions</w:t>
      </w:r>
    </w:p>
    <w:p w:rsidR="006B2350" w:rsidRDefault="006B2350" w:rsidP="006B2350">
      <w:pPr>
        <w:tabs>
          <w:tab w:val="left" w:pos="284"/>
        </w:tabs>
        <w:spacing w:before="0" w:after="0"/>
        <w:rPr>
          <w:b/>
          <w:szCs w:val="22"/>
        </w:rPr>
      </w:pPr>
    </w:p>
    <w:p w:rsidR="006B2350" w:rsidRDefault="006B2350" w:rsidP="006B2350">
      <w:pPr>
        <w:tabs>
          <w:tab w:val="left" w:pos="284"/>
        </w:tabs>
        <w:rPr>
          <w:b/>
          <w:szCs w:val="22"/>
        </w:rPr>
      </w:pPr>
      <w:r w:rsidRPr="00B05B49">
        <w:rPr>
          <w:b/>
          <w:szCs w:val="22"/>
        </w:rPr>
        <w:t xml:space="preserve">Le Conseil supérieur </w:t>
      </w:r>
      <w:r>
        <w:rPr>
          <w:b/>
          <w:szCs w:val="22"/>
        </w:rPr>
        <w:t xml:space="preserve">est invité à : </w:t>
      </w:r>
    </w:p>
    <w:p w:rsidR="006B2350" w:rsidRDefault="006B2350" w:rsidP="006B2350">
      <w:pPr>
        <w:pStyle w:val="ListParagraph"/>
        <w:numPr>
          <w:ilvl w:val="0"/>
          <w:numId w:val="22"/>
        </w:numPr>
        <w:tabs>
          <w:tab w:val="left" w:pos="284"/>
        </w:tabs>
        <w:rPr>
          <w:b/>
          <w:szCs w:val="22"/>
        </w:rPr>
      </w:pPr>
      <w:r w:rsidRPr="00B05B49">
        <w:rPr>
          <w:b/>
          <w:szCs w:val="22"/>
        </w:rPr>
        <w:t>prendre connaissance du bilan de la politique d’inscription 201</w:t>
      </w:r>
      <w:r w:rsidR="009B7819">
        <w:rPr>
          <w:b/>
          <w:szCs w:val="22"/>
        </w:rPr>
        <w:t>9</w:t>
      </w:r>
      <w:r w:rsidRPr="00B05B49">
        <w:rPr>
          <w:b/>
          <w:szCs w:val="22"/>
        </w:rPr>
        <w:t>-20</w:t>
      </w:r>
      <w:r w:rsidR="009B7819">
        <w:rPr>
          <w:b/>
          <w:szCs w:val="22"/>
        </w:rPr>
        <w:t>20</w:t>
      </w:r>
      <w:r w:rsidRPr="00B05B49">
        <w:rPr>
          <w:b/>
          <w:szCs w:val="22"/>
        </w:rPr>
        <w:t>,</w:t>
      </w:r>
    </w:p>
    <w:p w:rsidR="006B2350" w:rsidRPr="00B05B49" w:rsidRDefault="006B2350" w:rsidP="006B2350">
      <w:pPr>
        <w:pStyle w:val="ListParagraph"/>
        <w:tabs>
          <w:tab w:val="left" w:pos="284"/>
        </w:tabs>
        <w:ind w:left="786"/>
        <w:rPr>
          <w:b/>
          <w:szCs w:val="22"/>
        </w:rPr>
      </w:pPr>
    </w:p>
    <w:p w:rsidR="006B2350" w:rsidRPr="00B05B49" w:rsidRDefault="006B2350" w:rsidP="006B2350">
      <w:pPr>
        <w:pStyle w:val="ListParagraph"/>
        <w:numPr>
          <w:ilvl w:val="0"/>
          <w:numId w:val="22"/>
        </w:numPr>
        <w:tabs>
          <w:tab w:val="left" w:pos="284"/>
        </w:tabs>
        <w:rPr>
          <w:b/>
          <w:szCs w:val="22"/>
        </w:rPr>
      </w:pPr>
      <w:r>
        <w:rPr>
          <w:b/>
          <w:szCs w:val="22"/>
        </w:rPr>
        <w:t>approuver les lignes directrices proposées</w:t>
      </w:r>
      <w:r w:rsidR="000B4781">
        <w:rPr>
          <w:b/>
          <w:szCs w:val="22"/>
        </w:rPr>
        <w:t xml:space="preserve"> en annexe II, </w:t>
      </w:r>
      <w:r>
        <w:rPr>
          <w:b/>
          <w:szCs w:val="22"/>
        </w:rPr>
        <w:t>à partir desquelles l’Autorité centrale des inscriptions établira la politique d’inscription dans les Ecoles européennes de Bruxelles pour l’année scolaire 20</w:t>
      </w:r>
      <w:r w:rsidR="009B7819">
        <w:rPr>
          <w:b/>
          <w:szCs w:val="22"/>
        </w:rPr>
        <w:t>20</w:t>
      </w:r>
      <w:r>
        <w:rPr>
          <w:b/>
          <w:szCs w:val="22"/>
        </w:rPr>
        <w:t>-202</w:t>
      </w:r>
      <w:r w:rsidR="009B7819">
        <w:rPr>
          <w:b/>
          <w:szCs w:val="22"/>
        </w:rPr>
        <w:t>1</w:t>
      </w:r>
      <w:r>
        <w:rPr>
          <w:b/>
          <w:szCs w:val="22"/>
        </w:rPr>
        <w:t xml:space="preserve">. </w:t>
      </w:r>
    </w:p>
    <w:p w:rsidR="007E3087" w:rsidRPr="006B2350" w:rsidRDefault="007E3087" w:rsidP="009A3C80">
      <w:pPr>
        <w:tabs>
          <w:tab w:val="left" w:pos="284"/>
        </w:tabs>
        <w:spacing w:line="276" w:lineRule="auto"/>
        <w:rPr>
          <w:szCs w:val="22"/>
        </w:rPr>
      </w:pPr>
    </w:p>
    <w:p w:rsidR="00FC12D6" w:rsidRPr="00F04EEE" w:rsidRDefault="00FC12D6" w:rsidP="00FC12D6">
      <w:pPr>
        <w:pStyle w:val="PlainText"/>
        <w:rPr>
          <w:color w:val="0000FF"/>
        </w:rPr>
      </w:pPr>
    </w:p>
    <w:p w:rsidR="00FC12D6" w:rsidRPr="00FC12D6" w:rsidRDefault="00FC12D6" w:rsidP="00FC12D6">
      <w:pPr>
        <w:pStyle w:val="PlainText"/>
        <w:rPr>
          <w:color w:val="0000FF"/>
          <w:lang w:val="fr-BE"/>
        </w:rPr>
      </w:pPr>
    </w:p>
    <w:p w:rsidR="00FC12D6" w:rsidRPr="00FC12D6" w:rsidRDefault="00FC12D6"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pPr>
    </w:p>
    <w:p w:rsidR="002A2F54" w:rsidRPr="00FC12D6" w:rsidRDefault="002A2F54" w:rsidP="009A3C80">
      <w:pPr>
        <w:tabs>
          <w:tab w:val="left" w:pos="284"/>
        </w:tabs>
        <w:spacing w:line="276" w:lineRule="auto"/>
        <w:rPr>
          <w:szCs w:val="22"/>
          <w:lang w:val="fr-BE"/>
        </w:rPr>
        <w:sectPr w:rsidR="002A2F54" w:rsidRPr="00FC12D6" w:rsidSect="003E4437">
          <w:headerReference w:type="default" r:id="rId17"/>
          <w:footerReference w:type="default" r:id="rId18"/>
          <w:footerReference w:type="first" r:id="rId19"/>
          <w:pgSz w:w="11906" w:h="16838"/>
          <w:pgMar w:top="1022" w:right="1699" w:bottom="1022" w:left="1008" w:header="605" w:footer="1080" w:gutter="0"/>
          <w:cols w:space="720"/>
          <w:titlePg/>
        </w:sectPr>
      </w:pPr>
    </w:p>
    <w:p w:rsidR="00C0329E" w:rsidRPr="00457713" w:rsidRDefault="00C0329E" w:rsidP="00C0329E">
      <w:pPr>
        <w:tabs>
          <w:tab w:val="left" w:pos="284"/>
        </w:tabs>
        <w:rPr>
          <w:b/>
          <w:szCs w:val="22"/>
          <w:u w:val="single"/>
        </w:rPr>
      </w:pPr>
      <w:r w:rsidRPr="00627BB0">
        <w:rPr>
          <w:b/>
          <w:szCs w:val="22"/>
          <w:u w:val="single"/>
        </w:rPr>
        <w:lastRenderedPageBreak/>
        <w:t xml:space="preserve">ANNEXE </w:t>
      </w:r>
      <w:r>
        <w:rPr>
          <w:b/>
          <w:szCs w:val="22"/>
          <w:u w:val="single"/>
        </w:rPr>
        <w:t>I</w:t>
      </w:r>
    </w:p>
    <w:p w:rsidR="00C0329E" w:rsidRPr="006C3B4F" w:rsidRDefault="00C0329E" w:rsidP="00C0329E">
      <w:pPr>
        <w:tabs>
          <w:tab w:val="left" w:pos="284"/>
        </w:tabs>
        <w:spacing w:before="0" w:after="0"/>
        <w:rPr>
          <w:b/>
          <w:sz w:val="16"/>
          <w:szCs w:val="16"/>
          <w:u w:val="single"/>
        </w:rPr>
      </w:pPr>
    </w:p>
    <w:p w:rsidR="00C0329E" w:rsidRDefault="00C0329E" w:rsidP="00C0329E">
      <w:pPr>
        <w:tabs>
          <w:tab w:val="left" w:pos="284"/>
        </w:tabs>
        <w:spacing w:before="0" w:after="0"/>
        <w:rPr>
          <w:b/>
          <w:szCs w:val="22"/>
          <w:u w:val="single"/>
        </w:rPr>
      </w:pPr>
      <w:r>
        <w:rPr>
          <w:b/>
          <w:szCs w:val="22"/>
          <w:u w:val="single"/>
        </w:rPr>
        <w:t xml:space="preserve">Ecole européenne de Bruxelles I – site Uccle </w:t>
      </w:r>
    </w:p>
    <w:p w:rsidR="00C0329E" w:rsidRDefault="00C0329E" w:rsidP="00C0329E">
      <w:pPr>
        <w:tabs>
          <w:tab w:val="left" w:pos="284"/>
        </w:tabs>
        <w:spacing w:before="0" w:after="0"/>
        <w:rPr>
          <w:b/>
          <w:szCs w:val="22"/>
        </w:rPr>
      </w:pPr>
    </w:p>
    <w:p w:rsidR="00C0329E" w:rsidRPr="00D04398"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sidR="008633A3">
        <w:rPr>
          <w:b/>
          <w:szCs w:val="22"/>
        </w:rPr>
        <w:t>9</w:t>
      </w:r>
      <w:r w:rsidRPr="00D04398">
        <w:rPr>
          <w:b/>
          <w:szCs w:val="22"/>
        </w:rPr>
        <w:t xml:space="preserve"> </w:t>
      </w:r>
    </w:p>
    <w:p w:rsidR="00C0329E" w:rsidRDefault="00C0329E" w:rsidP="00C0329E">
      <w:pPr>
        <w:tabs>
          <w:tab w:val="left" w:pos="284"/>
        </w:tabs>
        <w:spacing w:before="0" w:after="0"/>
        <w:rPr>
          <w:b/>
          <w:szCs w:val="22"/>
        </w:rPr>
      </w:pPr>
    </w:p>
    <w:p w:rsidR="00C0329E" w:rsidRDefault="00B72A71" w:rsidP="00C0329E">
      <w:pPr>
        <w:tabs>
          <w:tab w:val="left" w:pos="284"/>
        </w:tabs>
        <w:spacing w:before="0" w:after="0"/>
        <w:rPr>
          <w:b/>
          <w:szCs w:val="22"/>
        </w:rPr>
      </w:pPr>
      <w:r w:rsidRPr="00B72A71">
        <w:rPr>
          <w:noProof/>
          <w:lang w:val="en-US" w:eastAsia="en-US"/>
        </w:rPr>
        <w:drawing>
          <wp:inline distT="0" distB="0" distL="0" distR="0">
            <wp:extent cx="3800475" cy="3162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0475" cy="3162300"/>
                    </a:xfrm>
                    <a:prstGeom prst="rect">
                      <a:avLst/>
                    </a:prstGeom>
                    <a:noFill/>
                    <a:ln>
                      <a:noFill/>
                    </a:ln>
                  </pic:spPr>
                </pic:pic>
              </a:graphicData>
            </a:graphic>
          </wp:inline>
        </w:drawing>
      </w:r>
    </w:p>
    <w:p w:rsidR="00C0329E" w:rsidRPr="00007505" w:rsidRDefault="00C0329E" w:rsidP="00C0329E">
      <w:pPr>
        <w:tabs>
          <w:tab w:val="left" w:pos="284"/>
        </w:tabs>
        <w:rPr>
          <w:b/>
          <w:szCs w:val="22"/>
        </w:rPr>
      </w:pPr>
    </w:p>
    <w:p w:rsidR="00C0329E" w:rsidRDefault="00C0329E" w:rsidP="00C0329E">
      <w:pPr>
        <w:tabs>
          <w:tab w:val="left" w:pos="284"/>
        </w:tabs>
        <w:rPr>
          <w:b/>
          <w:sz w:val="4"/>
          <w:szCs w:val="4"/>
          <w:u w:val="single"/>
        </w:rPr>
      </w:pPr>
    </w:p>
    <w:p w:rsidR="00C0329E" w:rsidRDefault="00C0329E" w:rsidP="00C0329E">
      <w:pPr>
        <w:tabs>
          <w:tab w:val="left" w:pos="284"/>
        </w:tabs>
        <w:spacing w:before="0" w:after="0"/>
        <w:rPr>
          <w:b/>
          <w:szCs w:val="22"/>
          <w:u w:val="single"/>
        </w:rPr>
      </w:pPr>
    </w:p>
    <w:p w:rsidR="00C0329E" w:rsidRDefault="00C0329E" w:rsidP="00C0329E">
      <w:pPr>
        <w:tabs>
          <w:tab w:val="left" w:pos="284"/>
        </w:tabs>
        <w:spacing w:before="0" w:after="0"/>
        <w:rPr>
          <w:b/>
          <w:szCs w:val="22"/>
          <w:u w:val="single"/>
        </w:rPr>
      </w:pPr>
    </w:p>
    <w:p w:rsidR="00C0329E" w:rsidRDefault="00C0329E" w:rsidP="00C0329E">
      <w:pPr>
        <w:tabs>
          <w:tab w:val="left" w:pos="284"/>
        </w:tabs>
        <w:spacing w:before="0" w:after="0"/>
        <w:rPr>
          <w:b/>
          <w:szCs w:val="22"/>
          <w:u w:val="single"/>
        </w:rPr>
      </w:pPr>
    </w:p>
    <w:p w:rsidR="00C0329E" w:rsidRDefault="00C0329E" w:rsidP="00C0329E">
      <w:pPr>
        <w:tabs>
          <w:tab w:val="left" w:pos="284"/>
        </w:tabs>
        <w:spacing w:before="0" w:after="0"/>
        <w:rPr>
          <w:b/>
          <w:szCs w:val="22"/>
          <w:u w:val="single"/>
        </w:rPr>
      </w:pPr>
      <w:r>
        <w:rPr>
          <w:b/>
          <w:szCs w:val="22"/>
          <w:u w:val="single"/>
        </w:rPr>
        <w:t xml:space="preserve">Ecole européenne de Bruxelles I – site Berkendael </w:t>
      </w:r>
    </w:p>
    <w:p w:rsidR="00C0329E" w:rsidRDefault="00C0329E" w:rsidP="00C0329E">
      <w:pPr>
        <w:tabs>
          <w:tab w:val="left" w:pos="284"/>
        </w:tabs>
        <w:spacing w:before="0" w:after="0"/>
        <w:rPr>
          <w:b/>
          <w:szCs w:val="22"/>
        </w:rPr>
      </w:pPr>
    </w:p>
    <w:p w:rsidR="00C0329E" w:rsidRPr="00D04398"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sidR="008633A3">
        <w:rPr>
          <w:b/>
          <w:szCs w:val="22"/>
        </w:rPr>
        <w:t>9</w:t>
      </w:r>
    </w:p>
    <w:p w:rsidR="00C0329E" w:rsidRDefault="00C0329E" w:rsidP="00C0329E">
      <w:pPr>
        <w:tabs>
          <w:tab w:val="left" w:pos="284"/>
        </w:tabs>
        <w:spacing w:before="0" w:after="0"/>
        <w:rPr>
          <w:b/>
          <w:szCs w:val="22"/>
          <w:u w:val="single"/>
        </w:rPr>
      </w:pPr>
    </w:p>
    <w:p w:rsidR="00C0329E" w:rsidRDefault="00B72A71" w:rsidP="00C0329E">
      <w:pPr>
        <w:tabs>
          <w:tab w:val="left" w:pos="284"/>
        </w:tabs>
        <w:spacing w:before="0" w:after="0"/>
        <w:rPr>
          <w:b/>
          <w:szCs w:val="22"/>
          <w:u w:val="single"/>
        </w:rPr>
      </w:pPr>
      <w:r w:rsidRPr="00B72A71">
        <w:rPr>
          <w:noProof/>
          <w:lang w:val="en-US" w:eastAsia="en-US"/>
        </w:rPr>
        <w:drawing>
          <wp:inline distT="0" distB="0" distL="0" distR="0">
            <wp:extent cx="3800475" cy="1847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0475" cy="1847850"/>
                    </a:xfrm>
                    <a:prstGeom prst="rect">
                      <a:avLst/>
                    </a:prstGeom>
                    <a:noFill/>
                    <a:ln>
                      <a:noFill/>
                    </a:ln>
                  </pic:spPr>
                </pic:pic>
              </a:graphicData>
            </a:graphic>
          </wp:inline>
        </w:drawing>
      </w:r>
    </w:p>
    <w:p w:rsidR="00C0329E" w:rsidRDefault="00C0329E" w:rsidP="00C0329E">
      <w:pPr>
        <w:spacing w:before="0" w:after="0"/>
        <w:jc w:val="left"/>
        <w:rPr>
          <w:b/>
          <w:szCs w:val="22"/>
          <w:u w:val="single"/>
        </w:rPr>
      </w:pPr>
      <w:r>
        <w:rPr>
          <w:b/>
          <w:szCs w:val="22"/>
          <w:u w:val="single"/>
        </w:rPr>
        <w:br w:type="page"/>
      </w:r>
    </w:p>
    <w:p w:rsidR="00B72A71" w:rsidRDefault="00B72A71" w:rsidP="00C0329E">
      <w:pPr>
        <w:tabs>
          <w:tab w:val="left" w:pos="284"/>
        </w:tabs>
        <w:spacing w:before="0" w:after="0"/>
        <w:rPr>
          <w:b/>
          <w:szCs w:val="22"/>
          <w:u w:val="single"/>
        </w:rPr>
      </w:pPr>
    </w:p>
    <w:p w:rsidR="00C0329E" w:rsidRDefault="00C0329E" w:rsidP="00C0329E">
      <w:pPr>
        <w:tabs>
          <w:tab w:val="left" w:pos="284"/>
        </w:tabs>
        <w:spacing w:before="0" w:after="0"/>
        <w:rPr>
          <w:b/>
          <w:szCs w:val="22"/>
          <w:u w:val="single"/>
        </w:rPr>
      </w:pPr>
      <w:r>
        <w:rPr>
          <w:b/>
          <w:szCs w:val="22"/>
          <w:u w:val="single"/>
        </w:rPr>
        <w:t xml:space="preserve">Ecole européenne de Bruxelles II </w:t>
      </w:r>
    </w:p>
    <w:p w:rsidR="00C0329E" w:rsidRDefault="00C0329E" w:rsidP="00C0329E">
      <w:pPr>
        <w:tabs>
          <w:tab w:val="left" w:pos="284"/>
        </w:tabs>
        <w:spacing w:before="0" w:after="0"/>
        <w:rPr>
          <w:b/>
          <w:szCs w:val="22"/>
        </w:rPr>
      </w:pPr>
    </w:p>
    <w:p w:rsidR="00C0329E"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sidR="008633A3">
        <w:rPr>
          <w:b/>
          <w:szCs w:val="22"/>
        </w:rPr>
        <w:t>9</w:t>
      </w:r>
    </w:p>
    <w:p w:rsidR="00C0329E" w:rsidRDefault="00C0329E" w:rsidP="00C0329E">
      <w:pPr>
        <w:tabs>
          <w:tab w:val="left" w:pos="284"/>
        </w:tabs>
        <w:spacing w:before="0" w:after="0"/>
        <w:rPr>
          <w:b/>
          <w:szCs w:val="22"/>
        </w:rPr>
      </w:pPr>
    </w:p>
    <w:p w:rsidR="00C0329E" w:rsidRDefault="00B72A71" w:rsidP="00C0329E">
      <w:pPr>
        <w:tabs>
          <w:tab w:val="left" w:pos="284"/>
        </w:tabs>
        <w:rPr>
          <w:b/>
          <w:szCs w:val="22"/>
        </w:rPr>
      </w:pPr>
      <w:r w:rsidRPr="00B72A71">
        <w:rPr>
          <w:noProof/>
          <w:lang w:val="en-US" w:eastAsia="en-US"/>
        </w:rPr>
        <w:drawing>
          <wp:inline distT="0" distB="0" distL="0" distR="0">
            <wp:extent cx="4162425" cy="3162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62425" cy="3162300"/>
                    </a:xfrm>
                    <a:prstGeom prst="rect">
                      <a:avLst/>
                    </a:prstGeom>
                    <a:noFill/>
                    <a:ln>
                      <a:noFill/>
                    </a:ln>
                  </pic:spPr>
                </pic:pic>
              </a:graphicData>
            </a:graphic>
          </wp:inline>
        </w:drawing>
      </w:r>
    </w:p>
    <w:p w:rsidR="00C0329E" w:rsidRDefault="00C0329E" w:rsidP="00C0329E">
      <w:pPr>
        <w:tabs>
          <w:tab w:val="left" w:pos="284"/>
        </w:tabs>
        <w:rPr>
          <w:b/>
          <w:szCs w:val="22"/>
        </w:rPr>
      </w:pPr>
    </w:p>
    <w:p w:rsidR="00C0329E" w:rsidRDefault="00C0329E" w:rsidP="00C0329E">
      <w:pPr>
        <w:tabs>
          <w:tab w:val="left" w:pos="284"/>
        </w:tabs>
        <w:rPr>
          <w:b/>
          <w:szCs w:val="22"/>
        </w:rPr>
      </w:pPr>
    </w:p>
    <w:p w:rsidR="00C0329E" w:rsidRDefault="00C0329E" w:rsidP="00C0329E">
      <w:pPr>
        <w:tabs>
          <w:tab w:val="left" w:pos="284"/>
        </w:tabs>
        <w:rPr>
          <w:b/>
          <w:szCs w:val="22"/>
          <w:u w:val="single"/>
        </w:rPr>
      </w:pPr>
      <w:r>
        <w:rPr>
          <w:b/>
          <w:szCs w:val="22"/>
          <w:u w:val="single"/>
        </w:rPr>
        <w:t xml:space="preserve">Ecole européenne de Bruxelles III </w:t>
      </w:r>
    </w:p>
    <w:p w:rsidR="00C0329E" w:rsidRDefault="00C0329E" w:rsidP="00C0329E">
      <w:pPr>
        <w:tabs>
          <w:tab w:val="left" w:pos="284"/>
        </w:tabs>
        <w:spacing w:before="0" w:after="0"/>
        <w:rPr>
          <w:b/>
          <w:szCs w:val="22"/>
        </w:rPr>
      </w:pPr>
    </w:p>
    <w:p w:rsidR="00C0329E"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sidR="008633A3">
        <w:rPr>
          <w:b/>
          <w:szCs w:val="22"/>
        </w:rPr>
        <w:t>9</w:t>
      </w:r>
    </w:p>
    <w:p w:rsidR="00C0329E" w:rsidRPr="00D04398" w:rsidRDefault="00C0329E" w:rsidP="00C0329E">
      <w:pPr>
        <w:tabs>
          <w:tab w:val="left" w:pos="284"/>
        </w:tabs>
        <w:spacing w:before="0" w:after="0"/>
        <w:rPr>
          <w:b/>
          <w:szCs w:val="22"/>
        </w:rPr>
      </w:pPr>
    </w:p>
    <w:p w:rsidR="00C0329E" w:rsidRDefault="00B72A71" w:rsidP="00C0329E">
      <w:pPr>
        <w:tabs>
          <w:tab w:val="left" w:pos="284"/>
        </w:tabs>
        <w:spacing w:before="0" w:after="0"/>
        <w:rPr>
          <w:b/>
          <w:szCs w:val="22"/>
        </w:rPr>
      </w:pPr>
      <w:r w:rsidRPr="00B72A71">
        <w:rPr>
          <w:noProof/>
          <w:lang w:val="en-US" w:eastAsia="en-US"/>
        </w:rPr>
        <w:drawing>
          <wp:inline distT="0" distB="0" distL="0" distR="0">
            <wp:extent cx="3429000" cy="3162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3162300"/>
                    </a:xfrm>
                    <a:prstGeom prst="rect">
                      <a:avLst/>
                    </a:prstGeom>
                    <a:noFill/>
                    <a:ln>
                      <a:noFill/>
                    </a:ln>
                  </pic:spPr>
                </pic:pic>
              </a:graphicData>
            </a:graphic>
          </wp:inline>
        </w:drawing>
      </w:r>
    </w:p>
    <w:p w:rsidR="00C0329E" w:rsidRDefault="00C0329E" w:rsidP="00C0329E">
      <w:pPr>
        <w:tabs>
          <w:tab w:val="left" w:pos="284"/>
        </w:tabs>
        <w:rPr>
          <w:b/>
          <w:szCs w:val="22"/>
        </w:rPr>
      </w:pPr>
    </w:p>
    <w:p w:rsidR="00C0329E" w:rsidRPr="005C442B" w:rsidRDefault="00C0329E" w:rsidP="00C0329E">
      <w:pPr>
        <w:tabs>
          <w:tab w:val="left" w:pos="284"/>
        </w:tabs>
        <w:spacing w:before="0" w:after="0"/>
        <w:rPr>
          <w:b/>
          <w:szCs w:val="22"/>
          <w:u w:val="single"/>
        </w:rPr>
      </w:pPr>
    </w:p>
    <w:p w:rsidR="00C0329E" w:rsidRDefault="00C0329E" w:rsidP="00C0329E">
      <w:pPr>
        <w:spacing w:before="0" w:after="0"/>
        <w:jc w:val="left"/>
        <w:rPr>
          <w:b/>
          <w:szCs w:val="22"/>
          <w:u w:val="single"/>
        </w:rPr>
      </w:pPr>
      <w:r>
        <w:rPr>
          <w:b/>
          <w:szCs w:val="22"/>
          <w:u w:val="single"/>
        </w:rPr>
        <w:br w:type="page"/>
      </w:r>
    </w:p>
    <w:p w:rsidR="00B72A71" w:rsidRDefault="00B72A71" w:rsidP="00C0329E">
      <w:pPr>
        <w:tabs>
          <w:tab w:val="left" w:pos="284"/>
        </w:tabs>
        <w:spacing w:before="0" w:after="0"/>
        <w:rPr>
          <w:b/>
          <w:szCs w:val="22"/>
          <w:u w:val="single"/>
        </w:rPr>
      </w:pPr>
    </w:p>
    <w:p w:rsidR="00C0329E" w:rsidRDefault="00C0329E" w:rsidP="00C0329E">
      <w:pPr>
        <w:tabs>
          <w:tab w:val="left" w:pos="284"/>
        </w:tabs>
        <w:spacing w:before="0" w:after="0"/>
        <w:rPr>
          <w:b/>
          <w:szCs w:val="22"/>
          <w:u w:val="single"/>
        </w:rPr>
      </w:pPr>
      <w:r>
        <w:rPr>
          <w:b/>
          <w:szCs w:val="22"/>
          <w:u w:val="single"/>
        </w:rPr>
        <w:t>Ecole européenne de Bruxelles IV</w:t>
      </w:r>
    </w:p>
    <w:p w:rsidR="00C0329E" w:rsidRDefault="00C0329E" w:rsidP="00C0329E">
      <w:pPr>
        <w:tabs>
          <w:tab w:val="left" w:pos="284"/>
        </w:tabs>
        <w:spacing w:before="0" w:after="0"/>
        <w:rPr>
          <w:b/>
          <w:szCs w:val="22"/>
        </w:rPr>
      </w:pPr>
    </w:p>
    <w:p w:rsidR="00C0329E" w:rsidRDefault="00C0329E" w:rsidP="00C0329E">
      <w:pPr>
        <w:tabs>
          <w:tab w:val="left" w:pos="284"/>
        </w:tabs>
        <w:spacing w:before="0" w:after="0"/>
        <w:rPr>
          <w:b/>
          <w:szCs w:val="22"/>
        </w:rPr>
      </w:pPr>
      <w:r>
        <w:rPr>
          <w:b/>
          <w:szCs w:val="22"/>
        </w:rPr>
        <w:t xml:space="preserve">Population scolaire au 15 octobre </w:t>
      </w:r>
      <w:r w:rsidRPr="00D04398">
        <w:rPr>
          <w:b/>
          <w:szCs w:val="22"/>
        </w:rPr>
        <w:t>201</w:t>
      </w:r>
      <w:r w:rsidR="008633A3">
        <w:rPr>
          <w:b/>
          <w:szCs w:val="22"/>
        </w:rPr>
        <w:t>9</w:t>
      </w:r>
    </w:p>
    <w:p w:rsidR="00C0329E" w:rsidRDefault="00C0329E" w:rsidP="00C0329E">
      <w:pPr>
        <w:tabs>
          <w:tab w:val="left" w:pos="284"/>
        </w:tabs>
        <w:spacing w:before="0" w:after="0"/>
        <w:rPr>
          <w:b/>
          <w:szCs w:val="22"/>
        </w:rPr>
      </w:pPr>
    </w:p>
    <w:p w:rsidR="00C0329E" w:rsidRPr="00551947" w:rsidRDefault="00B72A71" w:rsidP="00C0329E">
      <w:pPr>
        <w:tabs>
          <w:tab w:val="left" w:pos="284"/>
        </w:tabs>
        <w:rPr>
          <w:noProof/>
          <w:lang w:val="fr-BE" w:eastAsia="zh-CN"/>
        </w:rPr>
      </w:pPr>
      <w:r w:rsidRPr="00B72A71">
        <w:rPr>
          <w:noProof/>
          <w:lang w:val="en-US" w:eastAsia="en-US"/>
        </w:rPr>
        <w:drawing>
          <wp:inline distT="0" distB="0" distL="0" distR="0">
            <wp:extent cx="3800475" cy="31527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0475" cy="3152775"/>
                    </a:xfrm>
                    <a:prstGeom prst="rect">
                      <a:avLst/>
                    </a:prstGeom>
                    <a:noFill/>
                    <a:ln>
                      <a:noFill/>
                    </a:ln>
                  </pic:spPr>
                </pic:pic>
              </a:graphicData>
            </a:graphic>
          </wp:inline>
        </w:drawing>
      </w:r>
    </w:p>
    <w:p w:rsidR="00C0329E" w:rsidRDefault="00C0329E" w:rsidP="00C0329E">
      <w:pPr>
        <w:spacing w:before="0" w:after="0"/>
        <w:jc w:val="left"/>
        <w:rPr>
          <w:b/>
          <w:szCs w:val="22"/>
        </w:rPr>
      </w:pPr>
    </w:p>
    <w:p w:rsidR="00201150" w:rsidRDefault="00201150">
      <w:pPr>
        <w:spacing w:before="0" w:after="0"/>
        <w:jc w:val="left"/>
        <w:rPr>
          <w:b/>
          <w:sz w:val="24"/>
          <w:szCs w:val="24"/>
          <w:u w:val="single"/>
          <w:lang w:val="fr-BE"/>
        </w:rPr>
        <w:sectPr w:rsidR="00201150" w:rsidSect="00CD122B">
          <w:headerReference w:type="first" r:id="rId25"/>
          <w:pgSz w:w="11906" w:h="16838"/>
          <w:pgMar w:top="1021" w:right="1701" w:bottom="1021" w:left="1134" w:header="601" w:footer="1077" w:gutter="0"/>
          <w:cols w:space="720"/>
          <w:titlePg/>
        </w:sectPr>
      </w:pPr>
    </w:p>
    <w:p w:rsidR="006B2350" w:rsidRDefault="006B2350" w:rsidP="00441BCC">
      <w:pPr>
        <w:spacing w:before="0" w:after="0"/>
        <w:jc w:val="left"/>
        <w:rPr>
          <w:b/>
          <w:sz w:val="24"/>
          <w:szCs w:val="24"/>
          <w:u w:val="single"/>
          <w:lang w:val="fr-BE"/>
        </w:rPr>
      </w:pPr>
      <w:r>
        <w:rPr>
          <w:b/>
          <w:sz w:val="24"/>
          <w:szCs w:val="24"/>
          <w:u w:val="single"/>
          <w:lang w:val="fr-BE"/>
        </w:rPr>
        <w:lastRenderedPageBreak/>
        <w:t>A</w:t>
      </w:r>
      <w:r w:rsidR="00B47909">
        <w:rPr>
          <w:b/>
          <w:sz w:val="24"/>
          <w:szCs w:val="24"/>
          <w:u w:val="single"/>
          <w:lang w:val="fr-BE"/>
        </w:rPr>
        <w:t>NNEXE</w:t>
      </w:r>
      <w:r>
        <w:rPr>
          <w:b/>
          <w:sz w:val="24"/>
          <w:szCs w:val="24"/>
          <w:u w:val="single"/>
          <w:lang w:val="fr-BE"/>
        </w:rPr>
        <w:t xml:space="preserve"> II</w:t>
      </w:r>
      <w:r w:rsidRPr="00B47909">
        <w:rPr>
          <w:b/>
          <w:sz w:val="24"/>
          <w:szCs w:val="24"/>
          <w:lang w:val="fr-BE"/>
        </w:rPr>
        <w:t> </w:t>
      </w:r>
    </w:p>
    <w:p w:rsidR="00B744F3" w:rsidRDefault="00B744F3" w:rsidP="00C0329E">
      <w:pPr>
        <w:spacing w:before="240" w:after="0"/>
        <w:jc w:val="left"/>
        <w:rPr>
          <w:b/>
          <w:sz w:val="24"/>
          <w:szCs w:val="24"/>
          <w:u w:val="single"/>
          <w:lang w:val="fr-BE"/>
        </w:rPr>
      </w:pPr>
      <w:r w:rsidRPr="00B744F3">
        <w:rPr>
          <w:b/>
          <w:sz w:val="24"/>
          <w:szCs w:val="24"/>
          <w:u w:val="single"/>
          <w:lang w:val="fr-BE"/>
        </w:rPr>
        <w:t>Propositions de lignes directrices pour la politique d’inscription 20</w:t>
      </w:r>
      <w:r w:rsidR="00BF0DC1">
        <w:rPr>
          <w:b/>
          <w:sz w:val="24"/>
          <w:szCs w:val="24"/>
          <w:u w:val="single"/>
          <w:lang w:val="fr-BE"/>
        </w:rPr>
        <w:t>20</w:t>
      </w:r>
      <w:r w:rsidRPr="00B744F3">
        <w:rPr>
          <w:b/>
          <w:sz w:val="24"/>
          <w:szCs w:val="24"/>
          <w:u w:val="single"/>
          <w:lang w:val="fr-BE"/>
        </w:rPr>
        <w:t>-20</w:t>
      </w:r>
      <w:r w:rsidR="007A40F5">
        <w:rPr>
          <w:b/>
          <w:sz w:val="24"/>
          <w:szCs w:val="24"/>
          <w:u w:val="single"/>
          <w:lang w:val="fr-BE"/>
        </w:rPr>
        <w:t>2</w:t>
      </w:r>
      <w:r w:rsidR="00BF0DC1">
        <w:rPr>
          <w:b/>
          <w:sz w:val="24"/>
          <w:szCs w:val="24"/>
          <w:u w:val="single"/>
          <w:lang w:val="fr-BE"/>
        </w:rPr>
        <w:t>1</w:t>
      </w:r>
    </w:p>
    <w:p w:rsidR="0006126A" w:rsidRDefault="0006126A" w:rsidP="00B744F3">
      <w:pPr>
        <w:tabs>
          <w:tab w:val="left" w:pos="284"/>
        </w:tabs>
        <w:jc w:val="left"/>
        <w:rPr>
          <w:b/>
          <w:sz w:val="24"/>
          <w:szCs w:val="24"/>
          <w:u w:val="single"/>
          <w:lang w:val="fr-BE"/>
        </w:rPr>
      </w:pPr>
    </w:p>
    <w:p w:rsidR="002A2F54" w:rsidRDefault="002A2F54" w:rsidP="002A2F54">
      <w:pPr>
        <w:rPr>
          <w:rFonts w:cs="Arial"/>
          <w:b/>
          <w:color w:val="000000" w:themeColor="text1"/>
          <w:szCs w:val="22"/>
          <w:lang w:val="fr-BE"/>
        </w:rPr>
      </w:pPr>
      <w:r>
        <w:rPr>
          <w:rFonts w:cs="Arial"/>
          <w:b/>
          <w:color w:val="000000" w:themeColor="text1"/>
          <w:szCs w:val="22"/>
          <w:lang w:val="fr-BE"/>
        </w:rPr>
        <w:t>Considérant que :</w:t>
      </w:r>
    </w:p>
    <w:p w:rsidR="00080C84" w:rsidRDefault="00080C84" w:rsidP="00080C84">
      <w:pPr>
        <w:rPr>
          <w:rFonts w:cs="Arial"/>
          <w:b/>
          <w:color w:val="000000" w:themeColor="text1"/>
          <w:szCs w:val="22"/>
          <w:lang w:val="fr-BE"/>
        </w:rPr>
      </w:pPr>
    </w:p>
    <w:p w:rsidR="00080C84" w:rsidRDefault="00080C84" w:rsidP="00080C84">
      <w:pPr>
        <w:numPr>
          <w:ilvl w:val="0"/>
          <w:numId w:val="25"/>
        </w:numPr>
        <w:spacing w:before="0" w:after="0"/>
        <w:jc w:val="left"/>
        <w:rPr>
          <w:rFonts w:cs="Arial"/>
          <w:color w:val="000000" w:themeColor="text1"/>
          <w:szCs w:val="22"/>
          <w:u w:val="single"/>
          <w:lang w:val="fr-BE"/>
        </w:rPr>
      </w:pPr>
      <w:r>
        <w:rPr>
          <w:rFonts w:cs="Arial"/>
          <w:color w:val="000000" w:themeColor="text1"/>
          <w:szCs w:val="22"/>
          <w:u w:val="single"/>
          <w:lang w:val="fr-BE"/>
        </w:rPr>
        <w:t>Population scolaire</w:t>
      </w:r>
    </w:p>
    <w:p w:rsidR="00080C84" w:rsidRDefault="00080C84" w:rsidP="00080C84">
      <w:pPr>
        <w:spacing w:before="0" w:after="0"/>
        <w:rPr>
          <w:rFonts w:cs="Arial"/>
          <w:color w:val="000000" w:themeColor="text1"/>
          <w:szCs w:val="22"/>
          <w:lang w:val="fr-BE"/>
        </w:rPr>
      </w:pPr>
    </w:p>
    <w:p w:rsidR="00080C84" w:rsidRDefault="00080C84" w:rsidP="00080C84">
      <w:pPr>
        <w:spacing w:before="0" w:line="276" w:lineRule="auto"/>
        <w:rPr>
          <w:rFonts w:cs="Arial"/>
          <w:color w:val="000000" w:themeColor="text1"/>
          <w:szCs w:val="22"/>
          <w:lang w:val="fr-BE"/>
        </w:rPr>
      </w:pPr>
      <w:r>
        <w:rPr>
          <w:rFonts w:cs="Arial"/>
          <w:color w:val="000000" w:themeColor="text1"/>
          <w:szCs w:val="22"/>
          <w:lang w:val="fr-BE"/>
        </w:rPr>
        <w:t>Sur la base des statistiques actuellement en possession de l’Autorité centrale des inscriptions, force est de constater – comme les années antérieures – que la population scolaire des Ecoles européennes de Bruxelles continue d’augmenter, tandis que les infrastructures demeurent inchangées, ce qui implique un impact de plus en plus contraignant en termes de ressources et de logistique.</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Ainsi, la croissance de la population scolaire globale des Ecoles européennes de Bruxelles continue d’exercer une pression sur les infrastructures </w:t>
      </w:r>
      <w:r>
        <w:rPr>
          <w:rFonts w:cs="Arial"/>
          <w:color w:val="FF0000"/>
          <w:szCs w:val="22"/>
          <w:lang w:val="fr-BE"/>
        </w:rPr>
        <w:t>:</w:t>
      </w:r>
      <w:r>
        <w:rPr>
          <w:rFonts w:cs="Arial"/>
          <w:color w:val="000000" w:themeColor="text1"/>
          <w:szCs w:val="22"/>
          <w:lang w:val="fr-BE"/>
        </w:rPr>
        <w:t xml:space="preserve"> si la croissance du nombre d’élèves nouvellement inscrits s’était légèrement tassée lors de la rentrée de septembre 2018 (</w:t>
      </w:r>
      <w:r>
        <w:rPr>
          <w:rFonts w:cs="Arial"/>
          <w:szCs w:val="22"/>
          <w:lang w:val="fr-BE"/>
        </w:rPr>
        <w:t>267</w:t>
      </w:r>
      <w:r>
        <w:rPr>
          <w:rFonts w:cs="Arial"/>
          <w:b/>
          <w:color w:val="FF0000"/>
          <w:szCs w:val="22"/>
          <w:lang w:val="fr-BE"/>
        </w:rPr>
        <w:t xml:space="preserve"> </w:t>
      </w:r>
      <w:r>
        <w:rPr>
          <w:rFonts w:cs="Arial"/>
          <w:color w:val="000000" w:themeColor="text1"/>
          <w:szCs w:val="22"/>
          <w:lang w:val="fr-BE"/>
        </w:rPr>
        <w:t xml:space="preserve">élèves supplémentaires représentant une croissance de 2,10% de la population globale), le nombre d’élèves supplémentaires inscrits au 15 octobre </w:t>
      </w:r>
      <w:r>
        <w:rPr>
          <w:rFonts w:cs="Arial"/>
          <w:szCs w:val="22"/>
          <w:lang w:val="fr-BE"/>
        </w:rPr>
        <w:t xml:space="preserve">2019 par rapport à 2018 (472 nouveaux élèves supplémentaires représentant une croissance de 3,64% de la population globale), est  supérieur à  la croissance moyenne observée les années </w:t>
      </w:r>
      <w:r>
        <w:rPr>
          <w:rFonts w:cs="Arial"/>
          <w:color w:val="000000" w:themeColor="text1"/>
          <w:szCs w:val="22"/>
          <w:lang w:val="fr-BE"/>
        </w:rPr>
        <w:t xml:space="preserve">antérieures (environ 400 nouveaux élèves supplémentaires par an). </w:t>
      </w:r>
    </w:p>
    <w:p w:rsidR="00080C84" w:rsidRDefault="00080C84" w:rsidP="00080C84">
      <w:pPr>
        <w:spacing w:before="240" w:line="276" w:lineRule="auto"/>
        <w:rPr>
          <w:rFonts w:cs="Arial"/>
          <w:color w:val="000000" w:themeColor="text1"/>
          <w:szCs w:val="22"/>
          <w:lang w:val="fr-BE"/>
        </w:rPr>
      </w:pPr>
      <w:r>
        <w:rPr>
          <w:rFonts w:cs="Arial"/>
          <w:color w:val="000000" w:themeColor="text1"/>
          <w:szCs w:val="22"/>
          <w:lang w:val="fr-BE"/>
        </w:rPr>
        <w:t xml:space="preserve">Cette </w:t>
      </w:r>
      <w:r>
        <w:rPr>
          <w:rFonts w:cs="Arial"/>
          <w:szCs w:val="22"/>
          <w:lang w:val="fr-BE"/>
        </w:rPr>
        <w:t>croissance</w:t>
      </w:r>
      <w:r>
        <w:rPr>
          <w:rFonts w:cs="Arial"/>
          <w:b/>
          <w:color w:val="FF0000"/>
          <w:szCs w:val="22"/>
          <w:lang w:val="fr-BE"/>
        </w:rPr>
        <w:t xml:space="preserve"> </w:t>
      </w:r>
      <w:r>
        <w:rPr>
          <w:rFonts w:cs="Arial"/>
          <w:color w:val="000000" w:themeColor="text1"/>
          <w:szCs w:val="22"/>
          <w:lang w:val="fr-BE"/>
        </w:rPr>
        <w:t>est constante, la population scolaire globale ayant évolué comme suit :</w:t>
      </w:r>
    </w:p>
    <w:p w:rsidR="00080C84" w:rsidRDefault="00080C84" w:rsidP="00080C84">
      <w:pPr>
        <w:spacing w:line="276" w:lineRule="auto"/>
        <w:rPr>
          <w:rFonts w:cs="Arial"/>
          <w:color w:val="000000" w:themeColor="text1"/>
          <w:sz w:val="26"/>
          <w:szCs w:val="26"/>
          <w:lang w:val="fr-BE"/>
        </w:rPr>
      </w:pPr>
      <w:r>
        <w:rPr>
          <w:noProof/>
          <w:lang w:val="en-US" w:eastAsia="en-US"/>
        </w:rPr>
        <w:drawing>
          <wp:inline distT="0" distB="0" distL="0" distR="0">
            <wp:extent cx="6105525" cy="227647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80C84" w:rsidRDefault="00080C84" w:rsidP="00080C84">
      <w:pPr>
        <w:spacing w:before="0" w:line="276" w:lineRule="auto"/>
        <w:rPr>
          <w:rFonts w:cs="Arial"/>
          <w:b/>
          <w:color w:val="000000" w:themeColor="text1"/>
          <w:szCs w:val="22"/>
          <w:lang w:val="fr-BE"/>
        </w:rPr>
      </w:pPr>
    </w:p>
    <w:p w:rsidR="00080C84" w:rsidRDefault="00080C84" w:rsidP="00080C84">
      <w:pPr>
        <w:spacing w:before="0" w:line="276" w:lineRule="auto"/>
        <w:rPr>
          <w:rFonts w:cs="Arial"/>
          <w:b/>
          <w:color w:val="000000" w:themeColor="text1"/>
          <w:sz w:val="26"/>
          <w:szCs w:val="26"/>
          <w:lang w:val="fr-BE"/>
        </w:rPr>
      </w:pPr>
      <w:r>
        <w:rPr>
          <w:rFonts w:cs="Arial"/>
          <w:b/>
          <w:color w:val="000000" w:themeColor="text1"/>
          <w:szCs w:val="22"/>
          <w:lang w:val="fr-BE"/>
        </w:rPr>
        <w:t>Augmentation </w:t>
      </w:r>
      <w:r>
        <w:rPr>
          <w:rFonts w:cs="Arial"/>
          <w:b/>
          <w:color w:val="000000" w:themeColor="text1"/>
          <w:sz w:val="26"/>
          <w:szCs w:val="26"/>
          <w:lang w:val="fr-BE"/>
        </w:rPr>
        <w:t>:</w:t>
      </w:r>
    </w:p>
    <w:tbl>
      <w:tblPr>
        <w:tblStyle w:val="TableGrid"/>
        <w:tblW w:w="8937" w:type="dxa"/>
        <w:tblInd w:w="-5" w:type="dxa"/>
        <w:tblLook w:val="04A0" w:firstRow="1" w:lastRow="0" w:firstColumn="1" w:lastColumn="0" w:noHBand="0" w:noVBand="1"/>
      </w:tblPr>
      <w:tblGrid>
        <w:gridCol w:w="1276"/>
        <w:gridCol w:w="1276"/>
        <w:gridCol w:w="1277"/>
        <w:gridCol w:w="1277"/>
        <w:gridCol w:w="1277"/>
        <w:gridCol w:w="1277"/>
        <w:gridCol w:w="1277"/>
      </w:tblGrid>
      <w:tr w:rsidR="00080C84" w:rsidTr="00080C84">
        <w:trPr>
          <w:trHeight w:val="395"/>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80C84" w:rsidRDefault="00080C8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2012-2013 à 2013-2014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80C84" w:rsidRDefault="00080C8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2013-2014 à 2014-2015</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80C84" w:rsidRDefault="00080C8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2014-2015 à 2015-2016</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80C84" w:rsidRDefault="00080C8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2015-2016 à 2016-2017</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80C84" w:rsidRDefault="00080C8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2016-2017 à 2017-2018</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80C84" w:rsidRDefault="00080C8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2017-2018 à 2018-2019</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80C84" w:rsidRDefault="00080C84">
            <w:pPr>
              <w:spacing w:before="40" w:after="0" w:line="276" w:lineRule="auto"/>
              <w:jc w:val="center"/>
              <w:rPr>
                <w:rFonts w:cs="Arial"/>
                <w:b/>
                <w:color w:val="000000" w:themeColor="text1"/>
                <w:sz w:val="16"/>
                <w:szCs w:val="16"/>
                <w:lang w:val="fr-BE"/>
              </w:rPr>
            </w:pPr>
            <w:r>
              <w:rPr>
                <w:rFonts w:cs="Arial"/>
                <w:b/>
                <w:color w:val="000000" w:themeColor="text1"/>
                <w:sz w:val="16"/>
                <w:szCs w:val="16"/>
                <w:lang w:val="fr-BE"/>
              </w:rPr>
              <w:t>de 2018-2019 à 2019-2020</w:t>
            </w:r>
          </w:p>
        </w:tc>
      </w:tr>
      <w:tr w:rsidR="00080C84" w:rsidTr="00080C84">
        <w:tc>
          <w:tcPr>
            <w:tcW w:w="1276" w:type="dxa"/>
            <w:tcBorders>
              <w:top w:val="single" w:sz="4" w:space="0" w:color="auto"/>
              <w:left w:val="single" w:sz="4" w:space="0" w:color="auto"/>
              <w:bottom w:val="single" w:sz="4" w:space="0" w:color="auto"/>
              <w:right w:val="single" w:sz="4" w:space="0" w:color="auto"/>
            </w:tcBorders>
            <w:hideMark/>
          </w:tcPr>
          <w:p w:rsidR="00080C84" w:rsidRDefault="00080C84">
            <w:pPr>
              <w:spacing w:before="40" w:after="40" w:line="276" w:lineRule="auto"/>
              <w:jc w:val="center"/>
              <w:rPr>
                <w:rFonts w:cs="Arial"/>
                <w:szCs w:val="22"/>
                <w:lang w:val="fr-BE"/>
              </w:rPr>
            </w:pPr>
            <w:r>
              <w:rPr>
                <w:rFonts w:cs="Arial"/>
                <w:szCs w:val="22"/>
                <w:lang w:val="fr-BE"/>
              </w:rPr>
              <w:t>371</w:t>
            </w:r>
          </w:p>
        </w:tc>
        <w:tc>
          <w:tcPr>
            <w:tcW w:w="1276" w:type="dxa"/>
            <w:tcBorders>
              <w:top w:val="single" w:sz="4" w:space="0" w:color="auto"/>
              <w:left w:val="single" w:sz="4" w:space="0" w:color="auto"/>
              <w:bottom w:val="single" w:sz="4" w:space="0" w:color="auto"/>
              <w:right w:val="single" w:sz="4" w:space="0" w:color="auto"/>
            </w:tcBorders>
            <w:hideMark/>
          </w:tcPr>
          <w:p w:rsidR="00080C84" w:rsidRDefault="00080C84">
            <w:pPr>
              <w:spacing w:before="40" w:after="40" w:line="276" w:lineRule="auto"/>
              <w:jc w:val="center"/>
              <w:rPr>
                <w:rFonts w:cs="Arial"/>
                <w:szCs w:val="22"/>
                <w:lang w:val="fr-BE"/>
              </w:rPr>
            </w:pPr>
            <w:r>
              <w:rPr>
                <w:rFonts w:cs="Arial"/>
                <w:szCs w:val="22"/>
                <w:lang w:val="fr-BE"/>
              </w:rPr>
              <w:t>429</w:t>
            </w:r>
          </w:p>
        </w:tc>
        <w:tc>
          <w:tcPr>
            <w:tcW w:w="1277" w:type="dxa"/>
            <w:tcBorders>
              <w:top w:val="single" w:sz="4" w:space="0" w:color="auto"/>
              <w:left w:val="single" w:sz="4" w:space="0" w:color="auto"/>
              <w:bottom w:val="single" w:sz="4" w:space="0" w:color="auto"/>
              <w:right w:val="single" w:sz="4" w:space="0" w:color="auto"/>
            </w:tcBorders>
            <w:hideMark/>
          </w:tcPr>
          <w:p w:rsidR="00080C84" w:rsidRDefault="00080C84">
            <w:pPr>
              <w:spacing w:before="40" w:after="40" w:line="276" w:lineRule="auto"/>
              <w:jc w:val="center"/>
              <w:rPr>
                <w:rFonts w:cs="Arial"/>
                <w:szCs w:val="22"/>
                <w:lang w:val="fr-BE"/>
              </w:rPr>
            </w:pPr>
            <w:r>
              <w:rPr>
                <w:rFonts w:cs="Arial"/>
                <w:szCs w:val="22"/>
                <w:lang w:val="fr-BE"/>
              </w:rPr>
              <w:t>479</w:t>
            </w:r>
          </w:p>
        </w:tc>
        <w:tc>
          <w:tcPr>
            <w:tcW w:w="1277" w:type="dxa"/>
            <w:tcBorders>
              <w:top w:val="single" w:sz="4" w:space="0" w:color="auto"/>
              <w:left w:val="single" w:sz="4" w:space="0" w:color="auto"/>
              <w:bottom w:val="single" w:sz="4" w:space="0" w:color="auto"/>
              <w:right w:val="single" w:sz="4" w:space="0" w:color="auto"/>
            </w:tcBorders>
            <w:hideMark/>
          </w:tcPr>
          <w:p w:rsidR="00080C84" w:rsidRDefault="00080C84">
            <w:pPr>
              <w:spacing w:before="40" w:after="40" w:line="276" w:lineRule="auto"/>
              <w:jc w:val="center"/>
              <w:rPr>
                <w:rFonts w:cs="Arial"/>
                <w:szCs w:val="22"/>
                <w:lang w:val="fr-BE"/>
              </w:rPr>
            </w:pPr>
            <w:r>
              <w:rPr>
                <w:rFonts w:cs="Arial"/>
                <w:szCs w:val="22"/>
                <w:lang w:val="fr-BE"/>
              </w:rPr>
              <w:t>424</w:t>
            </w:r>
          </w:p>
        </w:tc>
        <w:tc>
          <w:tcPr>
            <w:tcW w:w="1277" w:type="dxa"/>
            <w:tcBorders>
              <w:top w:val="single" w:sz="4" w:space="0" w:color="auto"/>
              <w:left w:val="single" w:sz="4" w:space="0" w:color="auto"/>
              <w:bottom w:val="single" w:sz="4" w:space="0" w:color="auto"/>
              <w:right w:val="single" w:sz="4" w:space="0" w:color="auto"/>
            </w:tcBorders>
            <w:hideMark/>
          </w:tcPr>
          <w:p w:rsidR="00080C84" w:rsidRDefault="00080C84">
            <w:pPr>
              <w:spacing w:before="40" w:after="40" w:line="276" w:lineRule="auto"/>
              <w:jc w:val="center"/>
              <w:rPr>
                <w:rFonts w:cs="Arial"/>
                <w:szCs w:val="22"/>
                <w:lang w:val="fr-BE"/>
              </w:rPr>
            </w:pPr>
            <w:r>
              <w:rPr>
                <w:rFonts w:cs="Arial"/>
                <w:szCs w:val="22"/>
                <w:lang w:val="fr-BE"/>
              </w:rPr>
              <w:t>382</w:t>
            </w:r>
          </w:p>
        </w:tc>
        <w:tc>
          <w:tcPr>
            <w:tcW w:w="1277" w:type="dxa"/>
            <w:tcBorders>
              <w:top w:val="single" w:sz="4" w:space="0" w:color="auto"/>
              <w:left w:val="single" w:sz="4" w:space="0" w:color="auto"/>
              <w:bottom w:val="single" w:sz="4" w:space="0" w:color="auto"/>
              <w:right w:val="single" w:sz="4" w:space="0" w:color="auto"/>
            </w:tcBorders>
            <w:hideMark/>
          </w:tcPr>
          <w:p w:rsidR="00080C84" w:rsidRDefault="00080C84">
            <w:pPr>
              <w:spacing w:before="40" w:after="40" w:line="276" w:lineRule="auto"/>
              <w:jc w:val="center"/>
              <w:rPr>
                <w:rFonts w:cs="Arial"/>
                <w:szCs w:val="22"/>
                <w:lang w:val="fr-BE"/>
              </w:rPr>
            </w:pPr>
            <w:r>
              <w:rPr>
                <w:rFonts w:cs="Arial"/>
                <w:szCs w:val="22"/>
                <w:lang w:val="fr-BE"/>
              </w:rPr>
              <w:t>267</w:t>
            </w:r>
          </w:p>
        </w:tc>
        <w:tc>
          <w:tcPr>
            <w:tcW w:w="1277" w:type="dxa"/>
            <w:tcBorders>
              <w:top w:val="single" w:sz="4" w:space="0" w:color="auto"/>
              <w:left w:val="single" w:sz="4" w:space="0" w:color="auto"/>
              <w:bottom w:val="single" w:sz="4" w:space="0" w:color="auto"/>
              <w:right w:val="single" w:sz="4" w:space="0" w:color="auto"/>
            </w:tcBorders>
            <w:hideMark/>
          </w:tcPr>
          <w:p w:rsidR="00080C84" w:rsidRDefault="00080C84">
            <w:pPr>
              <w:spacing w:before="40" w:after="40" w:line="276" w:lineRule="auto"/>
              <w:jc w:val="center"/>
              <w:rPr>
                <w:rFonts w:cs="Arial"/>
                <w:szCs w:val="22"/>
                <w:lang w:val="fr-BE"/>
              </w:rPr>
            </w:pPr>
            <w:r>
              <w:rPr>
                <w:rFonts w:cs="Arial"/>
                <w:szCs w:val="22"/>
                <w:lang w:val="fr-BE"/>
              </w:rPr>
              <w:t>472</w:t>
            </w:r>
          </w:p>
        </w:tc>
      </w:tr>
    </w:tbl>
    <w:p w:rsidR="00080C84" w:rsidRDefault="00080C84" w:rsidP="00080C84">
      <w:pPr>
        <w:spacing w:before="0" w:after="0" w:line="276" w:lineRule="auto"/>
        <w:rPr>
          <w:rFonts w:cs="Arial"/>
          <w:sz w:val="16"/>
          <w:szCs w:val="16"/>
          <w:lang w:val="fr-BE"/>
        </w:rPr>
      </w:pPr>
    </w:p>
    <w:p w:rsidR="00080C84" w:rsidRDefault="00080C84" w:rsidP="00080C84">
      <w:pPr>
        <w:spacing w:line="276" w:lineRule="auto"/>
        <w:rPr>
          <w:rFonts w:cs="Arial"/>
          <w:szCs w:val="22"/>
          <w:lang w:val="fr-BE"/>
        </w:rPr>
      </w:pPr>
      <w:r>
        <w:rPr>
          <w:rFonts w:cs="Arial"/>
          <w:szCs w:val="22"/>
          <w:lang w:val="fr-BE"/>
        </w:rPr>
        <w:t xml:space="preserve">La croissance toutefois s’observe de manière différenciée en fonction des cycles d’études et des Ecoles/sites. Ainsi, si la surpopulation s’exerce toujours au cycle primaire, elle est plus particulièrement </w:t>
      </w:r>
      <w:r w:rsidR="002246CA">
        <w:rPr>
          <w:rFonts w:cs="Arial"/>
          <w:szCs w:val="22"/>
          <w:lang w:val="fr-BE"/>
        </w:rPr>
        <w:t>marquée au cycle secondaire (338</w:t>
      </w:r>
      <w:bookmarkStart w:id="1" w:name="_GoBack"/>
      <w:bookmarkEnd w:id="1"/>
      <w:r>
        <w:rPr>
          <w:rFonts w:cs="Arial"/>
          <w:szCs w:val="22"/>
          <w:lang w:val="fr-BE"/>
        </w:rPr>
        <w:t xml:space="preserve"> nouveaux élèves inscrits). </w:t>
      </w:r>
    </w:p>
    <w:p w:rsidR="00080C84" w:rsidRDefault="00080C84" w:rsidP="00080C84">
      <w:pPr>
        <w:spacing w:line="276" w:lineRule="auto"/>
        <w:rPr>
          <w:rFonts w:cs="Arial"/>
          <w:color w:val="000000" w:themeColor="text1"/>
          <w:sz w:val="26"/>
          <w:szCs w:val="26"/>
          <w:lang w:val="fr-BE"/>
        </w:rPr>
      </w:pPr>
    </w:p>
    <w:p w:rsidR="001159B8" w:rsidRDefault="001159B8" w:rsidP="00080C84">
      <w:pPr>
        <w:spacing w:before="240" w:line="276" w:lineRule="auto"/>
        <w:rPr>
          <w:rFonts w:cs="Arial"/>
          <w:szCs w:val="22"/>
          <w:lang w:val="fr-BE"/>
        </w:rPr>
      </w:pPr>
      <w:r>
        <w:rPr>
          <w:noProof/>
          <w:lang w:val="en-US" w:eastAsia="en-US"/>
        </w:rPr>
        <w:lastRenderedPageBreak/>
        <w:drawing>
          <wp:inline distT="0" distB="0" distL="0" distR="0" wp14:anchorId="29C808F7" wp14:editId="33F0C49D">
            <wp:extent cx="6105525" cy="276225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80C84" w:rsidRDefault="00080C84" w:rsidP="00080C84">
      <w:pPr>
        <w:spacing w:before="240" w:line="276" w:lineRule="auto"/>
        <w:rPr>
          <w:rFonts w:cs="Arial"/>
          <w:szCs w:val="22"/>
          <w:lang w:val="fr-BE"/>
        </w:rPr>
      </w:pPr>
      <w:r>
        <w:rPr>
          <w:rFonts w:cs="Arial"/>
          <w:szCs w:val="22"/>
          <w:lang w:val="fr-BE"/>
        </w:rPr>
        <w:t>En outre, le nombre des locaux disponibles pour accueillir de nouvelles classes se réduit d’année en année.</w:t>
      </w:r>
    </w:p>
    <w:p w:rsidR="00080C84" w:rsidRDefault="00080C84" w:rsidP="00080C84">
      <w:pPr>
        <w:spacing w:after="0" w:line="276" w:lineRule="auto"/>
        <w:rPr>
          <w:rFonts w:cs="Arial"/>
          <w:color w:val="000000" w:themeColor="text1"/>
          <w:szCs w:val="22"/>
          <w:lang w:val="fr-BE"/>
        </w:rPr>
      </w:pPr>
      <w:r>
        <w:rPr>
          <w:rFonts w:cs="Arial"/>
          <w:szCs w:val="22"/>
          <w:lang w:val="fr-BE"/>
        </w:rPr>
        <w:t xml:space="preserve"> </w:t>
      </w:r>
    </w:p>
    <w:p w:rsidR="00080C84" w:rsidRDefault="00080C84" w:rsidP="00080C84">
      <w:pPr>
        <w:spacing w:before="0" w:after="0"/>
        <w:jc w:val="left"/>
        <w:rPr>
          <w:rFonts w:cs="Arial"/>
          <w:color w:val="000000" w:themeColor="text1"/>
          <w:szCs w:val="22"/>
          <w:lang w:val="fr-BE"/>
        </w:rPr>
      </w:pPr>
    </w:p>
    <w:p w:rsidR="00080C84" w:rsidRDefault="00080C84" w:rsidP="00080C84">
      <w:pPr>
        <w:pStyle w:val="ListParagraph"/>
        <w:numPr>
          <w:ilvl w:val="0"/>
          <w:numId w:val="25"/>
        </w:numPr>
        <w:spacing w:before="0" w:after="0" w:line="276" w:lineRule="auto"/>
        <w:contextualSpacing w:val="0"/>
        <w:jc w:val="left"/>
        <w:rPr>
          <w:rFonts w:cs="Arial"/>
          <w:color w:val="000000" w:themeColor="text1"/>
          <w:szCs w:val="22"/>
          <w:u w:val="single"/>
          <w:lang w:val="fr-BE"/>
        </w:rPr>
      </w:pPr>
      <w:bookmarkStart w:id="2" w:name="_Ref498937492"/>
      <w:r>
        <w:rPr>
          <w:rFonts w:cs="Arial"/>
          <w:color w:val="000000" w:themeColor="text1"/>
          <w:szCs w:val="22"/>
          <w:u w:val="single"/>
          <w:lang w:val="fr-BE"/>
        </w:rPr>
        <w:t>Extension future de l’infrastructure</w:t>
      </w:r>
      <w:bookmarkEnd w:id="2"/>
    </w:p>
    <w:p w:rsidR="00080C84" w:rsidRDefault="00080C84" w:rsidP="00080C84">
      <w:pPr>
        <w:pStyle w:val="ListParagraph"/>
        <w:spacing w:line="276" w:lineRule="auto"/>
        <w:rPr>
          <w:rFonts w:cs="Arial"/>
          <w:color w:val="000000" w:themeColor="text1"/>
          <w:sz w:val="26"/>
          <w:szCs w:val="26"/>
          <w:u w:val="single"/>
          <w:lang w:val="fr-BE"/>
        </w:rPr>
      </w:pPr>
    </w:p>
    <w:p w:rsidR="00080C84" w:rsidRDefault="00080C84" w:rsidP="00080C84">
      <w:pPr>
        <w:spacing w:before="0" w:after="0" w:line="276" w:lineRule="auto"/>
        <w:rPr>
          <w:rFonts w:cs="Arial"/>
          <w:color w:val="000000" w:themeColor="text1"/>
          <w:szCs w:val="22"/>
          <w:lang w:val="fr-BE"/>
        </w:rPr>
      </w:pPr>
      <w:r>
        <w:rPr>
          <w:rFonts w:cs="Arial"/>
          <w:color w:val="000000" w:themeColor="text1"/>
          <w:szCs w:val="22"/>
          <w:lang w:val="fr-BE"/>
        </w:rPr>
        <w:t>Compte tenu de la croissance de la population scolaire (voir supra 1), la principale priorité du Conseil supérieur demeure l’augmentation des capacités d’accueil à Bruxelles par la mise à disposition par l’Etat belge d’une école supplémentaire. Sur la base des projections de la croissance de la population scolaire, le Conseil supérieur a invité le Gouvernement belge à prendre ses dispositions, lors de la réunion du 6 mai 2010, en vue de la mise à disposition d’une nouvelle école d’une capacité de 2500 élèves en septembre 2015.</w:t>
      </w:r>
    </w:p>
    <w:p w:rsidR="00080C84" w:rsidRDefault="00080C84" w:rsidP="00080C84">
      <w:pPr>
        <w:spacing w:after="240" w:line="276" w:lineRule="auto"/>
        <w:rPr>
          <w:rFonts w:cs="Arial"/>
          <w:color w:val="000000" w:themeColor="text1"/>
          <w:szCs w:val="22"/>
          <w:lang w:val="fr-BE"/>
        </w:rPr>
      </w:pPr>
      <w:r>
        <w:rPr>
          <w:rFonts w:cs="Arial"/>
          <w:color w:val="000000" w:themeColor="text1"/>
          <w:szCs w:val="22"/>
          <w:lang w:val="fr-BE"/>
        </w:rPr>
        <w:t xml:space="preserve">Les études actuelles </w:t>
      </w:r>
      <w:r>
        <w:rPr>
          <w:rFonts w:cs="Arial"/>
          <w:szCs w:val="22"/>
          <w:lang w:val="fr-BE"/>
        </w:rPr>
        <w:t>prévoient dans le plus optimiste des scénarios une population scolaire globale d’environ 15 500 élèves pour l’année scolaire 2024-2025, tandis que les structures actuellement disponibles</w:t>
      </w:r>
      <w:r>
        <w:rPr>
          <w:rFonts w:cs="Arial"/>
          <w:b/>
          <w:szCs w:val="22"/>
          <w:lang w:val="fr-BE"/>
        </w:rPr>
        <w:t xml:space="preserve"> </w:t>
      </w:r>
      <w:r>
        <w:rPr>
          <w:rFonts w:cs="Arial"/>
          <w:color w:val="000000" w:themeColor="text1"/>
          <w:szCs w:val="22"/>
          <w:lang w:val="fr-BE"/>
        </w:rPr>
        <w:t xml:space="preserve">permettent d’accueillir 12 400 élèves. </w:t>
      </w:r>
    </w:p>
    <w:tbl>
      <w:tblPr>
        <w:tblW w:w="0" w:type="dxa"/>
        <w:tblLayout w:type="fixed"/>
        <w:tblLook w:val="04A0" w:firstRow="1" w:lastRow="0" w:firstColumn="1" w:lastColumn="0" w:noHBand="0" w:noVBand="1"/>
      </w:tblPr>
      <w:tblGrid>
        <w:gridCol w:w="2250"/>
        <w:gridCol w:w="1440"/>
        <w:gridCol w:w="1440"/>
        <w:gridCol w:w="1170"/>
        <w:gridCol w:w="1170"/>
        <w:gridCol w:w="1170"/>
        <w:gridCol w:w="990"/>
      </w:tblGrid>
      <w:tr w:rsidR="00080C84" w:rsidTr="00080C84">
        <w:trPr>
          <w:trHeight w:val="300"/>
        </w:trPr>
        <w:tc>
          <w:tcPr>
            <w:tcW w:w="2250" w:type="dxa"/>
            <w:shd w:val="clear" w:color="auto" w:fill="FFFFFF"/>
            <w:noWrap/>
            <w:vAlign w:val="bottom"/>
            <w:hideMark/>
          </w:tcPr>
          <w:p w:rsidR="00080C84" w:rsidRDefault="00080C84">
            <w:pPr>
              <w:spacing w:before="0" w:after="0" w:line="252" w:lineRule="auto"/>
              <w:jc w:val="left"/>
              <w:rPr>
                <w:rFonts w:cs="Arial"/>
                <w:color w:val="000000" w:themeColor="text1"/>
                <w:sz w:val="26"/>
                <w:szCs w:val="26"/>
                <w:lang w:val="fr-BE" w:eastAsia="en-US"/>
              </w:rPr>
            </w:pPr>
            <w:r>
              <w:rPr>
                <w:rFonts w:cs="Arial"/>
                <w:color w:val="000000" w:themeColor="text1"/>
                <w:sz w:val="26"/>
                <w:szCs w:val="26"/>
                <w:lang w:val="fr-BE"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80C84" w:rsidRDefault="00080C84">
            <w:pPr>
              <w:spacing w:before="0" w:after="0" w:line="252" w:lineRule="auto"/>
              <w:jc w:val="left"/>
              <w:rPr>
                <w:rFonts w:cs="Arial"/>
                <w:b/>
                <w:bCs/>
                <w:color w:val="000000" w:themeColor="text1"/>
                <w:szCs w:val="22"/>
                <w:lang w:val="en-US" w:eastAsia="en-US"/>
              </w:rPr>
            </w:pPr>
            <w:r>
              <w:rPr>
                <w:rFonts w:cs="Arial"/>
                <w:b/>
                <w:bCs/>
                <w:color w:val="000000" w:themeColor="text1"/>
                <w:szCs w:val="22"/>
                <w:lang w:val="en-US" w:eastAsia="en-US"/>
              </w:rPr>
              <w:t>EEB1- UCC</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080C84" w:rsidRDefault="00080C84">
            <w:pPr>
              <w:spacing w:before="0" w:after="0" w:line="252" w:lineRule="auto"/>
              <w:jc w:val="left"/>
              <w:rPr>
                <w:rFonts w:cs="Arial"/>
                <w:b/>
                <w:bCs/>
                <w:color w:val="000000" w:themeColor="text1"/>
                <w:szCs w:val="22"/>
                <w:lang w:val="en-US" w:eastAsia="en-US"/>
              </w:rPr>
            </w:pPr>
            <w:r>
              <w:rPr>
                <w:rFonts w:cs="Arial"/>
                <w:b/>
                <w:bCs/>
                <w:color w:val="000000" w:themeColor="text1"/>
                <w:szCs w:val="22"/>
                <w:lang w:val="en-US" w:eastAsia="en-US"/>
              </w:rPr>
              <w:t>EEB1-BK</w:t>
            </w:r>
          </w:p>
        </w:tc>
        <w:tc>
          <w:tcPr>
            <w:tcW w:w="1170" w:type="dxa"/>
            <w:tcBorders>
              <w:top w:val="single" w:sz="4" w:space="0" w:color="auto"/>
              <w:left w:val="nil"/>
              <w:bottom w:val="single" w:sz="4" w:space="0" w:color="auto"/>
              <w:right w:val="single" w:sz="4" w:space="0" w:color="auto"/>
            </w:tcBorders>
            <w:shd w:val="clear" w:color="auto" w:fill="D9D9D9"/>
            <w:noWrap/>
            <w:vAlign w:val="bottom"/>
            <w:hideMark/>
          </w:tcPr>
          <w:p w:rsidR="00080C84" w:rsidRDefault="00080C84">
            <w:pPr>
              <w:spacing w:before="0" w:after="0" w:line="252" w:lineRule="auto"/>
              <w:jc w:val="left"/>
              <w:rPr>
                <w:rFonts w:cs="Arial"/>
                <w:b/>
                <w:bCs/>
                <w:color w:val="000000" w:themeColor="text1"/>
                <w:szCs w:val="22"/>
                <w:lang w:val="en-US" w:eastAsia="en-US"/>
              </w:rPr>
            </w:pPr>
            <w:r>
              <w:rPr>
                <w:rFonts w:cs="Arial"/>
                <w:b/>
                <w:bCs/>
                <w:color w:val="000000" w:themeColor="text1"/>
                <w:szCs w:val="22"/>
                <w:lang w:val="en-US" w:eastAsia="en-US"/>
              </w:rPr>
              <w:t>EEB2</w:t>
            </w:r>
          </w:p>
        </w:tc>
        <w:tc>
          <w:tcPr>
            <w:tcW w:w="1170" w:type="dxa"/>
            <w:tcBorders>
              <w:top w:val="single" w:sz="4" w:space="0" w:color="auto"/>
              <w:left w:val="nil"/>
              <w:bottom w:val="single" w:sz="4" w:space="0" w:color="auto"/>
              <w:right w:val="single" w:sz="4" w:space="0" w:color="auto"/>
            </w:tcBorders>
            <w:shd w:val="clear" w:color="auto" w:fill="D9D9D9"/>
            <w:noWrap/>
            <w:vAlign w:val="bottom"/>
            <w:hideMark/>
          </w:tcPr>
          <w:p w:rsidR="00080C84" w:rsidRDefault="00080C84">
            <w:pPr>
              <w:spacing w:before="0" w:after="0" w:line="252" w:lineRule="auto"/>
              <w:jc w:val="left"/>
              <w:rPr>
                <w:rFonts w:cs="Arial"/>
                <w:b/>
                <w:bCs/>
                <w:color w:val="000000" w:themeColor="text1"/>
                <w:szCs w:val="22"/>
                <w:lang w:val="en-US" w:eastAsia="en-US"/>
              </w:rPr>
            </w:pPr>
            <w:r>
              <w:rPr>
                <w:rFonts w:cs="Arial"/>
                <w:b/>
                <w:bCs/>
                <w:color w:val="000000" w:themeColor="text1"/>
                <w:szCs w:val="22"/>
                <w:lang w:val="en-US" w:eastAsia="en-US"/>
              </w:rPr>
              <w:t>EEB3</w:t>
            </w:r>
          </w:p>
        </w:tc>
        <w:tc>
          <w:tcPr>
            <w:tcW w:w="1170" w:type="dxa"/>
            <w:tcBorders>
              <w:top w:val="single" w:sz="4" w:space="0" w:color="auto"/>
              <w:left w:val="nil"/>
              <w:bottom w:val="single" w:sz="4" w:space="0" w:color="auto"/>
              <w:right w:val="single" w:sz="4" w:space="0" w:color="auto"/>
            </w:tcBorders>
            <w:shd w:val="clear" w:color="auto" w:fill="D9D9D9"/>
            <w:noWrap/>
            <w:vAlign w:val="bottom"/>
            <w:hideMark/>
          </w:tcPr>
          <w:p w:rsidR="00080C84" w:rsidRDefault="00080C84">
            <w:pPr>
              <w:spacing w:before="0" w:after="0" w:line="252" w:lineRule="auto"/>
              <w:jc w:val="left"/>
              <w:rPr>
                <w:rFonts w:cs="Arial"/>
                <w:b/>
                <w:bCs/>
                <w:color w:val="000000" w:themeColor="text1"/>
                <w:szCs w:val="22"/>
                <w:lang w:val="en-US" w:eastAsia="en-US"/>
              </w:rPr>
            </w:pPr>
            <w:r>
              <w:rPr>
                <w:rFonts w:cs="Arial"/>
                <w:b/>
                <w:bCs/>
                <w:color w:val="000000" w:themeColor="text1"/>
                <w:szCs w:val="22"/>
                <w:lang w:val="en-US" w:eastAsia="en-US"/>
              </w:rPr>
              <w:t>EEB4</w:t>
            </w:r>
          </w:p>
        </w:tc>
        <w:tc>
          <w:tcPr>
            <w:tcW w:w="990" w:type="dxa"/>
            <w:tcBorders>
              <w:top w:val="single" w:sz="4" w:space="0" w:color="auto"/>
              <w:left w:val="nil"/>
              <w:bottom w:val="single" w:sz="4" w:space="0" w:color="auto"/>
              <w:right w:val="single" w:sz="4" w:space="0" w:color="auto"/>
            </w:tcBorders>
            <w:shd w:val="clear" w:color="auto" w:fill="D9D9D9"/>
            <w:noWrap/>
            <w:vAlign w:val="bottom"/>
            <w:hideMark/>
          </w:tcPr>
          <w:p w:rsidR="00080C84" w:rsidRDefault="00080C84">
            <w:pPr>
              <w:spacing w:before="0" w:after="0" w:line="252" w:lineRule="auto"/>
              <w:jc w:val="left"/>
              <w:rPr>
                <w:rFonts w:cs="Arial"/>
                <w:b/>
                <w:bCs/>
                <w:color w:val="000000" w:themeColor="text1"/>
                <w:szCs w:val="22"/>
                <w:lang w:val="en-US" w:eastAsia="en-US"/>
              </w:rPr>
            </w:pPr>
            <w:r>
              <w:rPr>
                <w:rFonts w:cs="Arial"/>
                <w:b/>
                <w:bCs/>
                <w:color w:val="000000" w:themeColor="text1"/>
                <w:szCs w:val="22"/>
                <w:lang w:val="en-US" w:eastAsia="en-US"/>
              </w:rPr>
              <w:t>TOTAL</w:t>
            </w:r>
          </w:p>
        </w:tc>
      </w:tr>
      <w:tr w:rsidR="00080C84" w:rsidTr="00080C84">
        <w:trPr>
          <w:trHeight w:val="300"/>
        </w:trPr>
        <w:tc>
          <w:tcPr>
            <w:tcW w:w="2250" w:type="dxa"/>
            <w:tcBorders>
              <w:top w:val="single" w:sz="4" w:space="0" w:color="auto"/>
              <w:left w:val="single" w:sz="4" w:space="0" w:color="auto"/>
              <w:bottom w:val="single" w:sz="4" w:space="0" w:color="auto"/>
              <w:right w:val="single" w:sz="4" w:space="0" w:color="auto"/>
            </w:tcBorders>
            <w:noWrap/>
            <w:vAlign w:val="bottom"/>
            <w:hideMark/>
          </w:tcPr>
          <w:p w:rsidR="00080C84" w:rsidRDefault="00080C84">
            <w:pPr>
              <w:spacing w:before="40" w:after="40" w:line="252" w:lineRule="auto"/>
              <w:jc w:val="left"/>
              <w:rPr>
                <w:rFonts w:cs="Arial"/>
                <w:b/>
                <w:bCs/>
                <w:color w:val="000000" w:themeColor="text1"/>
                <w:szCs w:val="22"/>
                <w:lang w:val="en-US" w:eastAsia="en-US"/>
              </w:rPr>
            </w:pPr>
            <w:r>
              <w:rPr>
                <w:rFonts w:cs="Arial"/>
                <w:b/>
                <w:bCs/>
                <w:color w:val="000000" w:themeColor="text1"/>
                <w:szCs w:val="22"/>
                <w:lang w:val="en-US" w:eastAsia="en-US"/>
              </w:rPr>
              <w:t>Capacité théorique</w:t>
            </w:r>
          </w:p>
        </w:tc>
        <w:tc>
          <w:tcPr>
            <w:tcW w:w="1440" w:type="dxa"/>
            <w:tcBorders>
              <w:top w:val="single" w:sz="4" w:space="0" w:color="auto"/>
              <w:left w:val="nil"/>
              <w:bottom w:val="single" w:sz="4" w:space="0" w:color="auto"/>
              <w:right w:val="single" w:sz="4" w:space="0" w:color="auto"/>
            </w:tcBorders>
            <w:noWrap/>
            <w:vAlign w:val="bottom"/>
            <w:hideMark/>
          </w:tcPr>
          <w:p w:rsidR="00080C84" w:rsidRDefault="00080C84">
            <w:pPr>
              <w:spacing w:before="40" w:after="40" w:line="252" w:lineRule="auto"/>
              <w:jc w:val="right"/>
              <w:rPr>
                <w:rFonts w:cs="Arial"/>
                <w:color w:val="000000" w:themeColor="text1"/>
                <w:szCs w:val="22"/>
                <w:lang w:val="en-US" w:eastAsia="en-US"/>
              </w:rPr>
            </w:pPr>
            <w:r>
              <w:rPr>
                <w:rFonts w:cs="Arial"/>
                <w:color w:val="000000" w:themeColor="text1"/>
                <w:szCs w:val="22"/>
                <w:lang w:val="en-US" w:eastAsia="en-US"/>
              </w:rPr>
              <w:t>3,100</w:t>
            </w:r>
          </w:p>
        </w:tc>
        <w:tc>
          <w:tcPr>
            <w:tcW w:w="1440" w:type="dxa"/>
            <w:tcBorders>
              <w:top w:val="single" w:sz="4" w:space="0" w:color="auto"/>
              <w:left w:val="nil"/>
              <w:bottom w:val="single" w:sz="4" w:space="0" w:color="auto"/>
              <w:right w:val="single" w:sz="4" w:space="0" w:color="auto"/>
            </w:tcBorders>
            <w:shd w:val="clear" w:color="auto" w:fill="FBFBFB"/>
            <w:noWrap/>
            <w:vAlign w:val="bottom"/>
            <w:hideMark/>
          </w:tcPr>
          <w:p w:rsidR="00080C84" w:rsidRDefault="00080C84">
            <w:pPr>
              <w:spacing w:before="40" w:after="40" w:line="252" w:lineRule="auto"/>
              <w:jc w:val="right"/>
              <w:rPr>
                <w:rFonts w:cs="Arial"/>
                <w:color w:val="000000" w:themeColor="text1"/>
                <w:szCs w:val="22"/>
                <w:lang w:val="en-US" w:eastAsia="en-US"/>
              </w:rPr>
            </w:pPr>
            <w:r>
              <w:rPr>
                <w:rFonts w:cs="Arial"/>
                <w:color w:val="000000" w:themeColor="text1"/>
                <w:szCs w:val="22"/>
                <w:lang w:val="en-US" w:eastAsia="en-US"/>
              </w:rPr>
              <w:t>1,000</w:t>
            </w:r>
          </w:p>
        </w:tc>
        <w:tc>
          <w:tcPr>
            <w:tcW w:w="1170" w:type="dxa"/>
            <w:tcBorders>
              <w:top w:val="single" w:sz="4" w:space="0" w:color="auto"/>
              <w:left w:val="nil"/>
              <w:bottom w:val="single" w:sz="4" w:space="0" w:color="auto"/>
              <w:right w:val="single" w:sz="4" w:space="0" w:color="auto"/>
            </w:tcBorders>
            <w:noWrap/>
            <w:vAlign w:val="bottom"/>
            <w:hideMark/>
          </w:tcPr>
          <w:p w:rsidR="00080C84" w:rsidRDefault="00080C84">
            <w:pPr>
              <w:spacing w:before="40" w:after="40" w:line="252" w:lineRule="auto"/>
              <w:jc w:val="right"/>
              <w:rPr>
                <w:rFonts w:cs="Arial"/>
                <w:color w:val="000000" w:themeColor="text1"/>
                <w:szCs w:val="22"/>
                <w:lang w:val="en-US" w:eastAsia="en-US"/>
              </w:rPr>
            </w:pPr>
            <w:r>
              <w:rPr>
                <w:rFonts w:cs="Arial"/>
                <w:color w:val="000000" w:themeColor="text1"/>
                <w:szCs w:val="22"/>
                <w:lang w:val="en-US" w:eastAsia="en-US"/>
              </w:rPr>
              <w:t>2,850</w:t>
            </w:r>
          </w:p>
        </w:tc>
        <w:tc>
          <w:tcPr>
            <w:tcW w:w="1170" w:type="dxa"/>
            <w:tcBorders>
              <w:top w:val="single" w:sz="4" w:space="0" w:color="auto"/>
              <w:left w:val="nil"/>
              <w:bottom w:val="single" w:sz="4" w:space="0" w:color="auto"/>
              <w:right w:val="single" w:sz="4" w:space="0" w:color="auto"/>
            </w:tcBorders>
            <w:noWrap/>
            <w:vAlign w:val="bottom"/>
            <w:hideMark/>
          </w:tcPr>
          <w:p w:rsidR="00080C84" w:rsidRDefault="00080C84">
            <w:pPr>
              <w:spacing w:before="40" w:after="40" w:line="252" w:lineRule="auto"/>
              <w:jc w:val="right"/>
              <w:rPr>
                <w:rFonts w:cs="Arial"/>
                <w:color w:val="000000" w:themeColor="text1"/>
                <w:szCs w:val="22"/>
                <w:lang w:val="en-US" w:eastAsia="en-US"/>
              </w:rPr>
            </w:pPr>
            <w:r>
              <w:rPr>
                <w:rFonts w:cs="Arial"/>
                <w:color w:val="000000" w:themeColor="text1"/>
                <w:szCs w:val="22"/>
                <w:lang w:val="en-US" w:eastAsia="en-US"/>
              </w:rPr>
              <w:t>2,650</w:t>
            </w:r>
          </w:p>
        </w:tc>
        <w:tc>
          <w:tcPr>
            <w:tcW w:w="1170" w:type="dxa"/>
            <w:tcBorders>
              <w:top w:val="single" w:sz="4" w:space="0" w:color="auto"/>
              <w:left w:val="nil"/>
              <w:bottom w:val="single" w:sz="4" w:space="0" w:color="auto"/>
              <w:right w:val="single" w:sz="4" w:space="0" w:color="auto"/>
            </w:tcBorders>
            <w:noWrap/>
            <w:vAlign w:val="bottom"/>
            <w:hideMark/>
          </w:tcPr>
          <w:p w:rsidR="00080C84" w:rsidRDefault="00080C84">
            <w:pPr>
              <w:spacing w:before="40" w:after="40" w:line="252" w:lineRule="auto"/>
              <w:jc w:val="right"/>
              <w:rPr>
                <w:rFonts w:cs="Arial"/>
                <w:color w:val="000000" w:themeColor="text1"/>
                <w:szCs w:val="22"/>
                <w:lang w:val="en-US" w:eastAsia="en-US"/>
              </w:rPr>
            </w:pPr>
            <w:r>
              <w:rPr>
                <w:rFonts w:cs="Arial"/>
                <w:color w:val="000000" w:themeColor="text1"/>
                <w:szCs w:val="22"/>
                <w:lang w:val="en-US" w:eastAsia="en-US"/>
              </w:rPr>
              <w:t>2,800</w:t>
            </w:r>
          </w:p>
        </w:tc>
        <w:tc>
          <w:tcPr>
            <w:tcW w:w="990" w:type="dxa"/>
            <w:tcBorders>
              <w:top w:val="single" w:sz="4" w:space="0" w:color="auto"/>
              <w:left w:val="nil"/>
              <w:bottom w:val="single" w:sz="4" w:space="0" w:color="auto"/>
              <w:right w:val="single" w:sz="4" w:space="0" w:color="auto"/>
            </w:tcBorders>
            <w:shd w:val="clear" w:color="auto" w:fill="FFFFFF"/>
            <w:noWrap/>
            <w:vAlign w:val="bottom"/>
            <w:hideMark/>
          </w:tcPr>
          <w:p w:rsidR="00080C84" w:rsidRDefault="00080C84">
            <w:pPr>
              <w:spacing w:before="40" w:after="40" w:line="252" w:lineRule="auto"/>
              <w:jc w:val="right"/>
              <w:rPr>
                <w:rFonts w:cs="Arial"/>
                <w:b/>
                <w:bCs/>
                <w:color w:val="000000" w:themeColor="text1"/>
                <w:szCs w:val="22"/>
                <w:lang w:val="en-US" w:eastAsia="en-US"/>
              </w:rPr>
            </w:pPr>
            <w:r>
              <w:rPr>
                <w:rFonts w:cs="Arial"/>
                <w:b/>
                <w:bCs/>
                <w:color w:val="000000" w:themeColor="text1"/>
                <w:szCs w:val="22"/>
                <w:lang w:val="en-US" w:eastAsia="en-US"/>
              </w:rPr>
              <w:t>12,400</w:t>
            </w:r>
          </w:p>
        </w:tc>
      </w:tr>
      <w:tr w:rsidR="00080C84" w:rsidTr="00080C84">
        <w:trPr>
          <w:trHeight w:val="300"/>
        </w:trPr>
        <w:tc>
          <w:tcPr>
            <w:tcW w:w="2250" w:type="dxa"/>
            <w:tcBorders>
              <w:top w:val="single" w:sz="4" w:space="0" w:color="auto"/>
              <w:left w:val="single" w:sz="4" w:space="0" w:color="auto"/>
              <w:bottom w:val="single" w:sz="4" w:space="0" w:color="auto"/>
              <w:right w:val="single" w:sz="4" w:space="0" w:color="auto"/>
            </w:tcBorders>
            <w:noWrap/>
            <w:vAlign w:val="bottom"/>
            <w:hideMark/>
          </w:tcPr>
          <w:p w:rsidR="00080C84" w:rsidRDefault="00080C84">
            <w:pPr>
              <w:spacing w:before="40" w:after="40" w:line="252" w:lineRule="auto"/>
              <w:jc w:val="left"/>
              <w:rPr>
                <w:rFonts w:cs="Arial"/>
                <w:b/>
                <w:bCs/>
                <w:i/>
                <w:color w:val="000000" w:themeColor="text1"/>
                <w:sz w:val="20"/>
                <w:lang w:val="en-US" w:eastAsia="en-US"/>
              </w:rPr>
            </w:pPr>
            <w:r>
              <w:rPr>
                <w:rFonts w:cs="Arial"/>
                <w:b/>
                <w:bCs/>
                <w:i/>
                <w:color w:val="000000" w:themeColor="text1"/>
                <w:sz w:val="20"/>
                <w:lang w:val="en-US" w:eastAsia="en-US"/>
              </w:rPr>
              <w:t>Effectifs 2019-2020</w:t>
            </w:r>
          </w:p>
        </w:tc>
        <w:tc>
          <w:tcPr>
            <w:tcW w:w="1440" w:type="dxa"/>
            <w:tcBorders>
              <w:top w:val="single" w:sz="4" w:space="0" w:color="auto"/>
              <w:left w:val="nil"/>
              <w:bottom w:val="single" w:sz="4" w:space="0" w:color="auto"/>
              <w:right w:val="single" w:sz="4" w:space="0" w:color="auto"/>
            </w:tcBorders>
            <w:noWrap/>
            <w:vAlign w:val="bottom"/>
            <w:hideMark/>
          </w:tcPr>
          <w:p w:rsidR="00080C84" w:rsidRDefault="00080C84">
            <w:pPr>
              <w:spacing w:before="40" w:after="40" w:line="252" w:lineRule="auto"/>
              <w:jc w:val="right"/>
              <w:rPr>
                <w:rFonts w:cs="Arial"/>
                <w:i/>
                <w:color w:val="000000" w:themeColor="text1"/>
                <w:sz w:val="20"/>
                <w:lang w:val="en-US" w:eastAsia="en-US"/>
              </w:rPr>
            </w:pPr>
            <w:r>
              <w:rPr>
                <w:rFonts w:cs="Arial"/>
                <w:i/>
                <w:color w:val="000000" w:themeColor="text1"/>
                <w:sz w:val="20"/>
                <w:lang w:val="en-US" w:eastAsia="en-US"/>
              </w:rPr>
              <w:t>3,349</w:t>
            </w:r>
          </w:p>
        </w:tc>
        <w:tc>
          <w:tcPr>
            <w:tcW w:w="1440" w:type="dxa"/>
            <w:tcBorders>
              <w:top w:val="single" w:sz="4" w:space="0" w:color="auto"/>
              <w:left w:val="nil"/>
              <w:bottom w:val="single" w:sz="4" w:space="0" w:color="auto"/>
              <w:right w:val="single" w:sz="4" w:space="0" w:color="auto"/>
            </w:tcBorders>
            <w:shd w:val="clear" w:color="auto" w:fill="FBFBFB"/>
            <w:noWrap/>
            <w:vAlign w:val="bottom"/>
            <w:hideMark/>
          </w:tcPr>
          <w:p w:rsidR="00080C84" w:rsidRDefault="00080C84">
            <w:pPr>
              <w:spacing w:before="40" w:after="40" w:line="252" w:lineRule="auto"/>
              <w:jc w:val="right"/>
              <w:rPr>
                <w:rFonts w:cs="Arial"/>
                <w:i/>
                <w:color w:val="000000" w:themeColor="text1"/>
                <w:sz w:val="20"/>
                <w:lang w:val="en-US" w:eastAsia="en-US"/>
              </w:rPr>
            </w:pPr>
            <w:r>
              <w:rPr>
                <w:rFonts w:cs="Arial"/>
                <w:i/>
                <w:color w:val="000000" w:themeColor="text1"/>
                <w:sz w:val="20"/>
                <w:lang w:val="en-US" w:eastAsia="en-US"/>
              </w:rPr>
              <w:t>730</w:t>
            </w:r>
          </w:p>
        </w:tc>
        <w:tc>
          <w:tcPr>
            <w:tcW w:w="1170" w:type="dxa"/>
            <w:tcBorders>
              <w:top w:val="single" w:sz="4" w:space="0" w:color="auto"/>
              <w:left w:val="nil"/>
              <w:bottom w:val="single" w:sz="4" w:space="0" w:color="auto"/>
              <w:right w:val="single" w:sz="4" w:space="0" w:color="auto"/>
            </w:tcBorders>
            <w:noWrap/>
            <w:vAlign w:val="bottom"/>
            <w:hideMark/>
          </w:tcPr>
          <w:p w:rsidR="00080C84" w:rsidRDefault="00080C84">
            <w:pPr>
              <w:spacing w:before="40" w:after="40" w:line="252" w:lineRule="auto"/>
              <w:jc w:val="right"/>
              <w:rPr>
                <w:rFonts w:cs="Arial"/>
                <w:i/>
                <w:color w:val="000000" w:themeColor="text1"/>
                <w:sz w:val="20"/>
                <w:lang w:val="en-US" w:eastAsia="en-US"/>
              </w:rPr>
            </w:pPr>
            <w:r>
              <w:rPr>
                <w:rFonts w:cs="Arial"/>
                <w:i/>
                <w:color w:val="000000" w:themeColor="text1"/>
                <w:sz w:val="20"/>
                <w:lang w:val="en-US" w:eastAsia="en-US"/>
              </w:rPr>
              <w:t>3,175</w:t>
            </w:r>
          </w:p>
        </w:tc>
        <w:tc>
          <w:tcPr>
            <w:tcW w:w="1170" w:type="dxa"/>
            <w:tcBorders>
              <w:top w:val="single" w:sz="4" w:space="0" w:color="auto"/>
              <w:left w:val="nil"/>
              <w:bottom w:val="single" w:sz="4" w:space="0" w:color="auto"/>
              <w:right w:val="single" w:sz="4" w:space="0" w:color="auto"/>
            </w:tcBorders>
            <w:noWrap/>
            <w:vAlign w:val="bottom"/>
            <w:hideMark/>
          </w:tcPr>
          <w:p w:rsidR="00080C84" w:rsidRDefault="00080C84">
            <w:pPr>
              <w:spacing w:before="40" w:after="40" w:line="252" w:lineRule="auto"/>
              <w:jc w:val="right"/>
              <w:rPr>
                <w:rFonts w:cs="Arial"/>
                <w:i/>
                <w:color w:val="000000" w:themeColor="text1"/>
                <w:sz w:val="20"/>
                <w:lang w:val="en-US" w:eastAsia="en-US"/>
              </w:rPr>
            </w:pPr>
            <w:r>
              <w:rPr>
                <w:rFonts w:cs="Arial"/>
                <w:i/>
                <w:color w:val="000000" w:themeColor="text1"/>
                <w:sz w:val="20"/>
                <w:lang w:val="en-US" w:eastAsia="en-US"/>
              </w:rPr>
              <w:t>3,202</w:t>
            </w:r>
          </w:p>
        </w:tc>
        <w:tc>
          <w:tcPr>
            <w:tcW w:w="1170" w:type="dxa"/>
            <w:tcBorders>
              <w:top w:val="single" w:sz="4" w:space="0" w:color="auto"/>
              <w:left w:val="nil"/>
              <w:bottom w:val="single" w:sz="4" w:space="0" w:color="auto"/>
              <w:right w:val="single" w:sz="4" w:space="0" w:color="auto"/>
            </w:tcBorders>
            <w:noWrap/>
            <w:vAlign w:val="bottom"/>
            <w:hideMark/>
          </w:tcPr>
          <w:p w:rsidR="00080C84" w:rsidRDefault="00080C84">
            <w:pPr>
              <w:spacing w:before="40" w:after="40" w:line="252" w:lineRule="auto"/>
              <w:jc w:val="right"/>
              <w:rPr>
                <w:rFonts w:cs="Arial"/>
                <w:i/>
                <w:color w:val="000000" w:themeColor="text1"/>
                <w:sz w:val="20"/>
                <w:lang w:val="en-US" w:eastAsia="en-US"/>
              </w:rPr>
            </w:pPr>
            <w:r>
              <w:rPr>
                <w:rFonts w:cs="Arial"/>
                <w:i/>
                <w:color w:val="000000" w:themeColor="text1"/>
                <w:sz w:val="20"/>
                <w:lang w:val="en-US" w:eastAsia="en-US"/>
              </w:rPr>
              <w:t>2,974</w:t>
            </w:r>
          </w:p>
        </w:tc>
        <w:tc>
          <w:tcPr>
            <w:tcW w:w="990" w:type="dxa"/>
            <w:tcBorders>
              <w:top w:val="single" w:sz="4" w:space="0" w:color="auto"/>
              <w:left w:val="nil"/>
              <w:bottom w:val="single" w:sz="4" w:space="0" w:color="auto"/>
              <w:right w:val="single" w:sz="4" w:space="0" w:color="auto"/>
            </w:tcBorders>
            <w:shd w:val="clear" w:color="auto" w:fill="FFFFFF"/>
            <w:noWrap/>
            <w:vAlign w:val="bottom"/>
            <w:hideMark/>
          </w:tcPr>
          <w:p w:rsidR="00080C84" w:rsidRDefault="00080C84">
            <w:pPr>
              <w:spacing w:before="40" w:after="40" w:line="252" w:lineRule="auto"/>
              <w:jc w:val="right"/>
              <w:rPr>
                <w:rFonts w:cs="Arial"/>
                <w:b/>
                <w:bCs/>
                <w:i/>
                <w:color w:val="000000" w:themeColor="text1"/>
                <w:sz w:val="20"/>
                <w:lang w:val="en-US" w:eastAsia="en-US"/>
              </w:rPr>
            </w:pPr>
            <w:r>
              <w:rPr>
                <w:rFonts w:cs="Arial"/>
                <w:b/>
                <w:bCs/>
                <w:i/>
                <w:color w:val="000000" w:themeColor="text1"/>
                <w:sz w:val="20"/>
                <w:lang w:val="en-US" w:eastAsia="en-US"/>
              </w:rPr>
              <w:fldChar w:fldCharType="begin"/>
            </w:r>
            <w:r>
              <w:rPr>
                <w:rFonts w:cs="Arial"/>
                <w:b/>
                <w:bCs/>
                <w:i/>
                <w:color w:val="000000" w:themeColor="text1"/>
                <w:sz w:val="20"/>
                <w:lang w:val="en-US" w:eastAsia="en-US"/>
              </w:rPr>
              <w:instrText xml:space="preserve"> =SUM(LEFT) </w:instrText>
            </w:r>
            <w:r>
              <w:rPr>
                <w:rFonts w:cs="Arial"/>
                <w:b/>
                <w:bCs/>
                <w:i/>
                <w:color w:val="000000" w:themeColor="text1"/>
                <w:sz w:val="20"/>
                <w:lang w:val="en-US" w:eastAsia="en-US"/>
              </w:rPr>
              <w:fldChar w:fldCharType="separate"/>
            </w:r>
            <w:r>
              <w:rPr>
                <w:rFonts w:cs="Arial"/>
                <w:b/>
                <w:bCs/>
                <w:i/>
                <w:noProof/>
                <w:color w:val="000000" w:themeColor="text1"/>
                <w:sz w:val="20"/>
                <w:lang w:val="en-US" w:eastAsia="en-US"/>
              </w:rPr>
              <w:t>13,430</w:t>
            </w:r>
            <w:r>
              <w:rPr>
                <w:rFonts w:cs="Arial"/>
                <w:b/>
                <w:bCs/>
                <w:i/>
                <w:color w:val="000000" w:themeColor="text1"/>
                <w:sz w:val="20"/>
                <w:lang w:val="en-US" w:eastAsia="en-US"/>
              </w:rPr>
              <w:fldChar w:fldCharType="end"/>
            </w:r>
          </w:p>
        </w:tc>
      </w:tr>
    </w:tbl>
    <w:p w:rsidR="00080C84" w:rsidRDefault="00080C84" w:rsidP="00080C84">
      <w:pPr>
        <w:spacing w:before="0" w:after="0" w:line="276" w:lineRule="auto"/>
        <w:rPr>
          <w:rFonts w:cs="Arial"/>
          <w:color w:val="000000" w:themeColor="text1"/>
          <w:sz w:val="20"/>
          <w:lang w:val="fr-BE"/>
        </w:rPr>
      </w:pPr>
    </w:p>
    <w:p w:rsidR="00080C84" w:rsidRDefault="00080C84" w:rsidP="00080C84">
      <w:pPr>
        <w:spacing w:before="0" w:after="0" w:line="276" w:lineRule="auto"/>
        <w:rPr>
          <w:rFonts w:cs="Arial"/>
          <w:color w:val="000000" w:themeColor="text1"/>
          <w:sz w:val="26"/>
          <w:szCs w:val="26"/>
          <w:lang w:val="fr-BE"/>
        </w:rPr>
      </w:pPr>
      <w:r>
        <w:rPr>
          <w:noProof/>
          <w:lang w:val="en-US" w:eastAsia="en-US"/>
        </w:rPr>
        <w:drawing>
          <wp:inline distT="0" distB="0" distL="0" distR="0">
            <wp:extent cx="6105525" cy="225742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80C84" w:rsidRDefault="00080C84" w:rsidP="00080C84">
      <w:pPr>
        <w:spacing w:before="240" w:line="276" w:lineRule="auto"/>
        <w:rPr>
          <w:rFonts w:cs="Arial"/>
          <w:color w:val="000000" w:themeColor="text1"/>
          <w:szCs w:val="22"/>
          <w:lang w:val="fr-BE"/>
        </w:rPr>
      </w:pPr>
      <w:r>
        <w:rPr>
          <w:rFonts w:cs="Arial"/>
          <w:szCs w:val="22"/>
          <w:lang w:val="fr-BE"/>
        </w:rPr>
        <w:lastRenderedPageBreak/>
        <w:t xml:space="preserve">A ce jour, et nonobstant les négociations relancées régulièrement par le Secrétaire général mandaté par le Conseil </w:t>
      </w:r>
      <w:r>
        <w:rPr>
          <w:rFonts w:cs="Arial"/>
          <w:color w:val="000000" w:themeColor="text1"/>
          <w:szCs w:val="22"/>
          <w:lang w:val="fr-BE"/>
        </w:rPr>
        <w:t xml:space="preserve">supérieur, l’Etat belge n’est pas en mesure de se prononcer sur la localisation définitive, la date d’ouverture probable et la capacité d’accueil de la cinquième école. </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Dans l’immédiat et pour pallier la situation actuelle, le site de Berkendael, rattaché à l’Ecole européenne de Bruxelles I,</w:t>
      </w:r>
      <w:r>
        <w:rPr>
          <w:rFonts w:cs="Arial"/>
          <w:b/>
          <w:color w:val="000000" w:themeColor="text1"/>
          <w:szCs w:val="22"/>
          <w:lang w:val="fr-BE"/>
        </w:rPr>
        <w:t xml:space="preserve"> </w:t>
      </w:r>
      <w:r>
        <w:rPr>
          <w:rFonts w:cs="Arial"/>
          <w:color w:val="000000" w:themeColor="text1"/>
          <w:szCs w:val="22"/>
          <w:lang w:val="fr-BE"/>
        </w:rPr>
        <w:t>demeure temporairement à la disposition des Ecoles européennes.</w:t>
      </w:r>
    </w:p>
    <w:p w:rsidR="00080C84" w:rsidRDefault="00080C84" w:rsidP="00080C84">
      <w:pPr>
        <w:spacing w:line="276" w:lineRule="auto"/>
        <w:rPr>
          <w:rFonts w:cs="Arial"/>
          <w:szCs w:val="22"/>
          <w:lang w:val="fr-BE"/>
        </w:rPr>
      </w:pPr>
      <w:r>
        <w:rPr>
          <w:rFonts w:cs="Arial"/>
          <w:color w:val="000000" w:themeColor="text1"/>
          <w:szCs w:val="22"/>
          <w:lang w:val="fr-BE"/>
        </w:rPr>
        <w:t xml:space="preserve">Dans l’attente de l’ouverture de la cinquième école, l’infrastructure globale actuelle ne permet plus aux Ecoles européennes de garantir une place pour tout élève de </w:t>
      </w:r>
      <w:r>
        <w:rPr>
          <w:rFonts w:cs="Arial"/>
          <w:szCs w:val="22"/>
          <w:lang w:val="fr-BE"/>
        </w:rPr>
        <w:t>catégorie I</w:t>
      </w:r>
      <w:r>
        <w:rPr>
          <w:rStyle w:val="FootnoteReference"/>
          <w:rFonts w:cs="Arial"/>
          <w:szCs w:val="22"/>
          <w:lang w:val="fr-BE"/>
        </w:rPr>
        <w:footnoteReference w:id="9"/>
      </w:r>
      <w:r>
        <w:rPr>
          <w:rFonts w:cs="Arial"/>
          <w:szCs w:val="22"/>
          <w:lang w:val="fr-BE"/>
        </w:rPr>
        <w:t xml:space="preserve"> qui en fait la demande, même si l’Autorité centrale des inscriptions et les Directeurs prennent toutes les mesures pour optimaliser les capacités d’accueil.</w:t>
      </w:r>
    </w:p>
    <w:p w:rsidR="00080C84" w:rsidRDefault="00080C84" w:rsidP="00080C84">
      <w:pPr>
        <w:spacing w:before="0" w:after="0"/>
        <w:jc w:val="left"/>
        <w:rPr>
          <w:rFonts w:cs="Arial"/>
          <w:szCs w:val="22"/>
          <w:lang w:val="fr-BE"/>
        </w:rPr>
      </w:pPr>
    </w:p>
    <w:p w:rsidR="00080C84" w:rsidRDefault="00080C84" w:rsidP="00080C84">
      <w:pPr>
        <w:numPr>
          <w:ilvl w:val="0"/>
          <w:numId w:val="25"/>
        </w:numPr>
        <w:spacing w:before="240" w:after="0" w:line="276" w:lineRule="auto"/>
        <w:ind w:left="714" w:hanging="357"/>
        <w:rPr>
          <w:rFonts w:cs="Arial"/>
          <w:szCs w:val="22"/>
          <w:u w:val="single"/>
          <w:lang w:val="fr-BE"/>
        </w:rPr>
      </w:pPr>
      <w:r>
        <w:rPr>
          <w:rFonts w:cs="Arial"/>
          <w:szCs w:val="22"/>
          <w:u w:val="single"/>
          <w:lang w:val="fr-BE"/>
        </w:rPr>
        <w:t xml:space="preserve">Infrastructure existante </w:t>
      </w:r>
    </w:p>
    <w:p w:rsidR="00080C84" w:rsidRDefault="00080C84" w:rsidP="00080C84">
      <w:pPr>
        <w:spacing w:before="0" w:after="0"/>
        <w:rPr>
          <w:rFonts w:cs="Arial"/>
          <w:szCs w:val="22"/>
          <w:lang w:val="fr-BE"/>
        </w:rPr>
      </w:pPr>
    </w:p>
    <w:p w:rsidR="00080C84" w:rsidRDefault="00080C84" w:rsidP="00080C84">
      <w:pPr>
        <w:spacing w:before="0" w:line="276" w:lineRule="auto"/>
        <w:rPr>
          <w:rFonts w:cs="Arial"/>
          <w:b/>
          <w:szCs w:val="22"/>
          <w:lang w:val="fr-BE"/>
        </w:rPr>
      </w:pPr>
      <w:r>
        <w:rPr>
          <w:rFonts w:cs="Arial"/>
          <w:szCs w:val="22"/>
          <w:lang w:val="fr-BE"/>
        </w:rPr>
        <w:t>Il existe actuellement quatre Ecoles européennes à Bruxelles offrant une scolarisation complète depuis la maternelle jusqu’au baccalauréat. L’Ecole européenne de Bruxelles I dispose de deux sites à Uccle et à Berkendael (ce dernier limitant l’offre de scolarisation aux niveaux maternel et primaire).</w:t>
      </w:r>
      <w:r>
        <w:rPr>
          <w:rFonts w:cs="Arial"/>
          <w:b/>
          <w:szCs w:val="22"/>
          <w:lang w:val="fr-BE"/>
        </w:rPr>
        <w:t xml:space="preserve"> </w:t>
      </w:r>
    </w:p>
    <w:p w:rsidR="00080C84" w:rsidRDefault="00080C84" w:rsidP="00080C84">
      <w:pPr>
        <w:spacing w:before="0" w:line="276" w:lineRule="auto"/>
        <w:rPr>
          <w:rFonts w:cs="Arial"/>
          <w:szCs w:val="22"/>
          <w:lang w:val="fr-BE"/>
        </w:rPr>
      </w:pPr>
      <w:r>
        <w:rPr>
          <w:rFonts w:cs="Arial"/>
          <w:szCs w:val="22"/>
          <w:lang w:val="fr-BE"/>
        </w:rPr>
        <w:t>La population des Ecoles européennes de Bruxelles I – site Uccle, II et III occupe actuellement la capacité maximale des locaux de ces infrastructures. La capacité d’accueil théorique de chaque école/site est dépassée</w:t>
      </w:r>
      <w:r>
        <w:rPr>
          <w:rStyle w:val="FootnoteReference"/>
          <w:rFonts w:cs="Arial"/>
          <w:szCs w:val="22"/>
          <w:lang w:val="fr-BE"/>
        </w:rPr>
        <w:footnoteReference w:id="10"/>
      </w:r>
      <w:r>
        <w:rPr>
          <w:rFonts w:cs="Arial"/>
          <w:szCs w:val="22"/>
          <w:lang w:val="fr-BE"/>
        </w:rPr>
        <w:t>, sauf pour le site de Berkendael rattaché à l’Ecole européenne de Bruxelles I.  Ce site et l’Ecole européenne de Bruxelles IV offrent comparativement une plus grande capacité d’accueil, même si elle devient chaque année plus limitée.</w:t>
      </w:r>
    </w:p>
    <w:p w:rsidR="00080C84" w:rsidRDefault="00080C84" w:rsidP="00080C84">
      <w:pPr>
        <w:spacing w:before="0" w:line="276" w:lineRule="auto"/>
        <w:rPr>
          <w:rFonts w:cs="Arial"/>
          <w:szCs w:val="22"/>
          <w:lang w:val="fr-BE"/>
        </w:rPr>
      </w:pPr>
      <w:r>
        <w:rPr>
          <w:rFonts w:cs="Arial"/>
          <w:szCs w:val="22"/>
          <w:lang w:val="fr-BE"/>
        </w:rPr>
        <w:t>Outre l’augmentation de la population scolaire globale, il est observé dans les cinq sites qu’un certain nombre de groupes à effectifs réduits (moins de 30 élèves) occupent des salles de classes, qui peuvent en accueillir plus. Il s’agit d’une contrainte qui découle de l’organisation de l’enseignement en sections linguistiques d’une part, et de l’organisation propre à l’enseignement dans les Ecoles européennes d’autre part. Ceci emporte le risque logistique qu’il n’existe plus de locaux disponibles, quand bien même la capacité maximale théorique des bâtiments n’est pas atteinte.</w:t>
      </w:r>
    </w:p>
    <w:p w:rsidR="00080C84" w:rsidRDefault="00080C84" w:rsidP="00080C84">
      <w:pPr>
        <w:spacing w:before="0" w:line="276" w:lineRule="auto"/>
        <w:rPr>
          <w:rFonts w:cs="Arial"/>
          <w:szCs w:val="22"/>
          <w:lang w:val="fr-BE"/>
        </w:rPr>
      </w:pPr>
      <w:r>
        <w:rPr>
          <w:rFonts w:cs="Arial"/>
          <w:szCs w:val="22"/>
          <w:lang w:val="fr-BE"/>
        </w:rPr>
        <w:t>Par ailleurs, le site de Berkendael rattaché à l’Ecole européenne de Bruxelles I :</w:t>
      </w:r>
    </w:p>
    <w:p w:rsidR="00080C84" w:rsidRDefault="00080C84" w:rsidP="00080C84">
      <w:pPr>
        <w:pStyle w:val="ListParagraph"/>
        <w:numPr>
          <w:ilvl w:val="0"/>
          <w:numId w:val="29"/>
        </w:numPr>
        <w:spacing w:before="0" w:line="276" w:lineRule="auto"/>
        <w:contextualSpacing w:val="0"/>
        <w:rPr>
          <w:rFonts w:cs="Arial"/>
          <w:szCs w:val="22"/>
          <w:lang w:val="fr-BE"/>
        </w:rPr>
      </w:pPr>
      <w:r>
        <w:rPr>
          <w:rFonts w:cs="Arial"/>
          <w:szCs w:val="22"/>
          <w:lang w:val="fr-BE"/>
        </w:rPr>
        <w:t>A vu son effectif croître régulièrement, de 165 élèves en 2016-2017, à 327 élèves en 2017-2018, 559 élèves en 2018-2019 et actuellement 730 élèves en 2019-2020. Sa capacité d’accueil de 1000 élèves devrait être atteinte en 2020-2021 ;</w:t>
      </w:r>
    </w:p>
    <w:p w:rsidR="00080C84" w:rsidRDefault="00080C84" w:rsidP="00080C84">
      <w:pPr>
        <w:pStyle w:val="ListParagraph"/>
        <w:numPr>
          <w:ilvl w:val="0"/>
          <w:numId w:val="29"/>
        </w:numPr>
        <w:spacing w:before="0" w:line="276" w:lineRule="auto"/>
        <w:contextualSpacing w:val="0"/>
        <w:rPr>
          <w:rFonts w:cs="Arial"/>
          <w:szCs w:val="22"/>
          <w:lang w:val="fr-BE"/>
        </w:rPr>
      </w:pPr>
      <w:r>
        <w:rPr>
          <w:rFonts w:cs="Arial"/>
          <w:szCs w:val="22"/>
          <w:lang w:val="fr-BE"/>
        </w:rPr>
        <w:lastRenderedPageBreak/>
        <w:t>N’est actuellement aménagé que pour l’accueil des élèves des cycles maternel et primaire, aucune installation propre au cycle secondaire ne pouvant y être implantée faute d’espace suffisant (pas de bâtiment disponible pour y accueillir les élèves de secondaire), et sans aménagement coûteux (pas de salle de sport adaptée, de laboratoires de sciences, etc.) ;</w:t>
      </w:r>
    </w:p>
    <w:p w:rsidR="00080C84" w:rsidRDefault="00080C84" w:rsidP="00080C84">
      <w:pPr>
        <w:pStyle w:val="ListParagraph"/>
        <w:numPr>
          <w:ilvl w:val="0"/>
          <w:numId w:val="29"/>
        </w:numPr>
        <w:spacing w:before="0" w:after="0" w:line="276" w:lineRule="auto"/>
        <w:contextualSpacing w:val="0"/>
        <w:rPr>
          <w:rFonts w:cs="Arial"/>
          <w:strike/>
          <w:szCs w:val="22"/>
          <w:lang w:val="fr-BE"/>
        </w:rPr>
      </w:pPr>
      <w:r>
        <w:rPr>
          <w:rFonts w:cs="Arial"/>
          <w:szCs w:val="22"/>
          <w:lang w:val="fr-BE"/>
        </w:rPr>
        <w:t>Est peuplé d’élèves, qui - comme tous ceux qui ont entamé leur scolarité dans une des Ecoles européennes - bénéficient de la garantie de la poursuivre jusqu’au baccalauréat</w:t>
      </w:r>
      <w:r>
        <w:rPr>
          <w:rStyle w:val="FootnoteReference"/>
          <w:rFonts w:cs="Arial"/>
          <w:szCs w:val="22"/>
          <w:lang w:val="fr-BE"/>
        </w:rPr>
        <w:footnoteReference w:id="11"/>
      </w:r>
      <w:r>
        <w:rPr>
          <w:rFonts w:cs="Arial"/>
          <w:szCs w:val="22"/>
          <w:lang w:val="fr-BE"/>
        </w:rPr>
        <w:t>, ce qui implique dans les faits un transfert obligatoire vers une autre école/site existant(e) à la fin de la cinquième primaire. Cette année, les élèves ayant terminé le cycle primaire en juillet 2020 seront plus nombreux que l’année antérieure (71 élèves contre 46 élèves en 2019 et 22 élèves en 2018</w:t>
      </w:r>
      <w:r>
        <w:rPr>
          <w:rStyle w:val="FootnoteReference"/>
          <w:rFonts w:cs="Arial"/>
          <w:szCs w:val="22"/>
          <w:lang w:val="fr-BE"/>
        </w:rPr>
        <w:footnoteReference w:id="12"/>
      </w:r>
      <w:r>
        <w:rPr>
          <w:rFonts w:cs="Arial"/>
          <w:szCs w:val="22"/>
          <w:lang w:val="fr-BE"/>
        </w:rPr>
        <w:t>).</w:t>
      </w:r>
    </w:p>
    <w:p w:rsidR="00080C84" w:rsidRDefault="00080C84" w:rsidP="00080C84">
      <w:pPr>
        <w:pStyle w:val="ListParagraph"/>
        <w:spacing w:line="276" w:lineRule="auto"/>
        <w:rPr>
          <w:rFonts w:cs="Arial"/>
          <w:strike/>
          <w:szCs w:val="22"/>
          <w:lang w:val="fr-BE"/>
        </w:rPr>
      </w:pPr>
    </w:p>
    <w:p w:rsidR="00080C84" w:rsidRDefault="00080C84" w:rsidP="00080C84">
      <w:pPr>
        <w:spacing w:before="0" w:line="276" w:lineRule="auto"/>
        <w:rPr>
          <w:rFonts w:cs="Arial"/>
          <w:szCs w:val="22"/>
          <w:lang w:val="fr-BE"/>
        </w:rPr>
      </w:pPr>
      <w:r>
        <w:rPr>
          <w:rFonts w:cs="Arial"/>
          <w:szCs w:val="22"/>
          <w:lang w:val="fr-BE"/>
        </w:rPr>
        <w:t>Compte tenu de la croissance du peuplement du site de Berkendael rattaché à l’Ecole européenne de Bruxelles I, seul le dédoublement de classes satellites (soit des classes n’appartenant pas à une section linguistique présente sur le site) déjà existantes pourra être envisagé</w:t>
      </w:r>
      <w:r>
        <w:rPr>
          <w:rFonts w:cs="Arial"/>
          <w:b/>
          <w:color w:val="FF0000"/>
          <w:szCs w:val="22"/>
          <w:lang w:val="fr-BE"/>
        </w:rPr>
        <w:t xml:space="preserve"> </w:t>
      </w:r>
      <w:r>
        <w:rPr>
          <w:rFonts w:cs="Arial"/>
          <w:szCs w:val="22"/>
          <w:lang w:val="fr-BE"/>
        </w:rPr>
        <w:t>pour l’année scolaire 2020-2021. La création de nouvelles classes satellites en plus de celles déjà créées ou de celles nécessaires pour garantir la continuité de l’enseignement aux élèves déjà inscrits est par contre exclue. Il faut en effet anticiper le développement des classes existantes dans les niveaux supérieurs, ce qui impliquera l’occupation de locaux additionnels actuellement encore disponibles dans un futur très proche.</w:t>
      </w:r>
    </w:p>
    <w:p w:rsidR="00080C84" w:rsidRDefault="00080C84" w:rsidP="00080C84">
      <w:pPr>
        <w:spacing w:before="0" w:line="276" w:lineRule="auto"/>
        <w:rPr>
          <w:rFonts w:cs="Arial"/>
          <w:szCs w:val="22"/>
          <w:lang w:val="fr-BE"/>
        </w:rPr>
      </w:pPr>
      <w:r>
        <w:rPr>
          <w:rFonts w:cs="Arial"/>
          <w:szCs w:val="22"/>
          <w:lang w:val="fr-BE"/>
        </w:rPr>
        <w:t xml:space="preserve">Il s’impose dès lors de maintenir les règles contraignantes pour renforcer l’effectif du site de Berkendael aux cycles maternel et primaire et celui de l’Ecole européenne de Bruxelles IV afin d’utiliser leurs capacités d’accueil de manière optimale et de désengorger les Ecoles européennes de Bruxelles I – site Uccle, Bruxelles II et III. </w:t>
      </w:r>
    </w:p>
    <w:p w:rsidR="00080C84" w:rsidRDefault="00080C84" w:rsidP="00080C84">
      <w:pPr>
        <w:spacing w:after="0" w:line="276" w:lineRule="auto"/>
        <w:rPr>
          <w:rFonts w:cs="Arial"/>
          <w:color w:val="000000" w:themeColor="text1"/>
          <w:szCs w:val="22"/>
          <w:lang w:val="fr-BE"/>
        </w:rPr>
      </w:pPr>
      <w:r>
        <w:rPr>
          <w:rFonts w:cs="Arial"/>
          <w:szCs w:val="22"/>
          <w:lang w:val="fr-BE"/>
        </w:rPr>
        <w:t xml:space="preserve">Le transfert obligatoire des élèves inscrits en P5 à l’Ecole européenne de Bruxelles I - site Berkendael pour l’année scolaire 2019-2020 vers les autres écoles/sites pour leur permettre de poursuivre leur scolarité au cycle secondaire s’organise dans le respect du principe de la protection de la fratrie. Ainsi, si les parents en font la demande, les frères et sœurs des élèves achevant le cycle primaire à l’Ecole européenne </w:t>
      </w:r>
      <w:r>
        <w:rPr>
          <w:rFonts w:cs="Arial"/>
          <w:color w:val="000000" w:themeColor="text1"/>
          <w:szCs w:val="22"/>
          <w:lang w:val="fr-BE"/>
        </w:rPr>
        <w:t>de Bruxelles I – site Berkendael pourront être conjointement inscrits ou transférés.</w:t>
      </w:r>
    </w:p>
    <w:p w:rsidR="00080C84" w:rsidRDefault="00080C84" w:rsidP="00080C84">
      <w:pPr>
        <w:spacing w:line="276" w:lineRule="auto"/>
        <w:rPr>
          <w:rFonts w:cs="Arial"/>
          <w:color w:val="000000" w:themeColor="text1"/>
          <w:szCs w:val="22"/>
          <w:lang w:val="fr-BE"/>
        </w:rPr>
      </w:pPr>
    </w:p>
    <w:p w:rsidR="00080C84" w:rsidRDefault="00080C84" w:rsidP="00080C84">
      <w:pPr>
        <w:pStyle w:val="ListParagraph"/>
        <w:numPr>
          <w:ilvl w:val="0"/>
          <w:numId w:val="25"/>
        </w:numPr>
        <w:spacing w:after="0" w:line="276" w:lineRule="auto"/>
        <w:rPr>
          <w:rFonts w:cs="Arial"/>
          <w:b/>
          <w:color w:val="000000" w:themeColor="text1"/>
          <w:szCs w:val="22"/>
          <w:lang w:val="fr-BE"/>
        </w:rPr>
      </w:pPr>
      <w:bookmarkStart w:id="3" w:name="_Ref498938123"/>
      <w:r>
        <w:rPr>
          <w:rFonts w:cs="Arial"/>
          <w:color w:val="000000" w:themeColor="text1"/>
          <w:szCs w:val="22"/>
          <w:u w:val="single"/>
          <w:lang w:val="fr-BE"/>
        </w:rPr>
        <w:t>Sections linguistiques</w:t>
      </w:r>
      <w:bookmarkEnd w:id="3"/>
      <w:r>
        <w:rPr>
          <w:rFonts w:cs="Arial"/>
          <w:color w:val="000000" w:themeColor="text1"/>
          <w:szCs w:val="22"/>
          <w:lang w:val="fr-BE"/>
        </w:rPr>
        <w:t> </w:t>
      </w:r>
      <w:r>
        <w:rPr>
          <w:rFonts w:cs="Arial"/>
          <w:b/>
          <w:color w:val="000000" w:themeColor="text1"/>
          <w:szCs w:val="22"/>
          <w:lang w:val="fr-BE"/>
        </w:rPr>
        <w:t xml:space="preserve"> </w:t>
      </w:r>
    </w:p>
    <w:p w:rsidR="00080C84" w:rsidRDefault="00080C84" w:rsidP="00080C84">
      <w:pPr>
        <w:pStyle w:val="ListParagraph"/>
        <w:spacing w:after="0" w:line="276" w:lineRule="auto"/>
        <w:rPr>
          <w:rFonts w:cs="Arial"/>
          <w:b/>
          <w:color w:val="000000" w:themeColor="text1"/>
          <w:szCs w:val="22"/>
          <w:lang w:val="fr-BE"/>
        </w:rPr>
      </w:pPr>
    </w:p>
    <w:p w:rsidR="00080C84" w:rsidRDefault="00080C84" w:rsidP="00080C84">
      <w:pPr>
        <w:pStyle w:val="ListParagraph"/>
        <w:spacing w:before="240" w:line="276" w:lineRule="auto"/>
        <w:ind w:left="0"/>
        <w:rPr>
          <w:rFonts w:cs="Arial"/>
          <w:szCs w:val="22"/>
          <w:lang w:val="fr-BE"/>
        </w:rPr>
      </w:pPr>
      <w:r>
        <w:rPr>
          <w:rFonts w:cs="Arial"/>
          <w:szCs w:val="22"/>
          <w:lang w:val="fr-BE"/>
        </w:rPr>
        <w:t>Le phénomène le plus marquant reste la prépondérance de la section linguistique FR et sa croissance proportionnelle plus importante par rapport aux autres sections linguistiques. Ainsi, l’ensemble de la population des écoles en section linguistique FR a augmenté de 300 élèves au 15 octobre 2019.</w:t>
      </w:r>
    </w:p>
    <w:p w:rsidR="00080C84" w:rsidRDefault="00080C84" w:rsidP="00080C84">
      <w:pPr>
        <w:spacing w:before="240" w:after="0" w:line="276" w:lineRule="auto"/>
        <w:rPr>
          <w:rFonts w:cs="Arial"/>
          <w:szCs w:val="22"/>
          <w:lang w:val="fr-BE"/>
        </w:rPr>
      </w:pPr>
      <w:r>
        <w:rPr>
          <w:rFonts w:cs="Arial"/>
          <w:szCs w:val="22"/>
          <w:lang w:val="fr-BE"/>
        </w:rPr>
        <w:t>Les élèves inscrits en section FR représentent 35 % de la population scolaire globale à Bruxelles et 66 % de l’effectif de l’Ecole européenne de Bruxelles I – site Berkendael. La multi-culturalité propre aux Ecoles européennes est néanmoins favorisée par le développement sur ce site de classes satellites afférentes à d’autres sections linguistiques (DE, EL, EN, ES et IT).</w:t>
      </w:r>
    </w:p>
    <w:p w:rsidR="00080C84" w:rsidRDefault="00080C84" w:rsidP="00080C84">
      <w:pPr>
        <w:spacing w:line="276" w:lineRule="auto"/>
        <w:rPr>
          <w:rFonts w:cs="Arial"/>
          <w:szCs w:val="22"/>
          <w:lang w:val="fr-BE"/>
        </w:rPr>
      </w:pPr>
      <w:r>
        <w:rPr>
          <w:rFonts w:cs="Arial"/>
          <w:szCs w:val="22"/>
          <w:lang w:val="fr-BE"/>
        </w:rPr>
        <w:lastRenderedPageBreak/>
        <w:t>Par contre, une réduction des effectifs en section linguistique anglophone et des élèves SWALS</w:t>
      </w:r>
      <w:r>
        <w:rPr>
          <w:rStyle w:val="FootnoteReference"/>
          <w:rFonts w:cs="Arial"/>
          <w:szCs w:val="22"/>
          <w:lang w:val="fr-BE"/>
        </w:rPr>
        <w:footnoteReference w:id="13"/>
      </w:r>
      <w:r>
        <w:rPr>
          <w:rFonts w:cs="Arial"/>
          <w:szCs w:val="22"/>
          <w:lang w:val="fr-BE"/>
        </w:rPr>
        <w:t xml:space="preserve"> est observée, résultat de l’ouverture des sections uniques en cours de constitution.</w:t>
      </w:r>
    </w:p>
    <w:p w:rsidR="00080C84" w:rsidRDefault="00080C84" w:rsidP="00080C84">
      <w:pPr>
        <w:spacing w:line="276" w:lineRule="auto"/>
        <w:rPr>
          <w:rFonts w:cs="Arial"/>
          <w:color w:val="000000" w:themeColor="text1"/>
          <w:szCs w:val="22"/>
          <w:lang w:val="fr-BE"/>
        </w:rPr>
      </w:pPr>
      <w:r>
        <w:rPr>
          <w:rFonts w:cs="Arial"/>
          <w:szCs w:val="22"/>
          <w:lang w:val="fr-BE"/>
        </w:rPr>
        <w:t>Une attention renforcée demeure accordée, dans tous les cycles d’enseignement, pour une application rigoureuse de l’article 47</w:t>
      </w:r>
      <w:r>
        <w:rPr>
          <w:rFonts w:cs="Arial"/>
          <w:szCs w:val="22"/>
          <w:vertAlign w:val="superscript"/>
          <w:lang w:val="fr-BE"/>
        </w:rPr>
        <w:t xml:space="preserve"> </w:t>
      </w:r>
      <w:r>
        <w:rPr>
          <w:rFonts w:cs="Arial"/>
          <w:szCs w:val="22"/>
          <w:lang w:val="fr-BE"/>
        </w:rPr>
        <w:t>e) du Règlement général et ses mo</w:t>
      </w:r>
      <w:r>
        <w:rPr>
          <w:rFonts w:cs="Arial"/>
          <w:color w:val="000000" w:themeColor="text1"/>
          <w:szCs w:val="22"/>
          <w:lang w:val="fr-BE"/>
        </w:rPr>
        <w:t>dalités de mise en œuvre de manière à maintenir le principe fondamental de l’enseignement de la langue maternelle/dominante au sein de la section linguistique correspondante.</w:t>
      </w:r>
    </w:p>
    <w:p w:rsidR="00080C84" w:rsidRDefault="00080C84" w:rsidP="00080C84">
      <w:pPr>
        <w:spacing w:line="276" w:lineRule="auto"/>
        <w:rPr>
          <w:rFonts w:cs="Arial"/>
          <w:color w:val="000000" w:themeColor="text1"/>
          <w:szCs w:val="22"/>
          <w:lang w:val="fr-BE"/>
        </w:rPr>
      </w:pPr>
    </w:p>
    <w:p w:rsidR="00080C84" w:rsidRDefault="00080C84" w:rsidP="00080C84">
      <w:pPr>
        <w:pStyle w:val="ListParagraph"/>
        <w:numPr>
          <w:ilvl w:val="0"/>
          <w:numId w:val="25"/>
        </w:numPr>
        <w:spacing w:before="0" w:after="0" w:line="276" w:lineRule="auto"/>
        <w:contextualSpacing w:val="0"/>
        <w:jc w:val="left"/>
        <w:rPr>
          <w:rFonts w:cs="Arial"/>
          <w:color w:val="000000" w:themeColor="text1"/>
          <w:szCs w:val="22"/>
          <w:u w:val="single"/>
          <w:lang w:val="fr-BE"/>
        </w:rPr>
      </w:pPr>
      <w:bookmarkStart w:id="4" w:name="_Ref498935133"/>
      <w:r>
        <w:rPr>
          <w:rFonts w:cs="Arial"/>
          <w:color w:val="000000" w:themeColor="text1"/>
          <w:szCs w:val="22"/>
          <w:u w:val="single"/>
          <w:lang w:val="fr-BE"/>
        </w:rPr>
        <w:t>Méthode</w:t>
      </w:r>
      <w:bookmarkEnd w:id="4"/>
    </w:p>
    <w:p w:rsidR="00080C84" w:rsidRDefault="00080C84" w:rsidP="00080C84">
      <w:pPr>
        <w:pStyle w:val="ListParagraph"/>
        <w:spacing w:line="276" w:lineRule="auto"/>
        <w:rPr>
          <w:rFonts w:cs="Arial"/>
          <w:color w:val="000000" w:themeColor="text1"/>
          <w:szCs w:val="22"/>
          <w:u w:val="single"/>
          <w:lang w:val="fr-BE"/>
        </w:rPr>
      </w:pP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 xml:space="preserve">L’analyse affinée des résultats de la Politique d’inscription de l’année scolaire antérieure conduit à prendre des mesures ciblées au regard de chaque groupe scolaire : école/site, section linguistique, niveau d’enseignement. </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Sauf ajustement particulier nécessité par l’analyse globale des effectifs, la structure des classes est définie par l’Autorité centrale des inscriptions, en principe, pour chaque niveau de chaque section linguistique, comme suit :</w:t>
      </w:r>
    </w:p>
    <w:p w:rsidR="00080C84" w:rsidRDefault="00080C84" w:rsidP="00080C84">
      <w:pPr>
        <w:pStyle w:val="ListParagraph"/>
        <w:numPr>
          <w:ilvl w:val="0"/>
          <w:numId w:val="30"/>
        </w:numPr>
        <w:spacing w:before="0" w:after="0" w:line="276" w:lineRule="auto"/>
        <w:rPr>
          <w:rFonts w:cs="Arial"/>
          <w:color w:val="000000" w:themeColor="text1"/>
          <w:szCs w:val="22"/>
          <w:lang w:val="fr-BE"/>
        </w:rPr>
      </w:pPr>
      <w:r>
        <w:rPr>
          <w:rFonts w:cs="Arial"/>
          <w:color w:val="000000" w:themeColor="text1"/>
          <w:szCs w:val="22"/>
          <w:lang w:val="fr-BE"/>
        </w:rPr>
        <w:t xml:space="preserve">en fixant le nombre de places disponibles nécessaires par l’addition du glissement (les enfants actuellement inscrits pour l’année scolaire </w:t>
      </w:r>
      <w:r>
        <w:rPr>
          <w:rFonts w:cs="Arial"/>
          <w:szCs w:val="22"/>
          <w:lang w:val="fr-BE"/>
        </w:rPr>
        <w:t xml:space="preserve">2019-2020 et ayant </w:t>
      </w:r>
      <w:r>
        <w:rPr>
          <w:rFonts w:cs="Arial"/>
          <w:color w:val="000000" w:themeColor="text1"/>
          <w:szCs w:val="22"/>
          <w:lang w:val="fr-BE"/>
        </w:rPr>
        <w:t>vocation à poursuivre leur scolarité aux Ecoles européennes) et du nombre de nouvelles demandes enregistrées pendant la campagne précédente ;</w:t>
      </w:r>
    </w:p>
    <w:p w:rsidR="00080C84" w:rsidRDefault="00080C84" w:rsidP="00080C84">
      <w:pPr>
        <w:pStyle w:val="ListParagraph"/>
        <w:numPr>
          <w:ilvl w:val="0"/>
          <w:numId w:val="30"/>
        </w:numPr>
        <w:spacing w:before="0" w:after="0" w:line="276" w:lineRule="auto"/>
        <w:rPr>
          <w:rFonts w:cs="Arial"/>
          <w:color w:val="000000" w:themeColor="text1"/>
          <w:szCs w:val="22"/>
          <w:lang w:val="fr-BE"/>
        </w:rPr>
      </w:pPr>
      <w:r>
        <w:rPr>
          <w:rFonts w:cs="Arial"/>
          <w:color w:val="000000" w:themeColor="text1"/>
          <w:szCs w:val="22"/>
          <w:lang w:val="fr-BE"/>
        </w:rPr>
        <w:t>en divisant le nombre de places disponibles nécessaires par le seuil fixé à 26 élèves au niveau secondaire et à 20 élèves aux niveaux maternel et primaire pour déterminer le nombre de classes exigées, la réserve étant destinée à l’attribution des places pour les situations autres.</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Compte tenu de la méthode envisagée, il est impératif pour les demandeurs d’inscription de renseigner un ordre de préférence pour les 5 écoles/sites.</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 xml:space="preserve">L’organisation de la campagne d’inscription en deux phases et le classement aléatoire des dossiers en phase I doivent être maintenus, ces procédures ayant été bien intégrées par l’ACI et comprises par les demandeurs d’inscription. </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 xml:space="preserve">L’obligation d’introduire la majorité des demandes d’inscription en première phase a permis une meilleure gestion de la campagne limitant les inconvénients liés aux difficultés d’organisation dans les semaines précédant immédiatement la rentrée scolaire (difficulté à créer de nouvelles classes en fin de campagne d’inscription, délai trop bref pour assurer le recrutement des enseignants, renonciation à des places attribuées, notamment). </w:t>
      </w:r>
    </w:p>
    <w:p w:rsidR="00080C84" w:rsidRDefault="00080C84" w:rsidP="00080C84">
      <w:pPr>
        <w:spacing w:line="276" w:lineRule="auto"/>
        <w:rPr>
          <w:rFonts w:cs="Arial"/>
          <w:szCs w:val="22"/>
          <w:lang w:val="fr-BE"/>
        </w:rPr>
      </w:pPr>
      <w:r>
        <w:rPr>
          <w:rFonts w:cs="Arial"/>
          <w:color w:val="000000" w:themeColor="text1"/>
          <w:szCs w:val="22"/>
          <w:lang w:val="fr-BE"/>
        </w:rPr>
        <w:t>Par voie de conséquence, comme l’année scolaire antérieure, les demandeurs d’inscription et de transfert</w:t>
      </w:r>
      <w:r>
        <w:rPr>
          <w:rStyle w:val="FootnoteReference"/>
          <w:rFonts w:cs="Arial"/>
          <w:color w:val="000000" w:themeColor="text1"/>
          <w:szCs w:val="22"/>
          <w:lang w:val="fr-BE"/>
        </w:rPr>
        <w:footnoteReference w:id="14"/>
      </w:r>
      <w:r>
        <w:rPr>
          <w:rFonts w:cs="Arial"/>
          <w:color w:val="000000" w:themeColor="text1"/>
          <w:szCs w:val="22"/>
          <w:lang w:val="fr-BE"/>
        </w:rPr>
        <w:t>, qui sont en poste dans les Institutions européennes</w:t>
      </w:r>
      <w:bookmarkStart w:id="5" w:name="_Ref529808497"/>
      <w:r>
        <w:rPr>
          <w:rStyle w:val="FootnoteReference"/>
          <w:rFonts w:cs="Arial"/>
          <w:color w:val="000000" w:themeColor="text1"/>
          <w:szCs w:val="22"/>
          <w:lang w:val="fr-BE"/>
        </w:rPr>
        <w:footnoteReference w:id="15"/>
      </w:r>
      <w:bookmarkEnd w:id="5"/>
      <w:r>
        <w:rPr>
          <w:rFonts w:cs="Arial"/>
          <w:color w:val="000000" w:themeColor="text1"/>
          <w:szCs w:val="22"/>
          <w:lang w:val="fr-BE"/>
        </w:rPr>
        <w:t xml:space="preserve"> au </w:t>
      </w:r>
      <w:r>
        <w:rPr>
          <w:rFonts w:cs="Arial"/>
          <w:szCs w:val="22"/>
          <w:lang w:val="fr-BE"/>
        </w:rPr>
        <w:t xml:space="preserve">31 décembre 2019, seront invités à introduire leur demande </w:t>
      </w:r>
      <w:r>
        <w:rPr>
          <w:rFonts w:cs="Arial"/>
          <w:b/>
          <w:szCs w:val="22"/>
          <w:lang w:val="fr-BE"/>
        </w:rPr>
        <w:t>obligatoirement</w:t>
      </w:r>
      <w:r>
        <w:rPr>
          <w:rFonts w:cs="Arial"/>
          <w:szCs w:val="22"/>
          <w:lang w:val="fr-BE"/>
        </w:rPr>
        <w:t xml:space="preserve"> en première phase. La deuxième phase est réservée exclusivement (sauf cas de force majeure dûment motivé) aux demandeurs d’inscription prenant leurs fonctions dans les Institutions européennes</w:t>
      </w:r>
      <w:r>
        <w:rPr>
          <w:rFonts w:cs="Arial"/>
          <w:szCs w:val="22"/>
          <w:lang w:val="fr-BE"/>
        </w:rPr>
        <w:fldChar w:fldCharType="begin"/>
      </w:r>
      <w:r>
        <w:rPr>
          <w:rFonts w:cs="Arial"/>
          <w:szCs w:val="22"/>
          <w:lang w:val="fr-BE"/>
        </w:rPr>
        <w:instrText xml:space="preserve"> NOTEREF _Ref529808497 \h </w:instrText>
      </w:r>
      <w:r>
        <w:rPr>
          <w:rFonts w:cs="Arial"/>
          <w:b/>
          <w:bCs/>
          <w:szCs w:val="22"/>
        </w:rPr>
        <w:instrText>\f</w:instrText>
      </w:r>
      <w:r>
        <w:rPr>
          <w:rFonts w:cs="Arial"/>
          <w:szCs w:val="22"/>
          <w:lang w:val="fr-BE"/>
        </w:rPr>
        <w:instrText xml:space="preserve"> \* MERGEFORMAT </w:instrText>
      </w:r>
      <w:r>
        <w:rPr>
          <w:rFonts w:cs="Arial"/>
          <w:szCs w:val="22"/>
          <w:lang w:val="fr-BE"/>
        </w:rPr>
      </w:r>
      <w:r>
        <w:rPr>
          <w:rFonts w:cs="Arial"/>
          <w:szCs w:val="22"/>
          <w:lang w:val="fr-BE"/>
        </w:rPr>
        <w:fldChar w:fldCharType="separate"/>
      </w:r>
      <w:r w:rsidR="00A56C94" w:rsidRPr="00A56C94">
        <w:rPr>
          <w:rStyle w:val="FootnoteReference"/>
          <w:rFonts w:cs="Arial"/>
          <w:szCs w:val="22"/>
        </w:rPr>
        <w:t>7</w:t>
      </w:r>
      <w:r>
        <w:rPr>
          <w:rFonts w:cs="Arial"/>
          <w:szCs w:val="22"/>
          <w:lang w:val="fr-BE"/>
        </w:rPr>
        <w:fldChar w:fldCharType="end"/>
      </w:r>
      <w:r>
        <w:rPr>
          <w:rFonts w:cs="Arial"/>
          <w:szCs w:val="22"/>
          <w:lang w:val="fr-BE"/>
        </w:rPr>
        <w:t xml:space="preserve"> à Bruxelles (quelle qu’en soit la raison : nouveau recrutement, transfert d’un autre site, retour en </w:t>
      </w:r>
      <w:r>
        <w:rPr>
          <w:rFonts w:cs="Arial"/>
          <w:szCs w:val="22"/>
          <w:lang w:val="fr-BE"/>
        </w:rPr>
        <w:lastRenderedPageBreak/>
        <w:t>activité etc.) à partir du 1</w:t>
      </w:r>
      <w:r>
        <w:rPr>
          <w:rFonts w:cs="Arial"/>
          <w:szCs w:val="22"/>
          <w:vertAlign w:val="superscript"/>
          <w:lang w:val="fr-BE"/>
        </w:rPr>
        <w:t>er</w:t>
      </w:r>
      <w:r>
        <w:rPr>
          <w:rFonts w:cs="Arial"/>
          <w:szCs w:val="22"/>
          <w:lang w:val="fr-BE"/>
        </w:rPr>
        <w:t xml:space="preserve"> janvier</w:t>
      </w:r>
      <w:r>
        <w:rPr>
          <w:rFonts w:cs="Arial"/>
          <w:b/>
          <w:szCs w:val="22"/>
          <w:lang w:val="fr-BE"/>
        </w:rPr>
        <w:t xml:space="preserve"> </w:t>
      </w:r>
      <w:r>
        <w:rPr>
          <w:rFonts w:cs="Arial"/>
          <w:szCs w:val="22"/>
          <w:lang w:val="fr-BE"/>
        </w:rPr>
        <w:t xml:space="preserve">2020 ainsi qu’aux demandeurs d’inscription, dont les enfants sont scolarisés en dehors du territoire belge pendant l’année scolaire 2019-2020. </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Une information adéquate relative aux délais d’introduction des demandes est diffusée en ce sens par les Ecoles (via leur site web et le site des Ecoles européennes) pour informer les demandeurs d’inscription et de transfert. Une collaboration est requise de la part des Associations de Parents d’élèves et de la DG des ressources humaines de la Commission européenne.</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Par ailleurs, les prévisions légitimes de l’ACI peuvent être déjouées par les décisions des parents d’élèves</w:t>
      </w:r>
      <w:r>
        <w:rPr>
          <w:rFonts w:cs="Arial"/>
          <w:szCs w:val="22"/>
          <w:lang w:val="fr-BE"/>
        </w:rPr>
        <w:t>, notamment lorsqu’ils renoncent à une place attribuée qu’ils ont acceptée</w:t>
      </w:r>
      <w:r>
        <w:rPr>
          <w:rStyle w:val="FootnoteReference"/>
          <w:rFonts w:cs="Arial"/>
          <w:szCs w:val="22"/>
          <w:lang w:val="fr-BE"/>
        </w:rPr>
        <w:footnoteReference w:id="16"/>
      </w:r>
      <w:r>
        <w:rPr>
          <w:rFonts w:cs="Arial"/>
          <w:szCs w:val="22"/>
          <w:lang w:val="fr-BE"/>
        </w:rPr>
        <w:t xml:space="preserve">. Une information particulière est </w:t>
      </w:r>
      <w:r>
        <w:rPr>
          <w:rFonts w:cs="Arial"/>
          <w:color w:val="000000" w:themeColor="text1"/>
          <w:szCs w:val="22"/>
          <w:lang w:val="fr-BE"/>
        </w:rPr>
        <w:t xml:space="preserve">diffusée dans les écoles afin d’inciter : </w:t>
      </w:r>
    </w:p>
    <w:p w:rsidR="00080C84" w:rsidRDefault="00080C84" w:rsidP="00080C84">
      <w:pPr>
        <w:pStyle w:val="ListParagraph"/>
        <w:numPr>
          <w:ilvl w:val="0"/>
          <w:numId w:val="31"/>
        </w:numPr>
        <w:spacing w:before="0" w:after="0" w:line="276" w:lineRule="auto"/>
        <w:contextualSpacing w:val="0"/>
        <w:rPr>
          <w:rFonts w:cs="Arial"/>
          <w:color w:val="000000" w:themeColor="text1"/>
          <w:szCs w:val="22"/>
          <w:lang w:val="fr-BE"/>
        </w:rPr>
      </w:pPr>
      <w:r>
        <w:rPr>
          <w:rFonts w:cs="Arial"/>
          <w:color w:val="000000" w:themeColor="text1"/>
          <w:szCs w:val="22"/>
          <w:lang w:val="fr-BE"/>
        </w:rPr>
        <w:t xml:space="preserve">Les parents d’élèves actuellement scolarisés aux Ecoles européennes d’aviser celles-ci le plus tôt possible et au plus </w:t>
      </w:r>
      <w:r>
        <w:rPr>
          <w:rFonts w:cs="Arial"/>
          <w:szCs w:val="22"/>
          <w:lang w:val="fr-BE"/>
        </w:rPr>
        <w:t>tard le 30 juin</w:t>
      </w:r>
      <w:r>
        <w:rPr>
          <w:rFonts w:cs="Arial"/>
          <w:b/>
          <w:szCs w:val="22"/>
          <w:lang w:val="fr-BE"/>
        </w:rPr>
        <w:t xml:space="preserve"> </w:t>
      </w:r>
      <w:r>
        <w:rPr>
          <w:rFonts w:cs="Arial"/>
          <w:szCs w:val="22"/>
          <w:lang w:val="fr-BE"/>
        </w:rPr>
        <w:t xml:space="preserve">2020 de tout projet </w:t>
      </w:r>
      <w:r>
        <w:rPr>
          <w:rFonts w:cs="Arial"/>
          <w:color w:val="000000" w:themeColor="text1"/>
          <w:szCs w:val="22"/>
          <w:lang w:val="fr-BE"/>
        </w:rPr>
        <w:t>de terminaison de la scolarité de l’enfant dans le système (pour affiner les chiffres du glissement) ;</w:t>
      </w:r>
    </w:p>
    <w:p w:rsidR="00080C84" w:rsidRDefault="00080C84" w:rsidP="00080C84">
      <w:pPr>
        <w:pStyle w:val="ListParagraph"/>
        <w:numPr>
          <w:ilvl w:val="0"/>
          <w:numId w:val="31"/>
        </w:numPr>
        <w:spacing w:before="0" w:after="0" w:line="276" w:lineRule="auto"/>
        <w:contextualSpacing w:val="0"/>
        <w:jc w:val="left"/>
        <w:rPr>
          <w:rFonts w:ascii="Times New Roman" w:hAnsi="Times New Roman" w:cs="Arial"/>
          <w:color w:val="000000" w:themeColor="text1"/>
          <w:szCs w:val="22"/>
          <w:lang w:val="fr-BE"/>
        </w:rPr>
      </w:pPr>
      <w:r>
        <w:rPr>
          <w:rFonts w:cs="Arial"/>
          <w:color w:val="000000" w:themeColor="text1"/>
          <w:szCs w:val="22"/>
          <w:lang w:val="fr-BE"/>
        </w:rPr>
        <w:t xml:space="preserve">Les demandeurs d’inscription ayant accepté une place d’aviser l’ACI sans délai en cas de renonciation à celle-ci permettant alors de retrouver des places disponibles ou à pourvoir.  </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Le traitement des groupements de fratries (d’abord celles comprenant au moins un élève au niveau secondaire, puis les autres) avant les demandes d’inscription d’élèves seuls a bien fonctionné et a permis d’optimiser l’utilisation de la réserve. Ainsi, il a été possible d’attribuer des places à toutes les fratries sans devoir créer de nouvelles classes pour accueillir ces demandes.</w:t>
      </w:r>
    </w:p>
    <w:p w:rsidR="00080C84" w:rsidRDefault="00080C84" w:rsidP="00080C84">
      <w:pPr>
        <w:spacing w:line="276" w:lineRule="auto"/>
        <w:rPr>
          <w:rFonts w:cs="Arial"/>
          <w:color w:val="000000" w:themeColor="text1"/>
          <w:szCs w:val="22"/>
          <w:lang w:val="fr-BE"/>
        </w:rPr>
      </w:pPr>
      <w:r>
        <w:rPr>
          <w:rFonts w:cs="Arial"/>
          <w:color w:val="000000" w:themeColor="text1"/>
          <w:szCs w:val="22"/>
          <w:lang w:val="fr-BE"/>
        </w:rPr>
        <w:t>Par voie de conséquence, dans la mesure où les contraintes logistiques et les règles de distribution des effectifs le permettent :</w:t>
      </w:r>
    </w:p>
    <w:p w:rsidR="00080C84" w:rsidRDefault="00080C84" w:rsidP="00080C84">
      <w:pPr>
        <w:numPr>
          <w:ilvl w:val="0"/>
          <w:numId w:val="32"/>
        </w:numPr>
        <w:spacing w:before="0" w:after="0" w:line="276" w:lineRule="auto"/>
        <w:rPr>
          <w:rFonts w:cs="Arial"/>
          <w:color w:val="000000" w:themeColor="text1"/>
          <w:szCs w:val="22"/>
          <w:lang w:val="fr-BE"/>
        </w:rPr>
      </w:pPr>
      <w:r>
        <w:rPr>
          <w:rFonts w:cs="Arial"/>
          <w:color w:val="000000" w:themeColor="text1"/>
          <w:szCs w:val="22"/>
          <w:lang w:val="fr-BE"/>
        </w:rPr>
        <w:t>il y a lieu d’inviter les demandeurs d’inscription à exprimer un ordre de préférence relatif aux 5 écoles/sites ;</w:t>
      </w:r>
    </w:p>
    <w:p w:rsidR="00080C84" w:rsidRDefault="00080C84" w:rsidP="00080C84">
      <w:pPr>
        <w:numPr>
          <w:ilvl w:val="0"/>
          <w:numId w:val="32"/>
        </w:numPr>
        <w:spacing w:before="0" w:after="0" w:line="276" w:lineRule="auto"/>
        <w:rPr>
          <w:rFonts w:cs="Arial"/>
          <w:color w:val="000000" w:themeColor="text1"/>
          <w:szCs w:val="22"/>
          <w:lang w:val="fr-BE"/>
        </w:rPr>
      </w:pPr>
      <w:r>
        <w:rPr>
          <w:rFonts w:cs="Arial"/>
          <w:color w:val="000000" w:themeColor="text1"/>
          <w:szCs w:val="22"/>
          <w:lang w:val="fr-BE"/>
        </w:rPr>
        <w:t xml:space="preserve">il y a lieu d’imposer l’introduction </w:t>
      </w:r>
      <w:r>
        <w:rPr>
          <w:rFonts w:cs="Arial"/>
          <w:szCs w:val="22"/>
          <w:lang w:val="fr-BE"/>
        </w:rPr>
        <w:t>des demandes d’inscription et de transfert en première phase, sauf pour les demandeurs d’inscription prenant leurs fonctions dans les Institutions européennes</w:t>
      </w:r>
      <w:r>
        <w:rPr>
          <w:rStyle w:val="FootnoteReference"/>
          <w:rFonts w:cs="Arial"/>
          <w:color w:val="000000" w:themeColor="text1"/>
          <w:szCs w:val="22"/>
          <w:lang w:val="fr-BE"/>
        </w:rPr>
        <w:footnoteReference w:id="17"/>
      </w:r>
      <w:r>
        <w:rPr>
          <w:rFonts w:cs="Arial"/>
          <w:szCs w:val="22"/>
          <w:lang w:val="fr-BE"/>
        </w:rPr>
        <w:t xml:space="preserve"> à partir du 1</w:t>
      </w:r>
      <w:r>
        <w:rPr>
          <w:rFonts w:cs="Arial"/>
          <w:szCs w:val="22"/>
          <w:vertAlign w:val="superscript"/>
          <w:lang w:val="fr-BE"/>
        </w:rPr>
        <w:t>er</w:t>
      </w:r>
      <w:r>
        <w:rPr>
          <w:rFonts w:cs="Arial"/>
          <w:szCs w:val="22"/>
          <w:lang w:val="fr-BE"/>
        </w:rPr>
        <w:t xml:space="preserve"> janvier</w:t>
      </w:r>
      <w:r>
        <w:rPr>
          <w:rFonts w:cs="Arial"/>
          <w:b/>
          <w:szCs w:val="22"/>
          <w:lang w:val="fr-BE"/>
        </w:rPr>
        <w:t xml:space="preserve"> </w:t>
      </w:r>
      <w:r>
        <w:rPr>
          <w:rFonts w:cs="Arial"/>
          <w:szCs w:val="22"/>
          <w:lang w:val="fr-BE"/>
        </w:rPr>
        <w:t>2020</w:t>
      </w:r>
      <w:r>
        <w:rPr>
          <w:rFonts w:cs="Arial"/>
          <w:b/>
          <w:color w:val="FF0000"/>
          <w:szCs w:val="22"/>
          <w:lang w:val="fr-BE"/>
        </w:rPr>
        <w:t xml:space="preserve"> </w:t>
      </w:r>
      <w:r>
        <w:rPr>
          <w:rFonts w:cs="Arial"/>
          <w:szCs w:val="22"/>
          <w:lang w:val="fr-BE"/>
        </w:rPr>
        <w:t>ainsi que pour les demandeurs d’inscription, dont les enfants sont scolarisés en dehors du territoire belge pendant l’année scolaire 2019-2020</w:t>
      </w:r>
      <w:r>
        <w:rPr>
          <w:rFonts w:cs="Arial"/>
          <w:b/>
          <w:color w:val="FF0000"/>
          <w:szCs w:val="22"/>
          <w:lang w:val="fr-BE"/>
        </w:rPr>
        <w:t xml:space="preserve"> </w:t>
      </w:r>
      <w:r>
        <w:rPr>
          <w:rFonts w:cs="Arial"/>
          <w:szCs w:val="22"/>
          <w:lang w:val="fr-BE"/>
        </w:rPr>
        <w:t>ou en cas de force majeure dûment justifié ;</w:t>
      </w:r>
    </w:p>
    <w:p w:rsidR="00080C84" w:rsidRDefault="00080C84" w:rsidP="00080C84">
      <w:pPr>
        <w:numPr>
          <w:ilvl w:val="0"/>
          <w:numId w:val="32"/>
        </w:numPr>
        <w:spacing w:before="0" w:after="0" w:line="276" w:lineRule="auto"/>
        <w:rPr>
          <w:rFonts w:cs="Arial"/>
          <w:szCs w:val="22"/>
          <w:lang w:val="fr-BE"/>
        </w:rPr>
      </w:pPr>
      <w:r>
        <w:rPr>
          <w:rFonts w:cs="Arial"/>
          <w:szCs w:val="22"/>
          <w:lang w:val="fr-BE"/>
        </w:rPr>
        <w:t xml:space="preserve">il y a lieu de fixer un ordre de traitement des dossiers, établi à l’issue d’un classement aléatoire (en phase I) ; </w:t>
      </w:r>
    </w:p>
    <w:p w:rsidR="00080C84" w:rsidRDefault="00080C84" w:rsidP="00080C84">
      <w:pPr>
        <w:numPr>
          <w:ilvl w:val="0"/>
          <w:numId w:val="32"/>
        </w:numPr>
        <w:spacing w:before="0" w:after="0" w:line="276" w:lineRule="auto"/>
        <w:rPr>
          <w:rFonts w:cs="Arial"/>
          <w:strike/>
          <w:szCs w:val="22"/>
          <w:lang w:val="fr-BE"/>
        </w:rPr>
      </w:pPr>
      <w:r>
        <w:rPr>
          <w:rFonts w:cs="Arial"/>
          <w:szCs w:val="22"/>
          <w:lang w:val="fr-BE"/>
        </w:rPr>
        <w:t xml:space="preserve">le seuil des places disponibles est fixé à 20 élèves pour toutes les classes des cycles maternel et primaire et à 26 élèves pour les classes du cycle secondaire ; </w:t>
      </w:r>
    </w:p>
    <w:p w:rsidR="00080C84" w:rsidRDefault="00080C84" w:rsidP="00080C84">
      <w:pPr>
        <w:numPr>
          <w:ilvl w:val="0"/>
          <w:numId w:val="32"/>
        </w:numPr>
        <w:spacing w:before="0" w:after="0" w:line="276" w:lineRule="auto"/>
        <w:rPr>
          <w:rFonts w:cs="Arial"/>
          <w:szCs w:val="22"/>
          <w:lang w:val="fr-BE"/>
        </w:rPr>
      </w:pPr>
      <w:r>
        <w:rPr>
          <w:rFonts w:cs="Arial"/>
          <w:szCs w:val="22"/>
          <w:lang w:val="fr-BE"/>
        </w:rPr>
        <w:t>sont traitées en premier lieu les demandes de transfert obligatoire des élèves inscrits à l’Ecole européenne de Bruxelles I – site Berkendael en P5 pour l’année scolaire 2019-2020 (et le cas échéant de leur fratrie) vers les Ecoles européennes de Bruxelles I – site Uccle, Bruxelles II, III et IV en fonction des préférences exprimées par les demandeurs et des places à pourvoir ;</w:t>
      </w:r>
    </w:p>
    <w:p w:rsidR="00080C84" w:rsidRDefault="00080C84" w:rsidP="00080C84">
      <w:pPr>
        <w:numPr>
          <w:ilvl w:val="0"/>
          <w:numId w:val="32"/>
        </w:numPr>
        <w:spacing w:before="0" w:after="0" w:line="276" w:lineRule="auto"/>
        <w:rPr>
          <w:rFonts w:cs="Arial"/>
          <w:strike/>
          <w:szCs w:val="22"/>
          <w:lang w:val="fr-BE"/>
        </w:rPr>
      </w:pPr>
      <w:r>
        <w:rPr>
          <w:rFonts w:cs="Arial"/>
          <w:szCs w:val="22"/>
          <w:lang w:val="fr-BE"/>
        </w:rPr>
        <w:t>des transferts d’un(e) école/site vers un(e) autre école/site sont autorisés, même s’ils ne se fondent pas sur des circonstances particulières, pour certains groupes scolaires particuliers (notamment pour permettre la scolarisation de frères et sœurs dans un(e) même école/site) ;</w:t>
      </w:r>
    </w:p>
    <w:p w:rsidR="00080C84" w:rsidRDefault="00080C84" w:rsidP="00080C84">
      <w:pPr>
        <w:numPr>
          <w:ilvl w:val="0"/>
          <w:numId w:val="32"/>
        </w:numPr>
        <w:spacing w:before="0" w:after="0" w:line="276" w:lineRule="auto"/>
        <w:rPr>
          <w:rFonts w:cs="Arial"/>
          <w:strike/>
          <w:szCs w:val="22"/>
          <w:lang w:val="fr-BE"/>
        </w:rPr>
      </w:pPr>
      <w:r>
        <w:rPr>
          <w:rFonts w:cs="Arial"/>
          <w:szCs w:val="22"/>
          <w:lang w:val="fr-BE"/>
        </w:rPr>
        <w:lastRenderedPageBreak/>
        <w:t>après attribution des places aux élèves présentant des critères particuliers de priorité, les places disponibles de chaque classe seront d’abord attribuées aux demandeurs d’inscriptions conjointes (groupement de fratrie), puis aux demandeurs d’inscription d’un élève seul, dans la mesure des places disponibles, puis celles de la réserve.</w:t>
      </w:r>
    </w:p>
    <w:p w:rsidR="00080C84" w:rsidRDefault="00080C84" w:rsidP="00080C84">
      <w:pPr>
        <w:spacing w:before="0" w:after="0" w:line="276" w:lineRule="auto"/>
        <w:ind w:left="720"/>
        <w:rPr>
          <w:rFonts w:cs="Arial"/>
          <w:strike/>
          <w:sz w:val="26"/>
          <w:szCs w:val="26"/>
          <w:lang w:val="fr-BE"/>
        </w:rPr>
      </w:pPr>
    </w:p>
    <w:p w:rsidR="00080C84" w:rsidRDefault="00080C84" w:rsidP="00080C84">
      <w:pPr>
        <w:spacing w:before="0" w:after="0" w:line="276" w:lineRule="auto"/>
        <w:ind w:left="720"/>
        <w:rPr>
          <w:rFonts w:cs="Arial"/>
          <w:strike/>
          <w:szCs w:val="22"/>
          <w:lang w:val="fr-BE"/>
        </w:rPr>
      </w:pPr>
    </w:p>
    <w:p w:rsidR="00080C84" w:rsidRDefault="00080C84" w:rsidP="00080C84">
      <w:pPr>
        <w:pStyle w:val="ListParagraph"/>
        <w:numPr>
          <w:ilvl w:val="0"/>
          <w:numId w:val="27"/>
        </w:numPr>
        <w:spacing w:before="0" w:after="0" w:line="276" w:lineRule="auto"/>
        <w:contextualSpacing w:val="0"/>
        <w:jc w:val="left"/>
        <w:rPr>
          <w:rFonts w:cs="Arial"/>
          <w:szCs w:val="22"/>
          <w:lang w:val="fr-BE"/>
        </w:rPr>
      </w:pPr>
      <w:r>
        <w:rPr>
          <w:rFonts w:cs="Arial"/>
          <w:szCs w:val="22"/>
          <w:u w:val="single"/>
          <w:lang w:val="fr-BE"/>
        </w:rPr>
        <w:t>Considérant</w:t>
      </w:r>
      <w:r>
        <w:rPr>
          <w:rFonts w:cs="Arial"/>
          <w:szCs w:val="22"/>
          <w:lang w:val="fr-BE"/>
        </w:rPr>
        <w:t> :</w:t>
      </w:r>
    </w:p>
    <w:p w:rsidR="00080C84" w:rsidRDefault="00080C84" w:rsidP="00080C84">
      <w:pPr>
        <w:pStyle w:val="ListParagraph"/>
        <w:spacing w:line="276" w:lineRule="auto"/>
        <w:rPr>
          <w:rFonts w:cs="Arial"/>
          <w:b/>
          <w:szCs w:val="22"/>
          <w:lang w:val="fr-BE"/>
        </w:rPr>
      </w:pPr>
    </w:p>
    <w:p w:rsidR="00080C84" w:rsidRDefault="00080C84" w:rsidP="00080C84">
      <w:pPr>
        <w:pStyle w:val="ListParagraph"/>
        <w:numPr>
          <w:ilvl w:val="0"/>
          <w:numId w:val="32"/>
        </w:numPr>
        <w:spacing w:before="0" w:after="0" w:line="276" w:lineRule="auto"/>
        <w:contextualSpacing w:val="0"/>
        <w:rPr>
          <w:rFonts w:cs="Arial"/>
          <w:color w:val="000000" w:themeColor="text1"/>
          <w:szCs w:val="22"/>
          <w:lang w:val="fr-BE"/>
        </w:rPr>
      </w:pPr>
      <w:r>
        <w:rPr>
          <w:rFonts w:cs="Arial"/>
          <w:color w:val="000000" w:themeColor="text1"/>
          <w:szCs w:val="22"/>
          <w:lang w:val="fr-BE"/>
        </w:rPr>
        <w:t>Le maintien de la mise à disposition du site de Berkendael de l’Ecole européenne de Bruxelles I dans l’attente de la mise à disposition de l’infrastructure définitive de la cinquième école ;</w:t>
      </w:r>
    </w:p>
    <w:p w:rsidR="00080C84" w:rsidRDefault="00080C84" w:rsidP="00080C84">
      <w:pPr>
        <w:pStyle w:val="ListParagraph"/>
        <w:numPr>
          <w:ilvl w:val="0"/>
          <w:numId w:val="32"/>
        </w:numPr>
        <w:spacing w:before="0" w:after="0" w:line="276" w:lineRule="auto"/>
        <w:contextualSpacing w:val="0"/>
        <w:rPr>
          <w:rFonts w:cs="Arial"/>
          <w:szCs w:val="22"/>
          <w:lang w:val="fr-BE"/>
        </w:rPr>
      </w:pPr>
      <w:r>
        <w:rPr>
          <w:rFonts w:cs="Arial"/>
          <w:color w:val="000000" w:themeColor="text1"/>
          <w:szCs w:val="22"/>
          <w:lang w:val="fr-BE"/>
        </w:rPr>
        <w:t xml:space="preserve">Le constat que les Ecoles européennes de Bruxelles I - site Uccle, II </w:t>
      </w:r>
      <w:r>
        <w:rPr>
          <w:rFonts w:cs="Arial"/>
          <w:szCs w:val="22"/>
          <w:lang w:val="fr-BE"/>
        </w:rPr>
        <w:t>et</w:t>
      </w:r>
      <w:r>
        <w:rPr>
          <w:rFonts w:cs="Arial"/>
          <w:b/>
          <w:color w:val="FF0000"/>
          <w:szCs w:val="22"/>
          <w:lang w:val="fr-BE"/>
        </w:rPr>
        <w:t xml:space="preserve"> </w:t>
      </w:r>
      <w:r>
        <w:rPr>
          <w:rFonts w:cs="Arial"/>
          <w:color w:val="000000" w:themeColor="text1"/>
          <w:szCs w:val="22"/>
          <w:lang w:val="fr-BE"/>
        </w:rPr>
        <w:t>III ont atteint la limite maximale du nombre de salles de classe disponibles au cycle primaire </w:t>
      </w:r>
      <w:r>
        <w:rPr>
          <w:rFonts w:cs="Arial"/>
          <w:szCs w:val="22"/>
          <w:lang w:val="fr-BE"/>
        </w:rPr>
        <w:t>;</w:t>
      </w:r>
    </w:p>
    <w:p w:rsidR="00080C84" w:rsidRDefault="00080C84" w:rsidP="00080C84">
      <w:pPr>
        <w:pStyle w:val="ListParagraph"/>
        <w:spacing w:line="276" w:lineRule="auto"/>
        <w:rPr>
          <w:rFonts w:cs="Arial"/>
          <w:szCs w:val="22"/>
          <w:lang w:val="fr-BE"/>
        </w:rPr>
      </w:pPr>
    </w:p>
    <w:p w:rsidR="00080C84" w:rsidRDefault="00080C84" w:rsidP="00080C84">
      <w:pPr>
        <w:spacing w:before="0" w:after="0" w:line="276" w:lineRule="auto"/>
        <w:rPr>
          <w:rFonts w:cs="Arial"/>
          <w:b/>
          <w:szCs w:val="22"/>
          <w:lang w:val="fr-BE"/>
        </w:rPr>
      </w:pPr>
      <w:r>
        <w:rPr>
          <w:rFonts w:cs="Arial"/>
          <w:b/>
          <w:szCs w:val="22"/>
          <w:lang w:val="fr-BE"/>
        </w:rPr>
        <w:t>Le Conseil supérieur donne mandat à l’Autorité centrale des inscriptions d’adopter une Politique d’inscription des Ecoles européennes de Bruxelles, ainsi que toutes mesures visant à la mettre en pratique et à organiser de manière optimale le déroulement de la campagne d’inscription en vue de la rentrée scolaire de l’année 2020-2021.</w:t>
      </w:r>
    </w:p>
    <w:p w:rsidR="00080C84" w:rsidRDefault="00080C84" w:rsidP="00080C84">
      <w:pPr>
        <w:spacing w:before="0" w:after="0" w:line="276" w:lineRule="auto"/>
        <w:jc w:val="left"/>
        <w:rPr>
          <w:rFonts w:cs="Arial"/>
          <w:b/>
          <w:sz w:val="26"/>
          <w:szCs w:val="26"/>
          <w:lang w:val="fr-BE"/>
        </w:rPr>
      </w:pPr>
    </w:p>
    <w:p w:rsidR="00080C84" w:rsidRDefault="00080C84" w:rsidP="00080C84">
      <w:pPr>
        <w:spacing w:before="0" w:after="0"/>
        <w:jc w:val="left"/>
        <w:rPr>
          <w:rFonts w:cs="Arial"/>
          <w:b/>
          <w:szCs w:val="22"/>
          <w:lang w:val="fr-BE"/>
        </w:rPr>
      </w:pPr>
      <w:r>
        <w:rPr>
          <w:rFonts w:cs="Arial"/>
          <w:b/>
          <w:szCs w:val="22"/>
          <w:lang w:val="fr-BE"/>
        </w:rPr>
        <w:t>Le Conseil supérieur fixe les objectifs suivants, qui ne sont pas classés selon un ordre de priorités :</w:t>
      </w:r>
    </w:p>
    <w:p w:rsidR="00080C84" w:rsidRDefault="00080C84" w:rsidP="00080C84">
      <w:pPr>
        <w:spacing w:before="0" w:after="0" w:line="276" w:lineRule="auto"/>
        <w:rPr>
          <w:rFonts w:cs="Arial"/>
          <w:b/>
          <w:szCs w:val="22"/>
          <w:lang w:val="fr-BE"/>
        </w:rPr>
      </w:pPr>
    </w:p>
    <w:p w:rsidR="00080C84" w:rsidRDefault="00080C84" w:rsidP="00080C84">
      <w:pPr>
        <w:numPr>
          <w:ilvl w:val="0"/>
          <w:numId w:val="32"/>
        </w:numPr>
        <w:spacing w:before="0" w:after="0" w:line="276" w:lineRule="auto"/>
        <w:rPr>
          <w:rFonts w:cs="Arial"/>
          <w:szCs w:val="22"/>
          <w:lang w:val="fr-BE"/>
        </w:rPr>
      </w:pPr>
      <w:r>
        <w:rPr>
          <w:rFonts w:cs="Arial"/>
          <w:szCs w:val="22"/>
          <w:lang w:val="fr-BE"/>
        </w:rPr>
        <w:t>Utiliser les ressources disponibles des quatre écoles existantes en général et du site de Berkendael en particulier, en vue de réduire autant que possible la surpopulation de l’ensemble des établissements.</w:t>
      </w:r>
    </w:p>
    <w:p w:rsidR="00080C84" w:rsidRDefault="00080C84" w:rsidP="00080C84">
      <w:pPr>
        <w:spacing w:line="276" w:lineRule="auto"/>
        <w:ind w:left="706" w:hanging="346"/>
        <w:rPr>
          <w:rFonts w:cs="Arial"/>
          <w:szCs w:val="22"/>
          <w:lang w:val="fr-BE"/>
        </w:rPr>
      </w:pPr>
      <w:r>
        <w:rPr>
          <w:rFonts w:cs="Arial"/>
          <w:szCs w:val="22"/>
          <w:lang w:val="fr-BE"/>
        </w:rPr>
        <w:t>-</w:t>
      </w:r>
      <w:r>
        <w:rPr>
          <w:rFonts w:cs="Arial"/>
          <w:szCs w:val="22"/>
          <w:lang w:val="fr-BE"/>
        </w:rPr>
        <w:tab/>
        <w:t>Rechercher un équilibre entre les préférences exprimées par les demandeurs d’inscription et la nécessité de répartir</w:t>
      </w:r>
      <w:r>
        <w:rPr>
          <w:rFonts w:cs="Arial"/>
          <w:b/>
          <w:szCs w:val="22"/>
          <w:lang w:val="fr-BE"/>
        </w:rPr>
        <w:t xml:space="preserve"> </w:t>
      </w:r>
      <w:r>
        <w:rPr>
          <w:rFonts w:cs="Arial"/>
          <w:szCs w:val="22"/>
          <w:lang w:val="fr-BE"/>
        </w:rPr>
        <w:t>la population scolaire, tant entre les cinq sites qu’entre les sections linguistiques, dans le strict respect de l’article 47 e) du Règlement général.</w:t>
      </w:r>
    </w:p>
    <w:p w:rsidR="00080C84" w:rsidRDefault="00080C84" w:rsidP="00080C84">
      <w:pPr>
        <w:spacing w:line="276" w:lineRule="auto"/>
        <w:ind w:left="703" w:hanging="342"/>
        <w:rPr>
          <w:rFonts w:cs="Arial"/>
          <w:szCs w:val="22"/>
          <w:lang w:val="fr-BE"/>
        </w:rPr>
      </w:pPr>
      <w:r>
        <w:rPr>
          <w:rFonts w:cs="Arial"/>
          <w:szCs w:val="22"/>
          <w:lang w:val="fr-BE"/>
        </w:rPr>
        <w:t>-</w:t>
      </w:r>
      <w:r>
        <w:rPr>
          <w:rFonts w:cs="Arial"/>
          <w:szCs w:val="22"/>
          <w:lang w:val="fr-BE"/>
        </w:rPr>
        <w:tab/>
        <w:t xml:space="preserve">Garantir l’utilisation optimale des ressources des cinq sites. A cet égard, </w:t>
      </w:r>
      <w:r>
        <w:rPr>
          <w:rFonts w:cs="Arial"/>
          <w:szCs w:val="22"/>
        </w:rPr>
        <w:t>l’évolution des effectifs doit être suivie avec attention dans toutes les sections des écoles/sites de Bruxelles afin de garantir leur bon fonctionnement pédagogique et de gérer la surpopulation globale.</w:t>
      </w:r>
    </w:p>
    <w:p w:rsidR="00080C84" w:rsidRDefault="00080C84" w:rsidP="00080C84">
      <w:pPr>
        <w:widowControl w:val="0"/>
        <w:autoSpaceDE w:val="0"/>
        <w:autoSpaceDN w:val="0"/>
        <w:adjustRightInd w:val="0"/>
        <w:spacing w:line="276" w:lineRule="auto"/>
        <w:ind w:left="702" w:hanging="342"/>
        <w:rPr>
          <w:rFonts w:cs="Arial"/>
          <w:szCs w:val="22"/>
        </w:rPr>
      </w:pPr>
      <w:r>
        <w:rPr>
          <w:rFonts w:cs="Arial"/>
          <w:szCs w:val="22"/>
          <w:lang w:val="fr-BE"/>
        </w:rPr>
        <w:t>-</w:t>
      </w:r>
      <w:r>
        <w:rPr>
          <w:rFonts w:cs="Arial"/>
          <w:szCs w:val="22"/>
          <w:lang w:val="fr-BE"/>
        </w:rPr>
        <w:tab/>
        <w:t xml:space="preserve">Inscrire tous les élèves de catégorie I qui le sollicitent </w:t>
      </w:r>
      <w:r>
        <w:rPr>
          <w:rFonts w:cs="Arial"/>
          <w:szCs w:val="22"/>
        </w:rPr>
        <w:t>dans une des écoles européennes de Bruxelles, pour autant qu’ils se conforment aux règles de la Politique d’inscription et que les Ecoles/Sites disposent des infrastructures pour les y accueillir dans le respect des normes de sécurité de l’Etat hôte.</w:t>
      </w:r>
    </w:p>
    <w:p w:rsidR="00080C84" w:rsidRDefault="00080C84" w:rsidP="00080C84">
      <w:pPr>
        <w:widowControl w:val="0"/>
        <w:autoSpaceDE w:val="0"/>
        <w:autoSpaceDN w:val="0"/>
        <w:adjustRightInd w:val="0"/>
        <w:spacing w:line="276" w:lineRule="auto"/>
        <w:ind w:left="702" w:hanging="342"/>
        <w:rPr>
          <w:rFonts w:cs="Arial"/>
          <w:szCs w:val="22"/>
        </w:rPr>
      </w:pPr>
      <w:r>
        <w:rPr>
          <w:rFonts w:cs="Arial"/>
          <w:szCs w:val="22"/>
        </w:rPr>
        <w:t>-</w:t>
      </w:r>
      <w:r>
        <w:rPr>
          <w:rFonts w:cs="Arial"/>
          <w:szCs w:val="22"/>
        </w:rPr>
        <w:tab/>
        <w:t>Inscrire les élèves de catégorie II selon les termes des contrats déjà en vigueur ainsi que les enfants des agents civils internationaux de l’OTAN et du personnel de l’ONU ayant statut de fonctionnaires internationaux (dans les conditions figurant en annexe I),</w:t>
      </w:r>
      <w:r>
        <w:rPr>
          <w:rFonts w:cs="Arial"/>
          <w:b/>
          <w:szCs w:val="22"/>
        </w:rPr>
        <w:t xml:space="preserve"> </w:t>
      </w:r>
      <w:r>
        <w:rPr>
          <w:rFonts w:cs="Arial"/>
          <w:szCs w:val="22"/>
        </w:rPr>
        <w:t>pour autant que les Ecoles/Sites disposent des infrastructures pour les y accueillir dans le respect des normes de sécurité de l’Etat hôte.</w:t>
      </w:r>
    </w:p>
    <w:p w:rsidR="00080C84" w:rsidRDefault="00080C84" w:rsidP="00080C84">
      <w:pPr>
        <w:widowControl w:val="0"/>
        <w:autoSpaceDE w:val="0"/>
        <w:autoSpaceDN w:val="0"/>
        <w:adjustRightInd w:val="0"/>
        <w:spacing w:line="276" w:lineRule="auto"/>
        <w:ind w:left="702" w:hanging="342"/>
        <w:rPr>
          <w:rFonts w:cs="Arial"/>
          <w:szCs w:val="22"/>
        </w:rPr>
      </w:pPr>
      <w:r>
        <w:rPr>
          <w:rFonts w:cs="Arial"/>
          <w:szCs w:val="22"/>
        </w:rPr>
        <w:t>-</w:t>
      </w:r>
      <w:r>
        <w:rPr>
          <w:rFonts w:cs="Arial"/>
          <w:szCs w:val="22"/>
        </w:rPr>
        <w:tab/>
        <w:t>Limiter l’inscription d’élèves de catégorie III aux frères et sœurs d’élèves actuels dans le strict respect des décisions du Conseil supérieur concernant cette catégorie d’élèves, eu égard à la pression démographique que connaissent les écoles de Bruxelles.</w:t>
      </w:r>
    </w:p>
    <w:p w:rsidR="00080C84" w:rsidRDefault="00080C84" w:rsidP="00080C84">
      <w:pPr>
        <w:widowControl w:val="0"/>
        <w:autoSpaceDE w:val="0"/>
        <w:autoSpaceDN w:val="0"/>
        <w:adjustRightInd w:val="0"/>
        <w:spacing w:before="0" w:line="276" w:lineRule="auto"/>
        <w:ind w:left="706" w:hanging="346"/>
        <w:rPr>
          <w:rFonts w:cs="Arial"/>
          <w:szCs w:val="22"/>
        </w:rPr>
      </w:pPr>
      <w:r>
        <w:rPr>
          <w:rFonts w:cs="Arial"/>
          <w:szCs w:val="22"/>
        </w:rPr>
        <w:t>-</w:t>
      </w:r>
      <w:r>
        <w:rPr>
          <w:rFonts w:cs="Arial"/>
          <w:szCs w:val="22"/>
        </w:rPr>
        <w:tab/>
        <w:t xml:space="preserve">Dans le but de maintenir le bénéfice des politiques d’inscriptions antérieures, limiter les </w:t>
      </w:r>
      <w:r>
        <w:rPr>
          <w:rFonts w:cs="Arial"/>
          <w:szCs w:val="22"/>
        </w:rPr>
        <w:lastRenderedPageBreak/>
        <w:t>transferts aux cas justifiés par des circonstances particulières. Toutefois :</w:t>
      </w:r>
    </w:p>
    <w:p w:rsidR="00080C84" w:rsidRDefault="00080C84" w:rsidP="00080C84">
      <w:pPr>
        <w:widowControl w:val="0"/>
        <w:autoSpaceDE w:val="0"/>
        <w:autoSpaceDN w:val="0"/>
        <w:adjustRightInd w:val="0"/>
        <w:spacing w:before="0" w:line="276" w:lineRule="auto"/>
        <w:ind w:left="1080" w:hanging="180"/>
        <w:rPr>
          <w:rFonts w:cs="Arial"/>
          <w:szCs w:val="22"/>
        </w:rPr>
      </w:pPr>
      <w:r>
        <w:rPr>
          <w:rFonts w:cs="Arial"/>
          <w:szCs w:val="22"/>
        </w:rPr>
        <w:t xml:space="preserve">- Organiser en premier lieu le transfert obligatoire en première phase d’inscription des élèves scolarisés à l’Ecole européenne de Bruxelles I – site Berkendael en P5 pendant l’année scolaire 2019-2020 (et des membres de leur fratrie, s’ils en font la demande lors de leur inscription ou d’un transfert) vers les Ecoles européennes de Bruxelles I – site Uccle, Bruxelles II, III et IV en fonction de l’ordre de préférence exprimé et pour autant qu’il existe une place </w:t>
      </w:r>
      <w:r>
        <w:rPr>
          <w:rFonts w:cs="Arial"/>
          <w:szCs w:val="22"/>
          <w:lang w:val="fr-BE"/>
        </w:rPr>
        <w:t>à pourvoir</w:t>
      </w:r>
      <w:r>
        <w:rPr>
          <w:rFonts w:cs="Arial"/>
          <w:szCs w:val="22"/>
        </w:rPr>
        <w:t>.</w:t>
      </w:r>
    </w:p>
    <w:p w:rsidR="00080C84" w:rsidRDefault="00080C84" w:rsidP="00080C84">
      <w:pPr>
        <w:widowControl w:val="0"/>
        <w:autoSpaceDE w:val="0"/>
        <w:autoSpaceDN w:val="0"/>
        <w:adjustRightInd w:val="0"/>
        <w:spacing w:before="0" w:line="276" w:lineRule="auto"/>
        <w:ind w:left="1080" w:hanging="180"/>
        <w:rPr>
          <w:rFonts w:cs="Arial"/>
          <w:szCs w:val="22"/>
        </w:rPr>
      </w:pPr>
      <w:r>
        <w:rPr>
          <w:rFonts w:cs="Arial"/>
          <w:szCs w:val="22"/>
        </w:rPr>
        <w:t xml:space="preserve">- Organiser la possibilité de transfert, sans autre condition que d’en faire la demande en première phase d’inscription : </w:t>
      </w:r>
    </w:p>
    <w:p w:rsidR="00080C84" w:rsidRDefault="00080C84" w:rsidP="00080C84">
      <w:pPr>
        <w:widowControl w:val="0"/>
        <w:autoSpaceDE w:val="0"/>
        <w:autoSpaceDN w:val="0"/>
        <w:adjustRightInd w:val="0"/>
        <w:spacing w:before="0" w:after="0" w:line="276" w:lineRule="auto"/>
        <w:ind w:left="1627" w:hanging="187"/>
        <w:rPr>
          <w:rFonts w:cs="Arial"/>
          <w:szCs w:val="22"/>
        </w:rPr>
      </w:pPr>
      <w:r>
        <w:rPr>
          <w:rFonts w:cs="Arial"/>
          <w:szCs w:val="22"/>
        </w:rPr>
        <w:t xml:space="preserve">- </w:t>
      </w:r>
      <w:r>
        <w:rPr>
          <w:rFonts w:cs="Arial"/>
          <w:szCs w:val="22"/>
        </w:rPr>
        <w:tab/>
        <w:t xml:space="preserve">pour les élèves SWALS estoniens fréquentant l’Ecole européenne de Bruxelles II vers l’Ecole européenne de Bruxelles IV ; </w:t>
      </w:r>
    </w:p>
    <w:p w:rsidR="00080C84" w:rsidRDefault="00080C84" w:rsidP="00080C84">
      <w:pPr>
        <w:widowControl w:val="0"/>
        <w:autoSpaceDE w:val="0"/>
        <w:autoSpaceDN w:val="0"/>
        <w:adjustRightInd w:val="0"/>
        <w:spacing w:before="0" w:after="0" w:line="276" w:lineRule="auto"/>
        <w:ind w:left="1627" w:hanging="187"/>
        <w:rPr>
          <w:rFonts w:cs="Arial"/>
          <w:szCs w:val="22"/>
        </w:rPr>
      </w:pPr>
      <w:r>
        <w:rPr>
          <w:rFonts w:cs="Arial"/>
          <w:szCs w:val="22"/>
        </w:rPr>
        <w:t>- pour les élèves des Ecoles européennes de Bruxelles I – site Uccle, II et III vers l’Ecole européenne de Bruxelles I – site Berkendael dans les niveaux et classes, qui y sont ouverts et pour autant qu’il existe une place à pourvoir ;</w:t>
      </w:r>
    </w:p>
    <w:p w:rsidR="00080C84" w:rsidRDefault="00080C84" w:rsidP="00080C84">
      <w:pPr>
        <w:widowControl w:val="0"/>
        <w:autoSpaceDE w:val="0"/>
        <w:autoSpaceDN w:val="0"/>
        <w:adjustRightInd w:val="0"/>
        <w:spacing w:before="0" w:line="276" w:lineRule="auto"/>
        <w:ind w:left="1620" w:hanging="180"/>
        <w:rPr>
          <w:rFonts w:cs="Arial"/>
          <w:szCs w:val="22"/>
        </w:rPr>
      </w:pPr>
      <w:r>
        <w:rPr>
          <w:rFonts w:cs="Arial"/>
          <w:szCs w:val="22"/>
        </w:rPr>
        <w:t>- pour un élève inscrit dans un(e) autre école/site qu’un membre de sa fratrie de manière à ce que les enfants soient scolarisés dans la /le même école/site, pour autant qu’il existe une place à pourvoir et que la section linguistique et le niveau y soient ouverts.</w:t>
      </w:r>
    </w:p>
    <w:p w:rsidR="00080C84" w:rsidRDefault="00080C84" w:rsidP="00080C84">
      <w:pPr>
        <w:widowControl w:val="0"/>
        <w:autoSpaceDE w:val="0"/>
        <w:autoSpaceDN w:val="0"/>
        <w:adjustRightInd w:val="0"/>
        <w:spacing w:before="240" w:line="276" w:lineRule="auto"/>
        <w:rPr>
          <w:rFonts w:cs="Arial"/>
          <w:b/>
          <w:szCs w:val="22"/>
          <w:lang w:val="fr-BE"/>
        </w:rPr>
      </w:pPr>
      <w:r>
        <w:rPr>
          <w:rFonts w:cs="Arial"/>
          <w:b/>
          <w:szCs w:val="22"/>
          <w:lang w:val="fr-BE"/>
        </w:rPr>
        <w:t xml:space="preserve">dans le respect des principes suivants : </w:t>
      </w:r>
    </w:p>
    <w:p w:rsidR="00080C84" w:rsidRDefault="00080C84" w:rsidP="00080C84">
      <w:pPr>
        <w:widowControl w:val="0"/>
        <w:autoSpaceDE w:val="0"/>
        <w:autoSpaceDN w:val="0"/>
        <w:adjustRightInd w:val="0"/>
        <w:spacing w:line="276" w:lineRule="auto"/>
        <w:ind w:left="705" w:hanging="345"/>
        <w:rPr>
          <w:rFonts w:cs="Arial"/>
          <w:b/>
          <w:szCs w:val="22"/>
        </w:rPr>
      </w:pPr>
      <w:r>
        <w:rPr>
          <w:rFonts w:cs="Arial"/>
          <w:i/>
          <w:szCs w:val="22"/>
        </w:rPr>
        <w:t>-</w:t>
      </w:r>
      <w:r>
        <w:rPr>
          <w:rFonts w:cs="Arial"/>
          <w:i/>
          <w:szCs w:val="22"/>
        </w:rPr>
        <w:tab/>
      </w:r>
      <w:r>
        <w:rPr>
          <w:rFonts w:cs="Arial"/>
          <w:szCs w:val="22"/>
        </w:rPr>
        <w:t xml:space="preserve">Garantir la scolarisation dans la même école et sur le même site où sont ouverts </w:t>
      </w:r>
      <w:r>
        <w:rPr>
          <w:rFonts w:cs="Arial"/>
          <w:szCs w:val="22"/>
          <w:lang w:val="fr-BE"/>
        </w:rPr>
        <w:t xml:space="preserve">les niveaux des sections linguistiques demandés </w:t>
      </w:r>
      <w:r>
        <w:rPr>
          <w:rFonts w:cs="Arial"/>
          <w:szCs w:val="22"/>
        </w:rPr>
        <w:t>d’une part d’élèves de catégorie I ou II postulant une nouvelle inscription et d’autre part de leurs frères et sœurs ayant fréquenté cette école pendant l’année scolaire 2019-2020, pour autant que les demandeurs en fassent la demande pendant</w:t>
      </w:r>
      <w:r>
        <w:rPr>
          <w:rFonts w:cs="Arial"/>
          <w:b/>
          <w:szCs w:val="22"/>
        </w:rPr>
        <w:t xml:space="preserve"> </w:t>
      </w:r>
      <w:r>
        <w:rPr>
          <w:rFonts w:cs="Arial"/>
          <w:szCs w:val="22"/>
        </w:rPr>
        <w:t>la première phase d’inscription. Lors de la deuxième phase d’inscription, cette garantie sera octroyée pour autant qu’il existe une place à pourvoir.</w:t>
      </w:r>
    </w:p>
    <w:p w:rsidR="00080C84" w:rsidRDefault="00080C84" w:rsidP="00080C84">
      <w:pPr>
        <w:widowControl w:val="0"/>
        <w:autoSpaceDE w:val="0"/>
        <w:autoSpaceDN w:val="0"/>
        <w:adjustRightInd w:val="0"/>
        <w:spacing w:line="276" w:lineRule="auto"/>
        <w:ind w:left="705" w:hanging="345"/>
        <w:rPr>
          <w:rFonts w:cs="Arial"/>
          <w:szCs w:val="22"/>
        </w:rPr>
      </w:pPr>
      <w:r>
        <w:rPr>
          <w:rFonts w:cs="Arial"/>
          <w:szCs w:val="22"/>
        </w:rPr>
        <w:t>-</w:t>
      </w:r>
      <w:r>
        <w:rPr>
          <w:rFonts w:cs="Arial"/>
          <w:szCs w:val="22"/>
        </w:rPr>
        <w:tab/>
        <w:t xml:space="preserve">Scolariser dans la même école et sur le même site où sont ouverts </w:t>
      </w:r>
      <w:r>
        <w:rPr>
          <w:rFonts w:cs="Arial"/>
          <w:szCs w:val="22"/>
          <w:lang w:val="fr-BE"/>
        </w:rPr>
        <w:t>les niveaux des sections linguistiques ou classes demandés</w:t>
      </w:r>
      <w:r>
        <w:rPr>
          <w:rFonts w:cs="Arial"/>
          <w:szCs w:val="22"/>
        </w:rPr>
        <w:t>, mais pas nécessairement celle/celui de leur choix, les enfants issus d’une même fratrie et inscrits pour la première fois simultanément, pour autant que les demandeurs d’inscription en fassent la demande et qu’il existe des places disponibles selon les seuils définis ci-dessous pour tous les membres de la fratrie dans la même école et le même site.</w:t>
      </w:r>
    </w:p>
    <w:p w:rsidR="00080C84" w:rsidRDefault="00080C84" w:rsidP="00080C84">
      <w:pPr>
        <w:widowControl w:val="0"/>
        <w:autoSpaceDE w:val="0"/>
        <w:autoSpaceDN w:val="0"/>
        <w:adjustRightInd w:val="0"/>
        <w:spacing w:line="276" w:lineRule="auto"/>
        <w:ind w:left="705" w:hanging="345"/>
        <w:rPr>
          <w:rFonts w:cs="Arial"/>
          <w:szCs w:val="22"/>
        </w:rPr>
      </w:pPr>
      <w:r>
        <w:rPr>
          <w:rFonts w:cs="Arial"/>
          <w:szCs w:val="22"/>
        </w:rPr>
        <w:t>-</w:t>
      </w:r>
      <w:r>
        <w:rPr>
          <w:rFonts w:cs="Arial"/>
          <w:szCs w:val="22"/>
        </w:rPr>
        <w:tab/>
        <w:t>Garantir le retour dans l’école fréquentée pendant au moins une année scolaire complète avant le changement de lieu d’affectation dans l’intérêt du service décidé par l’autorité investie du pouvoir de nomination prévu à l’article 7(1) du statut des fonctionnaires de l’UE</w:t>
      </w:r>
      <w:r>
        <w:rPr>
          <w:rStyle w:val="FootnoteReference"/>
          <w:rFonts w:cs="Arial"/>
          <w:szCs w:val="22"/>
        </w:rPr>
        <w:footnoteReference w:id="18"/>
      </w:r>
      <w:r>
        <w:rPr>
          <w:rFonts w:cs="Arial"/>
          <w:szCs w:val="22"/>
        </w:rPr>
        <w:t>, avant le détachement autorisé dans l’intérêt du service au sens des articles 37a et 38 dudit statut ou avant le déplacement autorisé dans le cadre des programmes décidés par la Commission européenne (par exemple, « EU fellowships »)</w:t>
      </w:r>
      <w:r>
        <w:rPr>
          <w:rStyle w:val="FootnoteReference"/>
          <w:rFonts w:cs="Arial"/>
          <w:szCs w:val="22"/>
        </w:rPr>
        <w:footnoteReference w:id="19"/>
      </w:r>
      <w:r>
        <w:rPr>
          <w:rFonts w:cs="Arial"/>
          <w:szCs w:val="22"/>
        </w:rPr>
        <w:t xml:space="preserve"> et des programmes équivalents établis par</w:t>
      </w:r>
      <w:r>
        <w:rPr>
          <w:rFonts w:cs="Arial"/>
          <w:b/>
          <w:szCs w:val="22"/>
        </w:rPr>
        <w:t xml:space="preserve"> </w:t>
      </w:r>
      <w:r>
        <w:rPr>
          <w:rFonts w:cs="Arial"/>
          <w:szCs w:val="22"/>
        </w:rPr>
        <w:t xml:space="preserve">d’autres institutions de l’UE pendant la première phase d’inscription. Lors de la deuxième phase d’inscription, cette </w:t>
      </w:r>
      <w:r>
        <w:rPr>
          <w:rFonts w:cs="Arial"/>
          <w:szCs w:val="22"/>
        </w:rPr>
        <w:lastRenderedPageBreak/>
        <w:t>garantie sera octroyée pour autant qu’il existe une place à pourvoir.</w:t>
      </w:r>
    </w:p>
    <w:p w:rsidR="00080C84" w:rsidRDefault="00080C84" w:rsidP="00080C84">
      <w:pPr>
        <w:widowControl w:val="0"/>
        <w:autoSpaceDE w:val="0"/>
        <w:autoSpaceDN w:val="0"/>
        <w:adjustRightInd w:val="0"/>
        <w:spacing w:line="276" w:lineRule="auto"/>
        <w:ind w:left="703" w:hanging="346"/>
        <w:rPr>
          <w:rFonts w:cs="Arial"/>
          <w:szCs w:val="22"/>
        </w:rPr>
      </w:pPr>
      <w:r>
        <w:rPr>
          <w:rFonts w:cs="Arial"/>
          <w:szCs w:val="22"/>
        </w:rPr>
        <w:t>-</w:t>
      </w:r>
      <w:r>
        <w:rPr>
          <w:rFonts w:cs="Arial"/>
          <w:szCs w:val="22"/>
        </w:rPr>
        <w:tab/>
        <w:t>Garantir pour des raisons pédagogiques le retour des élèves demandeurs d’inscription en 5</w:t>
      </w:r>
      <w:r>
        <w:rPr>
          <w:rFonts w:cs="Arial"/>
          <w:szCs w:val="22"/>
          <w:vertAlign w:val="superscript"/>
        </w:rPr>
        <w:t>ème</w:t>
      </w:r>
      <w:r>
        <w:rPr>
          <w:rFonts w:cs="Arial"/>
          <w:szCs w:val="22"/>
        </w:rPr>
        <w:t xml:space="preserve"> et 6</w:t>
      </w:r>
      <w:r>
        <w:rPr>
          <w:rFonts w:cs="Arial"/>
          <w:szCs w:val="22"/>
          <w:vertAlign w:val="superscript"/>
        </w:rPr>
        <w:t>ème</w:t>
      </w:r>
      <w:r>
        <w:rPr>
          <w:rFonts w:cs="Arial"/>
          <w:szCs w:val="22"/>
        </w:rPr>
        <w:t xml:space="preserve"> secondaire dans l’école fréquentée avant un séjour d’études pour autant que : </w:t>
      </w:r>
    </w:p>
    <w:p w:rsidR="00080C84" w:rsidRDefault="00080C84" w:rsidP="00080C84">
      <w:pPr>
        <w:widowControl w:val="0"/>
        <w:autoSpaceDE w:val="0"/>
        <w:autoSpaceDN w:val="0"/>
        <w:adjustRightInd w:val="0"/>
        <w:spacing w:before="0" w:after="0" w:line="276" w:lineRule="auto"/>
        <w:ind w:left="709" w:hanging="6"/>
        <w:rPr>
          <w:rFonts w:cs="Arial"/>
          <w:szCs w:val="22"/>
        </w:rPr>
      </w:pPr>
      <w:r>
        <w:rPr>
          <w:rFonts w:cs="Arial"/>
          <w:szCs w:val="22"/>
        </w:rPr>
        <w:t xml:space="preserve">- l’élève ait fréquenté l’école dans laquelle il demande l’inscription pendant au moins une année scolaire complète avant son départ ; </w:t>
      </w:r>
    </w:p>
    <w:p w:rsidR="00080C84" w:rsidRDefault="00080C84" w:rsidP="00080C84">
      <w:pPr>
        <w:widowControl w:val="0"/>
        <w:autoSpaceDE w:val="0"/>
        <w:autoSpaceDN w:val="0"/>
        <w:adjustRightInd w:val="0"/>
        <w:spacing w:before="0" w:after="0" w:line="276" w:lineRule="auto"/>
        <w:ind w:left="709" w:hanging="6"/>
        <w:rPr>
          <w:rFonts w:cs="Arial"/>
          <w:szCs w:val="22"/>
        </w:rPr>
      </w:pPr>
      <w:r>
        <w:rPr>
          <w:rFonts w:cs="Arial"/>
          <w:szCs w:val="22"/>
        </w:rPr>
        <w:t>- le séjour d’études en dehors du territoire belge n’ait pas excédé une année scolaire ;</w:t>
      </w:r>
    </w:p>
    <w:p w:rsidR="00080C84" w:rsidRDefault="00080C84" w:rsidP="00080C84">
      <w:pPr>
        <w:widowControl w:val="0"/>
        <w:autoSpaceDE w:val="0"/>
        <w:autoSpaceDN w:val="0"/>
        <w:adjustRightInd w:val="0"/>
        <w:spacing w:before="0" w:after="0" w:line="276" w:lineRule="auto"/>
        <w:ind w:left="709" w:hanging="6"/>
        <w:rPr>
          <w:rFonts w:cs="Arial"/>
          <w:szCs w:val="22"/>
        </w:rPr>
      </w:pPr>
      <w:r>
        <w:rPr>
          <w:rFonts w:cs="Arial"/>
          <w:szCs w:val="22"/>
        </w:rPr>
        <w:t>- l’école approuve expressément le retour de l’élève ;</w:t>
      </w:r>
    </w:p>
    <w:p w:rsidR="00080C84" w:rsidRDefault="00080C84" w:rsidP="00080C84">
      <w:pPr>
        <w:widowControl w:val="0"/>
        <w:autoSpaceDE w:val="0"/>
        <w:autoSpaceDN w:val="0"/>
        <w:adjustRightInd w:val="0"/>
        <w:spacing w:before="0" w:line="276" w:lineRule="auto"/>
        <w:ind w:left="706"/>
        <w:rPr>
          <w:rFonts w:cs="Arial"/>
          <w:szCs w:val="22"/>
        </w:rPr>
      </w:pPr>
      <w:r>
        <w:rPr>
          <w:rFonts w:cs="Arial"/>
          <w:szCs w:val="22"/>
        </w:rPr>
        <w:t xml:space="preserve">- la demande soit introduite pendant la première phase d’inscription. </w:t>
      </w:r>
    </w:p>
    <w:p w:rsidR="00080C84" w:rsidRDefault="00080C84" w:rsidP="00080C84">
      <w:pPr>
        <w:widowControl w:val="0"/>
        <w:autoSpaceDE w:val="0"/>
        <w:autoSpaceDN w:val="0"/>
        <w:adjustRightInd w:val="0"/>
        <w:spacing w:before="0" w:after="0" w:line="276" w:lineRule="auto"/>
        <w:ind w:left="703"/>
        <w:rPr>
          <w:rFonts w:cs="Arial"/>
          <w:szCs w:val="22"/>
        </w:rPr>
      </w:pPr>
      <w:r>
        <w:rPr>
          <w:rFonts w:cs="Arial"/>
          <w:szCs w:val="22"/>
        </w:rPr>
        <w:t xml:space="preserve">Lors de la deuxième phase d’inscription, cette garantie sera octroyée pour autant qu’il existe une place à pourvoir.   </w:t>
      </w:r>
    </w:p>
    <w:p w:rsidR="00080C84" w:rsidRDefault="00080C84" w:rsidP="00080C84">
      <w:pPr>
        <w:widowControl w:val="0"/>
        <w:numPr>
          <w:ilvl w:val="0"/>
          <w:numId w:val="33"/>
        </w:numPr>
        <w:autoSpaceDE w:val="0"/>
        <w:autoSpaceDN w:val="0"/>
        <w:adjustRightInd w:val="0"/>
        <w:spacing w:line="276" w:lineRule="auto"/>
        <w:rPr>
          <w:rFonts w:cs="Arial"/>
          <w:szCs w:val="22"/>
        </w:rPr>
      </w:pPr>
      <w:r>
        <w:rPr>
          <w:rFonts w:cs="Arial"/>
          <w:szCs w:val="22"/>
        </w:rPr>
        <w:t xml:space="preserve">Garantir la prise en considération des circonstances particulières caractérisant et différenciant le cas de l’élève concerné selon la définition donnée à ce concept dans les politiques d’inscription antérieures et la jurisprudence de la Chambre de recours.  </w:t>
      </w:r>
    </w:p>
    <w:p w:rsidR="00080C84" w:rsidRDefault="00080C84" w:rsidP="009B12E9">
      <w:pPr>
        <w:widowControl w:val="0"/>
        <w:autoSpaceDE w:val="0"/>
        <w:autoSpaceDN w:val="0"/>
        <w:adjustRightInd w:val="0"/>
        <w:spacing w:before="360" w:line="276" w:lineRule="auto"/>
        <w:rPr>
          <w:rFonts w:cs="Arial"/>
          <w:b/>
          <w:szCs w:val="22"/>
          <w:lang w:val="fr-BE"/>
        </w:rPr>
      </w:pPr>
      <w:r>
        <w:rPr>
          <w:rFonts w:cs="Arial"/>
          <w:b/>
          <w:szCs w:val="22"/>
          <w:lang w:val="fr-BE"/>
        </w:rPr>
        <w:t>en prenant notamment les dispositions suivantes pour l’inscription des élèves ne présentant pas de critère particulier de priorité :</w:t>
      </w:r>
    </w:p>
    <w:p w:rsidR="00080C84" w:rsidRDefault="00080C84" w:rsidP="00080C84">
      <w:pPr>
        <w:pStyle w:val="ListParagraph"/>
        <w:widowControl w:val="0"/>
        <w:numPr>
          <w:ilvl w:val="0"/>
          <w:numId w:val="34"/>
        </w:numPr>
        <w:autoSpaceDE w:val="0"/>
        <w:autoSpaceDN w:val="0"/>
        <w:adjustRightInd w:val="0"/>
        <w:spacing w:after="0" w:line="276" w:lineRule="auto"/>
        <w:ind w:left="720" w:hanging="288"/>
        <w:rPr>
          <w:rFonts w:cs="Arial"/>
          <w:szCs w:val="22"/>
        </w:rPr>
      </w:pPr>
      <w:r>
        <w:rPr>
          <w:rFonts w:cs="Arial"/>
          <w:szCs w:val="22"/>
        </w:rPr>
        <w:t>En vue de répartir la population scolaire des écoles/sites et de maintenir l’équilibre entre eux, les nouveaux élèves sont inscrits à hauteur de 20 places disponibles par classe aux cycles maternel et primaire et 26 au cycle secondaire.</w:t>
      </w:r>
    </w:p>
    <w:p w:rsidR="00080C84" w:rsidRDefault="00080C84" w:rsidP="00080C84">
      <w:pPr>
        <w:widowControl w:val="0"/>
        <w:autoSpaceDE w:val="0"/>
        <w:autoSpaceDN w:val="0"/>
        <w:adjustRightInd w:val="0"/>
        <w:spacing w:after="0" w:line="276" w:lineRule="auto"/>
        <w:rPr>
          <w:rFonts w:cs="Arial"/>
          <w:szCs w:val="22"/>
        </w:rPr>
      </w:pPr>
      <w:r>
        <w:rPr>
          <w:rFonts w:cs="Arial"/>
          <w:szCs w:val="22"/>
        </w:rPr>
        <w:t>Les places sont offertes selon le tableau suivant, dans lequel les infrastructures sont désignées comme suit EEB1-UCC (</w:t>
      </w:r>
      <w:r>
        <w:rPr>
          <w:rFonts w:cs="Arial"/>
          <w:i/>
          <w:szCs w:val="22"/>
        </w:rPr>
        <w:t>site Uccle)</w:t>
      </w:r>
      <w:r>
        <w:rPr>
          <w:rFonts w:cs="Arial"/>
          <w:szCs w:val="22"/>
        </w:rPr>
        <w:t>, EEB1-BK (</w:t>
      </w:r>
      <w:r>
        <w:rPr>
          <w:rFonts w:cs="Arial"/>
          <w:i/>
          <w:szCs w:val="22"/>
        </w:rPr>
        <w:t>site Berkendael)</w:t>
      </w:r>
      <w:r>
        <w:rPr>
          <w:rFonts w:cs="Arial"/>
          <w:szCs w:val="22"/>
        </w:rPr>
        <w:t xml:space="preserve">, EEB2, EEB3 et EEB4 :  </w:t>
      </w:r>
    </w:p>
    <w:p w:rsidR="00080C84" w:rsidRDefault="00080C84" w:rsidP="00080C84">
      <w:pPr>
        <w:widowControl w:val="0"/>
        <w:autoSpaceDE w:val="0"/>
        <w:autoSpaceDN w:val="0"/>
        <w:adjustRightInd w:val="0"/>
        <w:spacing w:after="0" w:line="276" w:lineRule="auto"/>
        <w:rPr>
          <w:rFonts w:cs="Arial"/>
          <w:szCs w:val="22"/>
        </w:rPr>
      </w:pPr>
    </w:p>
    <w:p w:rsidR="00080C84" w:rsidRDefault="003E1090" w:rsidP="00080C84">
      <w:pPr>
        <w:widowControl w:val="0"/>
        <w:autoSpaceDE w:val="0"/>
        <w:autoSpaceDN w:val="0"/>
        <w:adjustRightInd w:val="0"/>
        <w:spacing w:before="40" w:after="40" w:line="276" w:lineRule="auto"/>
        <w:rPr>
          <w:rFonts w:cs="Arial"/>
          <w:szCs w:val="22"/>
        </w:rPr>
      </w:pPr>
      <w:r w:rsidRPr="003E1090">
        <w:rPr>
          <w:noProof/>
          <w:lang w:val="en-US" w:eastAsia="en-US"/>
        </w:rPr>
        <w:lastRenderedPageBreak/>
        <w:drawing>
          <wp:inline distT="0" distB="0" distL="0" distR="0">
            <wp:extent cx="5822950" cy="8814899"/>
            <wp:effectExtent l="0" t="0" r="635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2950" cy="8814899"/>
                    </a:xfrm>
                    <a:prstGeom prst="rect">
                      <a:avLst/>
                    </a:prstGeom>
                    <a:noFill/>
                    <a:ln>
                      <a:noFill/>
                    </a:ln>
                  </pic:spPr>
                </pic:pic>
              </a:graphicData>
            </a:graphic>
          </wp:inline>
        </w:drawing>
      </w:r>
    </w:p>
    <w:p w:rsidR="00080C84" w:rsidRDefault="00080C84" w:rsidP="00080C84">
      <w:pPr>
        <w:widowControl w:val="0"/>
        <w:autoSpaceDE w:val="0"/>
        <w:autoSpaceDN w:val="0"/>
        <w:adjustRightInd w:val="0"/>
        <w:spacing w:after="0" w:line="276" w:lineRule="auto"/>
        <w:rPr>
          <w:noProof/>
          <w:szCs w:val="22"/>
          <w:lang w:val="en-US" w:eastAsia="en-US"/>
        </w:rPr>
      </w:pPr>
    </w:p>
    <w:p w:rsidR="003E1090" w:rsidRDefault="003E1090" w:rsidP="00080C84">
      <w:pPr>
        <w:widowControl w:val="0"/>
        <w:autoSpaceDE w:val="0"/>
        <w:autoSpaceDN w:val="0"/>
        <w:adjustRightInd w:val="0"/>
        <w:spacing w:after="0" w:line="276" w:lineRule="auto"/>
        <w:rPr>
          <w:rFonts w:cs="Arial"/>
          <w:szCs w:val="22"/>
          <w:lang w:val="fr-BE"/>
        </w:rPr>
      </w:pPr>
    </w:p>
    <w:p w:rsidR="00080C84" w:rsidRDefault="00080C84" w:rsidP="00080C84">
      <w:pPr>
        <w:widowControl w:val="0"/>
        <w:autoSpaceDE w:val="0"/>
        <w:autoSpaceDN w:val="0"/>
        <w:adjustRightInd w:val="0"/>
        <w:spacing w:before="0" w:line="276" w:lineRule="auto"/>
        <w:ind w:left="703" w:hanging="346"/>
        <w:rPr>
          <w:rFonts w:cs="Arial"/>
          <w:szCs w:val="22"/>
        </w:rPr>
      </w:pPr>
      <w:r>
        <w:rPr>
          <w:rFonts w:cs="Arial"/>
          <w:szCs w:val="22"/>
        </w:rPr>
        <w:lastRenderedPageBreak/>
        <w:t>-</w:t>
      </w:r>
      <w:r>
        <w:rPr>
          <w:rFonts w:cs="Arial"/>
          <w:szCs w:val="22"/>
        </w:rPr>
        <w:tab/>
        <w:t>Au cycle secondaire, au-delà du seuil des places disponibles de 26 élèves par classe, sont inscrits les élèves présentant un critère particulier de priorité ainsi que les autres élèves dans le cas où le seuil est déjà atteint dans tou(te)s les écoles/sites pour la section et le niveau demandés.</w:t>
      </w:r>
    </w:p>
    <w:p w:rsidR="00080C84" w:rsidRDefault="00080C84" w:rsidP="00080C84">
      <w:pPr>
        <w:widowControl w:val="0"/>
        <w:autoSpaceDE w:val="0"/>
        <w:autoSpaceDN w:val="0"/>
        <w:adjustRightInd w:val="0"/>
        <w:spacing w:before="0" w:line="276" w:lineRule="auto"/>
        <w:ind w:left="703" w:hanging="346"/>
        <w:rPr>
          <w:rFonts w:cs="Arial"/>
          <w:szCs w:val="22"/>
        </w:rPr>
      </w:pPr>
      <w:r>
        <w:rPr>
          <w:rFonts w:cs="Arial"/>
          <w:szCs w:val="22"/>
        </w:rPr>
        <w:t>-</w:t>
      </w:r>
      <w:r>
        <w:rPr>
          <w:rFonts w:cs="Arial"/>
          <w:szCs w:val="22"/>
        </w:rPr>
        <w:tab/>
        <w:t xml:space="preserve">Aux cycles maternel et primaire, au-delà du seuil des places disponibles de 20 élèves par classe, sont inscrits les élèves présentant un critère particulier de priorité ainsi que les autres élèves dans le cas où le seuil est déjà atteint dans tou(te)s les écoles/sites pour la section et le niveau demandés. </w:t>
      </w:r>
    </w:p>
    <w:p w:rsidR="00080C84" w:rsidRDefault="00080C84" w:rsidP="00080C84">
      <w:pPr>
        <w:widowControl w:val="0"/>
        <w:autoSpaceDE w:val="0"/>
        <w:autoSpaceDN w:val="0"/>
        <w:adjustRightInd w:val="0"/>
        <w:spacing w:line="276" w:lineRule="auto"/>
        <w:ind w:left="705" w:hanging="345"/>
        <w:rPr>
          <w:rFonts w:cs="Arial"/>
          <w:szCs w:val="22"/>
        </w:rPr>
      </w:pPr>
      <w:r>
        <w:rPr>
          <w:rFonts w:cs="Arial"/>
          <w:szCs w:val="22"/>
        </w:rPr>
        <w:t>-</w:t>
      </w:r>
      <w:r>
        <w:rPr>
          <w:rFonts w:cs="Arial"/>
          <w:b/>
          <w:szCs w:val="22"/>
        </w:rPr>
        <w:t xml:space="preserve"> </w:t>
      </w:r>
      <w:r>
        <w:rPr>
          <w:rFonts w:cs="Arial"/>
          <w:szCs w:val="22"/>
        </w:rPr>
        <w:tab/>
        <w:t xml:space="preserve">L’Autorité centrale des inscriptions dispose du droit d’adapter la structure et la répartition des classes figurant en annexe II. De nouvelles classes ne seront ouvertes qu’en cas d’absolue nécessité et en examinant par priorité leur localisation à </w:t>
      </w:r>
      <w:r>
        <w:rPr>
          <w:rFonts w:cs="Arial"/>
          <w:szCs w:val="22"/>
          <w:lang w:val="fr-BE"/>
        </w:rPr>
        <w:t>l’Ecole européenne de Bruxelles I – site Berkendael et à l’Ecole européenne de Bruxelles IV dans les sections linguistiques</w:t>
      </w:r>
      <w:r>
        <w:rPr>
          <w:rFonts w:cs="Arial"/>
          <w:b/>
          <w:color w:val="FF0000"/>
          <w:szCs w:val="22"/>
          <w:lang w:val="fr-BE"/>
        </w:rPr>
        <w:t xml:space="preserve">, </w:t>
      </w:r>
      <w:r>
        <w:rPr>
          <w:rFonts w:cs="Arial"/>
          <w:szCs w:val="22"/>
          <w:lang w:val="fr-BE"/>
        </w:rPr>
        <w:t>niveaux ou classes satellites qui y sont ouvert</w:t>
      </w:r>
      <w:r>
        <w:rPr>
          <w:rFonts w:cs="Arial"/>
          <w:strike/>
          <w:szCs w:val="22"/>
          <w:lang w:val="fr-BE"/>
        </w:rPr>
        <w:t>e</w:t>
      </w:r>
      <w:r>
        <w:rPr>
          <w:rFonts w:cs="Arial"/>
          <w:szCs w:val="22"/>
          <w:lang w:val="fr-BE"/>
        </w:rPr>
        <w:t xml:space="preserve">s. </w:t>
      </w:r>
      <w:r>
        <w:rPr>
          <w:rFonts w:cs="Arial"/>
          <w:szCs w:val="22"/>
        </w:rPr>
        <w:t>La création d’une nouvelle classe ne peut en aucun cas influer sur le traitement des places antérieurement attribuées, sauf dispositions particulières de la Politique d’inscription.</w:t>
      </w:r>
    </w:p>
    <w:p w:rsidR="00080C84" w:rsidRDefault="00080C84" w:rsidP="00080C84">
      <w:pPr>
        <w:spacing w:line="276" w:lineRule="auto"/>
        <w:ind w:left="709" w:hanging="283"/>
        <w:rPr>
          <w:rFonts w:cs="Arial"/>
          <w:szCs w:val="22"/>
          <w:lang w:val="fr-BE"/>
        </w:rPr>
      </w:pPr>
      <w:r>
        <w:rPr>
          <w:rFonts w:cs="Arial"/>
          <w:szCs w:val="22"/>
          <w:lang w:val="fr-BE"/>
        </w:rPr>
        <w:t xml:space="preserve">-  Organiser en premier lieu le transfert obligatoire des élèves scolarisés à l’Ecole européenne de Bruxelles I – site Berkendael en P5 pendant l’année scolaire 2019-2020 (et des membres de leur fratrie s’ils en font la demande </w:t>
      </w:r>
      <w:r>
        <w:rPr>
          <w:rFonts w:cs="Arial"/>
          <w:szCs w:val="22"/>
        </w:rPr>
        <w:t>lors de leur inscription ou d’un transfert</w:t>
      </w:r>
      <w:r>
        <w:rPr>
          <w:rFonts w:cs="Arial"/>
          <w:szCs w:val="22"/>
          <w:lang w:val="fr-BE"/>
        </w:rPr>
        <w:t>) vers les Ecoles européennes de Bruxelles I – site Uccle, Bruxelles II, III et IV, en fonction des préférences exprimées par les demandeurs de transfert et pour autant qu’il y ait des places à pourvoir.</w:t>
      </w:r>
    </w:p>
    <w:p w:rsidR="00080C84" w:rsidRDefault="00080C84" w:rsidP="00080C84">
      <w:pPr>
        <w:widowControl w:val="0"/>
        <w:autoSpaceDE w:val="0"/>
        <w:autoSpaceDN w:val="0"/>
        <w:adjustRightInd w:val="0"/>
        <w:spacing w:line="276" w:lineRule="auto"/>
        <w:ind w:left="702" w:hanging="342"/>
        <w:rPr>
          <w:rFonts w:cs="Arial"/>
          <w:szCs w:val="22"/>
        </w:rPr>
      </w:pPr>
      <w:r>
        <w:rPr>
          <w:rFonts w:cs="Arial"/>
          <w:szCs w:val="22"/>
        </w:rPr>
        <w:t xml:space="preserve">- </w:t>
      </w:r>
      <w:r>
        <w:rPr>
          <w:rFonts w:cs="Arial"/>
          <w:szCs w:val="22"/>
        </w:rPr>
        <w:tab/>
        <w:t>Autoriser les transferts, sans autre condition que l’introduction d’une demande pendant la première phase d’inscription :</w:t>
      </w:r>
    </w:p>
    <w:p w:rsidR="00080C84" w:rsidRDefault="00080C84" w:rsidP="00080C84">
      <w:pPr>
        <w:widowControl w:val="0"/>
        <w:autoSpaceDE w:val="0"/>
        <w:autoSpaceDN w:val="0"/>
        <w:adjustRightInd w:val="0"/>
        <w:spacing w:before="0" w:after="0" w:line="276" w:lineRule="auto"/>
        <w:ind w:left="720" w:hanging="6"/>
        <w:rPr>
          <w:rFonts w:cs="Arial"/>
          <w:szCs w:val="22"/>
        </w:rPr>
      </w:pPr>
      <w:r>
        <w:rPr>
          <w:rFonts w:cs="Arial"/>
          <w:szCs w:val="22"/>
        </w:rPr>
        <w:t>- pour les élèves SWALS estoniens fréquentant l’Ecole eur</w:t>
      </w:r>
      <w:r w:rsidR="002651E0">
        <w:rPr>
          <w:rFonts w:cs="Arial"/>
          <w:szCs w:val="22"/>
        </w:rPr>
        <w:t xml:space="preserve">opéenne de Bruxelles II vers </w:t>
      </w:r>
      <w:r>
        <w:rPr>
          <w:rFonts w:cs="Arial"/>
          <w:szCs w:val="22"/>
        </w:rPr>
        <w:t>l’Ecole européenne de Bruxelles IV ;</w:t>
      </w:r>
    </w:p>
    <w:p w:rsidR="00080C84" w:rsidRDefault="00080C84" w:rsidP="00080C84">
      <w:pPr>
        <w:widowControl w:val="0"/>
        <w:autoSpaceDE w:val="0"/>
        <w:autoSpaceDN w:val="0"/>
        <w:adjustRightInd w:val="0"/>
        <w:spacing w:before="0" w:after="0" w:line="276" w:lineRule="auto"/>
        <w:ind w:left="709" w:hanging="6"/>
        <w:rPr>
          <w:rFonts w:cs="Arial"/>
          <w:szCs w:val="22"/>
        </w:rPr>
      </w:pPr>
      <w:r>
        <w:rPr>
          <w:rFonts w:cs="Arial"/>
          <w:szCs w:val="22"/>
        </w:rPr>
        <w:t>- pour les élèves des Ecoles européennes de Bruxelles I – site Uccle, II et III vers l’Ecole européenne de Bruxelles I – site Berkendael dans les niveaux et classes, qui y sont ouverts et pour autant qu’il existe une place à pourvoir ;</w:t>
      </w:r>
    </w:p>
    <w:p w:rsidR="00080C84" w:rsidRDefault="00080C84" w:rsidP="00080C84">
      <w:pPr>
        <w:widowControl w:val="0"/>
        <w:autoSpaceDE w:val="0"/>
        <w:autoSpaceDN w:val="0"/>
        <w:adjustRightInd w:val="0"/>
        <w:spacing w:line="276" w:lineRule="auto"/>
        <w:ind w:left="706"/>
        <w:rPr>
          <w:rFonts w:cs="Arial"/>
          <w:szCs w:val="22"/>
        </w:rPr>
      </w:pPr>
      <w:r>
        <w:rPr>
          <w:rFonts w:cs="Arial"/>
          <w:szCs w:val="22"/>
        </w:rPr>
        <w:t>- pour un élève scolarisé pendant l’année scolaire 2019-2020 dans un(e) autre école/site qu’un membre de sa fratrie, de manière à ce que les enfants soient scolarisés dans la/le même école/site, pour autant qu’il existe une place à pourvoir et que la classe, la section linguistique et le niveau y soient ouverts ;</w:t>
      </w:r>
    </w:p>
    <w:p w:rsidR="00080C84" w:rsidRDefault="00080C84" w:rsidP="00080C84">
      <w:pPr>
        <w:widowControl w:val="0"/>
        <w:autoSpaceDE w:val="0"/>
        <w:autoSpaceDN w:val="0"/>
        <w:adjustRightInd w:val="0"/>
        <w:spacing w:before="0" w:after="0" w:line="276" w:lineRule="auto"/>
        <w:ind w:left="706" w:hanging="706"/>
        <w:rPr>
          <w:rFonts w:cs="Arial"/>
          <w:szCs w:val="22"/>
        </w:rPr>
      </w:pPr>
      <w:r>
        <w:rPr>
          <w:rFonts w:cs="Arial"/>
          <w:szCs w:val="22"/>
        </w:rPr>
        <w:t xml:space="preserve">- </w:t>
      </w:r>
      <w:r>
        <w:rPr>
          <w:rFonts w:cs="Arial"/>
          <w:szCs w:val="22"/>
        </w:rPr>
        <w:tab/>
        <w:t>Garantir la protection juridictionnelle des demandeurs d’inscription et de transfert en maintenant les facultés de recours en annulation devant la Chambre de recours des Ecoles européennes en cas de vice de forme affectant la décision attaquée ou d’éléments neufs, ainsi que les demandes de révision introduites auprès de l’ACI, uniquement dans le cas d’un élément neuf et pertinent survenu après le prononcé de la décision attaquée.</w:t>
      </w:r>
    </w:p>
    <w:p w:rsidR="00080C84" w:rsidRDefault="00080C84" w:rsidP="009B12E9">
      <w:pPr>
        <w:widowControl w:val="0"/>
        <w:autoSpaceDE w:val="0"/>
        <w:autoSpaceDN w:val="0"/>
        <w:adjustRightInd w:val="0"/>
        <w:spacing w:before="0" w:after="0" w:line="276" w:lineRule="auto"/>
        <w:ind w:left="706" w:hanging="706"/>
        <w:rPr>
          <w:rFonts w:cs="Arial"/>
          <w:szCs w:val="22"/>
        </w:rPr>
      </w:pPr>
    </w:p>
    <w:p w:rsidR="00080C84" w:rsidRDefault="00080C84" w:rsidP="009B12E9">
      <w:pPr>
        <w:spacing w:before="0" w:after="240" w:line="276" w:lineRule="auto"/>
        <w:jc w:val="left"/>
        <w:rPr>
          <w:rFonts w:cs="Arial"/>
          <w:szCs w:val="22"/>
          <w:lang w:val="fr-BE"/>
        </w:rPr>
      </w:pPr>
      <w:r>
        <w:rPr>
          <w:rFonts w:cs="Arial"/>
          <w:szCs w:val="22"/>
          <w:lang w:val="fr-BE"/>
        </w:rPr>
        <w:t>En conséquence de quoi, la campagne d’inscription se déroule comme suit :</w:t>
      </w:r>
    </w:p>
    <w:p w:rsidR="009B12E9" w:rsidRDefault="00080C84" w:rsidP="009B12E9">
      <w:pPr>
        <w:spacing w:before="360" w:after="0" w:line="276" w:lineRule="auto"/>
        <w:rPr>
          <w:rFonts w:cs="Arial"/>
          <w:b/>
          <w:szCs w:val="22"/>
          <w:lang w:val="fr-BE"/>
        </w:rPr>
      </w:pPr>
      <w:r>
        <w:rPr>
          <w:rFonts w:cs="Arial"/>
          <w:b/>
          <w:szCs w:val="22"/>
          <w:lang w:val="fr-BE"/>
        </w:rPr>
        <w:t>La campagne d’inscription est organisée en deux phases.</w:t>
      </w:r>
    </w:p>
    <w:p w:rsidR="009B12E9" w:rsidRDefault="009B12E9">
      <w:pPr>
        <w:spacing w:before="0" w:after="0"/>
        <w:jc w:val="left"/>
        <w:rPr>
          <w:rFonts w:cs="Arial"/>
          <w:b/>
          <w:szCs w:val="22"/>
          <w:lang w:val="fr-BE"/>
        </w:rPr>
      </w:pPr>
      <w:r>
        <w:rPr>
          <w:rFonts w:cs="Arial"/>
          <w:b/>
          <w:szCs w:val="22"/>
          <w:lang w:val="fr-BE"/>
        </w:rPr>
        <w:br w:type="page"/>
      </w:r>
    </w:p>
    <w:p w:rsidR="00080C84" w:rsidRDefault="00080C84" w:rsidP="00080C84">
      <w:pPr>
        <w:spacing w:line="276" w:lineRule="auto"/>
        <w:rPr>
          <w:rFonts w:cs="Arial"/>
          <w:i/>
          <w:strike/>
          <w:szCs w:val="22"/>
          <w:u w:val="single"/>
          <w:lang w:val="fr-BE"/>
        </w:rPr>
      </w:pPr>
      <w:r>
        <w:rPr>
          <w:rFonts w:cs="Arial"/>
          <w:szCs w:val="22"/>
          <w:lang w:val="fr-BE"/>
        </w:rPr>
        <w:lastRenderedPageBreak/>
        <w:t>Tous les demandeurs d’inscription et de transfert, qui sont en poste dans les Institutions européennes</w:t>
      </w:r>
      <w:r>
        <w:rPr>
          <w:rFonts w:cs="Arial"/>
          <w:sz w:val="20"/>
          <w:vertAlign w:val="superscript"/>
          <w:lang w:val="fr-BE"/>
        </w:rPr>
        <w:t>1</w:t>
      </w:r>
      <w:r w:rsidR="009B12E9">
        <w:rPr>
          <w:rFonts w:cs="Arial"/>
          <w:sz w:val="20"/>
          <w:vertAlign w:val="superscript"/>
          <w:lang w:val="fr-BE"/>
        </w:rPr>
        <w:t>2</w:t>
      </w:r>
      <w:r>
        <w:rPr>
          <w:rFonts w:cs="Arial"/>
          <w:szCs w:val="22"/>
          <w:lang w:val="fr-BE"/>
        </w:rPr>
        <w:t xml:space="preserve"> au 31 décembre 2019, sont tenus d’introduire les demandes en première phase, sauf cas de force majeure dûment justifié à l’exception des membres du personnel des Institutions européennes</w:t>
      </w:r>
      <w:bookmarkStart w:id="6" w:name="_Ref498938630"/>
      <w:r>
        <w:rPr>
          <w:rStyle w:val="FootnoteReference"/>
          <w:rFonts w:cs="Arial"/>
          <w:szCs w:val="22"/>
          <w:lang w:val="fr-BE"/>
        </w:rPr>
        <w:footnoteReference w:id="20"/>
      </w:r>
      <w:bookmarkEnd w:id="6"/>
      <w:r>
        <w:rPr>
          <w:rFonts w:cs="Arial"/>
          <w:szCs w:val="22"/>
          <w:lang w:val="fr-BE"/>
        </w:rPr>
        <w:t xml:space="preserve"> prenant leurs fonctions à Bruxelles (quelle qu’en soit la raison : nouveau recrutement, transfert d’un autre site, retour en activité après un congé parental ou un congé de convenance personnelle etc.) à partir du 1</w:t>
      </w:r>
      <w:r>
        <w:rPr>
          <w:rFonts w:cs="Arial"/>
          <w:szCs w:val="22"/>
          <w:vertAlign w:val="superscript"/>
          <w:lang w:val="fr-BE"/>
        </w:rPr>
        <w:t>er</w:t>
      </w:r>
      <w:r>
        <w:rPr>
          <w:rFonts w:cs="Arial"/>
          <w:szCs w:val="22"/>
          <w:lang w:val="fr-BE"/>
        </w:rPr>
        <w:t xml:space="preserve"> janvier 2020 ainsi qu’aux demandeurs d’inscription, dont les enfants sont scolarisés en dehors du territoire belge pendant l’année scolaire 2019-2020.</w:t>
      </w:r>
    </w:p>
    <w:p w:rsidR="00080C84" w:rsidRDefault="00080C84" w:rsidP="00080C84">
      <w:pPr>
        <w:spacing w:line="276" w:lineRule="auto"/>
        <w:rPr>
          <w:rFonts w:cs="Arial"/>
          <w:szCs w:val="22"/>
          <w:lang w:val="fr-BE"/>
        </w:rPr>
      </w:pPr>
      <w:r>
        <w:rPr>
          <w:rFonts w:cs="Arial"/>
          <w:szCs w:val="22"/>
          <w:lang w:val="fr-BE"/>
        </w:rPr>
        <w:t>Pendant la première phase, selon l’ordre du classement aléatoire, les places disponibles sont attribuées dans l’ordre suivant :</w:t>
      </w:r>
    </w:p>
    <w:p w:rsidR="00080C84" w:rsidRDefault="00080C84" w:rsidP="00080C84">
      <w:pPr>
        <w:pStyle w:val="ListParagraph"/>
        <w:numPr>
          <w:ilvl w:val="0"/>
          <w:numId w:val="26"/>
        </w:numPr>
        <w:spacing w:before="0" w:after="0" w:line="276" w:lineRule="auto"/>
        <w:ind w:left="720" w:hanging="270"/>
        <w:contextualSpacing w:val="0"/>
        <w:rPr>
          <w:rFonts w:cs="Arial"/>
          <w:szCs w:val="22"/>
          <w:lang w:val="fr-BE"/>
        </w:rPr>
      </w:pPr>
      <w:r>
        <w:rPr>
          <w:rFonts w:cs="Arial"/>
          <w:szCs w:val="22"/>
          <w:lang w:val="fr-BE"/>
        </w:rPr>
        <w:t>les élèves scolarisés en P5 à l’Ecole européenne de Bruxelles I – site Berkendael pour l’année scolaire 2019-2020 à transférer obligatoirement pour le cycle secondaire vers les autres écoles/sites, ainsi que le cas échéant leur fratrie,</w:t>
      </w:r>
    </w:p>
    <w:p w:rsidR="00080C84" w:rsidRDefault="00080C84" w:rsidP="00080C84">
      <w:pPr>
        <w:pStyle w:val="ListParagraph"/>
        <w:numPr>
          <w:ilvl w:val="0"/>
          <w:numId w:val="26"/>
        </w:numPr>
        <w:spacing w:before="0" w:after="0" w:line="276" w:lineRule="auto"/>
        <w:ind w:left="720" w:hanging="270"/>
        <w:contextualSpacing w:val="0"/>
        <w:rPr>
          <w:rFonts w:cs="Arial"/>
          <w:szCs w:val="22"/>
          <w:lang w:val="fr-BE"/>
        </w:rPr>
      </w:pPr>
      <w:r>
        <w:rPr>
          <w:rFonts w:cs="Arial"/>
          <w:szCs w:val="22"/>
          <w:lang w:val="fr-BE"/>
        </w:rPr>
        <w:t>les élèves de catégorie I et II*, qui demandent une place en section linguistique unique et les élèves SWALS,</w:t>
      </w:r>
    </w:p>
    <w:p w:rsidR="00080C84" w:rsidRDefault="00080C84" w:rsidP="00080C84">
      <w:pPr>
        <w:pStyle w:val="ListParagraph"/>
        <w:numPr>
          <w:ilvl w:val="0"/>
          <w:numId w:val="26"/>
        </w:numPr>
        <w:spacing w:before="0" w:after="0" w:line="276" w:lineRule="auto"/>
        <w:ind w:left="720" w:hanging="270"/>
        <w:contextualSpacing w:val="0"/>
        <w:rPr>
          <w:rFonts w:cs="Arial"/>
          <w:szCs w:val="22"/>
          <w:lang w:val="fr-BE"/>
        </w:rPr>
      </w:pPr>
      <w:r>
        <w:rPr>
          <w:rFonts w:cs="Arial"/>
          <w:szCs w:val="22"/>
          <w:lang w:val="fr-BE"/>
        </w:rPr>
        <w:t>les élèves de catégorie I et II*, y compris</w:t>
      </w:r>
      <w:r>
        <w:rPr>
          <w:rFonts w:cs="Arial"/>
          <w:b/>
          <w:szCs w:val="22"/>
          <w:lang w:val="fr-BE"/>
        </w:rPr>
        <w:t xml:space="preserve"> </w:t>
      </w:r>
      <w:r>
        <w:rPr>
          <w:rFonts w:cs="Arial"/>
          <w:szCs w:val="22"/>
          <w:lang w:val="fr-BE"/>
        </w:rPr>
        <w:t>les élèves SWALS, qui bénéficient d’un critère particulier de priorité (regroupement de fratrie, retour de mission, retour de séjour d’études, circonstances particulières),</w:t>
      </w:r>
    </w:p>
    <w:p w:rsidR="00080C84" w:rsidRDefault="00080C84" w:rsidP="00080C84">
      <w:pPr>
        <w:pStyle w:val="ListParagraph"/>
        <w:numPr>
          <w:ilvl w:val="0"/>
          <w:numId w:val="26"/>
        </w:numPr>
        <w:spacing w:before="0" w:after="0" w:line="276" w:lineRule="auto"/>
        <w:ind w:left="720" w:hanging="270"/>
        <w:contextualSpacing w:val="0"/>
        <w:rPr>
          <w:rFonts w:cs="Arial"/>
          <w:szCs w:val="22"/>
          <w:lang w:val="fr-BE"/>
        </w:rPr>
      </w:pPr>
      <w:r>
        <w:rPr>
          <w:rFonts w:cs="Arial"/>
          <w:szCs w:val="22"/>
          <w:lang w:val="fr-BE"/>
        </w:rPr>
        <w:t>les élèves de catégorie I et II*, qui ont introduit une demande de transfert volontaire</w:t>
      </w:r>
      <w:r>
        <w:rPr>
          <w:rFonts w:cs="Arial"/>
          <w:b/>
          <w:szCs w:val="22"/>
          <w:lang w:val="fr-BE"/>
        </w:rPr>
        <w:t xml:space="preserve"> </w:t>
      </w:r>
      <w:r>
        <w:rPr>
          <w:rFonts w:cs="Arial"/>
          <w:szCs w:val="22"/>
          <w:lang w:val="fr-BE"/>
        </w:rPr>
        <w:t>justifiée,</w:t>
      </w:r>
    </w:p>
    <w:p w:rsidR="00080C84" w:rsidRDefault="00080C84" w:rsidP="00080C84">
      <w:pPr>
        <w:pStyle w:val="ListParagraph"/>
        <w:numPr>
          <w:ilvl w:val="0"/>
          <w:numId w:val="26"/>
        </w:numPr>
        <w:spacing w:before="0" w:after="0" w:line="276" w:lineRule="auto"/>
        <w:ind w:left="720" w:hanging="270"/>
        <w:contextualSpacing w:val="0"/>
        <w:rPr>
          <w:rFonts w:cs="Arial"/>
          <w:szCs w:val="22"/>
          <w:lang w:val="fr-BE"/>
        </w:rPr>
      </w:pPr>
      <w:r>
        <w:rPr>
          <w:rFonts w:cs="Arial"/>
          <w:szCs w:val="22"/>
          <w:lang w:val="fr-BE"/>
        </w:rPr>
        <w:t>les élèves de catégorie I et II*, y compris</w:t>
      </w:r>
      <w:r>
        <w:rPr>
          <w:rFonts w:cs="Arial"/>
          <w:b/>
          <w:szCs w:val="22"/>
          <w:lang w:val="fr-BE"/>
        </w:rPr>
        <w:t xml:space="preserve"> </w:t>
      </w:r>
      <w:r>
        <w:rPr>
          <w:rFonts w:cs="Arial"/>
          <w:szCs w:val="22"/>
          <w:lang w:val="fr-BE"/>
        </w:rPr>
        <w:t xml:space="preserve">les élèves SWALS, qui ont demandé des inscriptions conjointes, dont au moins une au cycle secondaire, pour lesquelles il existe des places disponibles dans l’école/site de première préférence, puis dans les écoles/sites subséquent(e)s, </w:t>
      </w:r>
    </w:p>
    <w:p w:rsidR="00080C84" w:rsidRDefault="00080C84" w:rsidP="00080C84">
      <w:pPr>
        <w:pStyle w:val="ListParagraph"/>
        <w:numPr>
          <w:ilvl w:val="0"/>
          <w:numId w:val="26"/>
        </w:numPr>
        <w:spacing w:before="0" w:after="0" w:line="276" w:lineRule="auto"/>
        <w:ind w:left="720" w:hanging="270"/>
        <w:contextualSpacing w:val="0"/>
        <w:rPr>
          <w:rFonts w:cs="Arial"/>
          <w:szCs w:val="22"/>
          <w:lang w:val="fr-BE"/>
        </w:rPr>
      </w:pPr>
      <w:r>
        <w:rPr>
          <w:rFonts w:cs="Arial"/>
          <w:szCs w:val="22"/>
          <w:lang w:val="fr-BE"/>
        </w:rPr>
        <w:t>les élèves de catégorie I et II*, qui ont demandé des inscriptions conjointes aux cycles maternel et primaire, pour lesquelles il existe des places disponibles dans l’école/site de première préférence, puis dans les écoles/sites subséquent(e)s,</w:t>
      </w:r>
    </w:p>
    <w:p w:rsidR="00080C84" w:rsidRDefault="00080C84" w:rsidP="00080C84">
      <w:pPr>
        <w:pStyle w:val="ListParagraph"/>
        <w:numPr>
          <w:ilvl w:val="0"/>
          <w:numId w:val="26"/>
        </w:numPr>
        <w:spacing w:before="0" w:after="0" w:line="276" w:lineRule="auto"/>
        <w:ind w:left="720" w:hanging="270"/>
        <w:contextualSpacing w:val="0"/>
        <w:rPr>
          <w:rFonts w:cs="Arial"/>
          <w:szCs w:val="22"/>
          <w:lang w:val="fr-BE"/>
        </w:rPr>
      </w:pPr>
      <w:r>
        <w:rPr>
          <w:rFonts w:cs="Arial"/>
          <w:szCs w:val="22"/>
          <w:lang w:val="fr-BE"/>
        </w:rPr>
        <w:t>les élèves de catégorie I et II*, qui ont demandé une inscription concernant un élève seul, pour laquelle il existe des places disponibles dans l’école/site de première préférence, puis dans les écoles/sites subséquent(e)s,</w:t>
      </w:r>
    </w:p>
    <w:p w:rsidR="00080C84" w:rsidRDefault="00080C84" w:rsidP="00080C84">
      <w:pPr>
        <w:spacing w:line="276" w:lineRule="auto"/>
        <w:rPr>
          <w:rFonts w:cs="Arial"/>
          <w:szCs w:val="22"/>
          <w:lang w:val="fr-BE"/>
        </w:rPr>
      </w:pPr>
      <w:r>
        <w:rPr>
          <w:rFonts w:cs="Arial"/>
          <w:szCs w:val="22"/>
          <w:lang w:val="fr-BE"/>
        </w:rPr>
        <w:t>Sauf cas de force majeure dûment justifié, seuls les membres du personnel des Institutions européennes</w:t>
      </w:r>
      <w:r>
        <w:rPr>
          <w:rFonts w:cs="Arial"/>
          <w:sz w:val="20"/>
          <w:vertAlign w:val="superscript"/>
          <w:lang w:val="fr-BE"/>
        </w:rPr>
        <w:t>1</w:t>
      </w:r>
      <w:r w:rsidR="009B12E9">
        <w:rPr>
          <w:rFonts w:cs="Arial"/>
          <w:sz w:val="20"/>
          <w:vertAlign w:val="superscript"/>
          <w:lang w:val="fr-BE"/>
        </w:rPr>
        <w:t>2</w:t>
      </w:r>
      <w:r>
        <w:rPr>
          <w:rFonts w:cs="Arial"/>
          <w:szCs w:val="22"/>
          <w:lang w:val="fr-BE"/>
        </w:rPr>
        <w:t xml:space="preserve"> ouvrant le droit à la catégorie I et prenant leurs fonctions à Bruxelles (quelle qu’en soit la raison : nouveau recrutement, transfert d’un autre site, retour en activité etc.) à partir du 1</w:t>
      </w:r>
      <w:r>
        <w:rPr>
          <w:rFonts w:cs="Arial"/>
          <w:szCs w:val="22"/>
          <w:vertAlign w:val="superscript"/>
          <w:lang w:val="fr-BE"/>
        </w:rPr>
        <w:t>er</w:t>
      </w:r>
      <w:r>
        <w:rPr>
          <w:rFonts w:cs="Arial"/>
          <w:szCs w:val="22"/>
          <w:lang w:val="fr-BE"/>
        </w:rPr>
        <w:t xml:space="preserve"> janvier 2020 ainsi que ceux dont les enfants sont scolarisés en dehors du territoire belge pendant l’année scolaire 2019-2020,</w:t>
      </w:r>
      <w:r>
        <w:rPr>
          <w:rFonts w:cs="Arial"/>
          <w:b/>
          <w:szCs w:val="22"/>
          <w:lang w:val="fr-BE"/>
        </w:rPr>
        <w:t xml:space="preserve"> </w:t>
      </w:r>
      <w:r>
        <w:rPr>
          <w:rFonts w:cs="Arial"/>
          <w:szCs w:val="22"/>
          <w:lang w:val="fr-BE"/>
        </w:rPr>
        <w:t>peuvent introduire leur demande pendant la deuxième phase. Selon l’ordre chronologique de réception des dossiers valablement complétés, les places disponibles sont attribuées dans toutes les écoles/sites, où la section linguistique ou les classes satellites et le niveau sont ouverts ou sont susceptibles de l’être, dans l’ordre suivant :</w:t>
      </w:r>
    </w:p>
    <w:p w:rsidR="00080C84" w:rsidRDefault="00080C84" w:rsidP="00080C84">
      <w:pPr>
        <w:pStyle w:val="ListParagraph"/>
        <w:numPr>
          <w:ilvl w:val="0"/>
          <w:numId w:val="35"/>
        </w:numPr>
        <w:spacing w:before="0" w:after="0" w:line="276" w:lineRule="auto"/>
        <w:contextualSpacing w:val="0"/>
        <w:rPr>
          <w:rFonts w:cs="Arial"/>
          <w:szCs w:val="22"/>
          <w:lang w:val="fr-BE"/>
        </w:rPr>
      </w:pPr>
      <w:r>
        <w:rPr>
          <w:rFonts w:cs="Arial"/>
          <w:szCs w:val="22"/>
          <w:lang w:val="fr-BE"/>
        </w:rPr>
        <w:t>les élèves de catégorie I et II*, qui demandent une place en section linguistique unique et les élèves SWALS,</w:t>
      </w:r>
    </w:p>
    <w:p w:rsidR="00080C84" w:rsidRDefault="00080C84" w:rsidP="00080C84">
      <w:pPr>
        <w:pStyle w:val="ListParagraph"/>
        <w:numPr>
          <w:ilvl w:val="0"/>
          <w:numId w:val="35"/>
        </w:numPr>
        <w:spacing w:before="0" w:after="0" w:line="276" w:lineRule="auto"/>
        <w:contextualSpacing w:val="0"/>
        <w:rPr>
          <w:rFonts w:cs="Arial"/>
          <w:szCs w:val="22"/>
          <w:lang w:val="fr-BE"/>
        </w:rPr>
      </w:pPr>
      <w:r>
        <w:rPr>
          <w:rFonts w:cs="Arial"/>
          <w:szCs w:val="22"/>
          <w:lang w:val="fr-BE"/>
        </w:rPr>
        <w:t>les élèves de catégorie I et II*, qui bénéficient d’un critère particulier de priorité (circonstances particulières uniquement),</w:t>
      </w:r>
    </w:p>
    <w:p w:rsidR="00080C84" w:rsidRDefault="00080C84" w:rsidP="00080C84">
      <w:pPr>
        <w:pStyle w:val="ListParagraph"/>
        <w:numPr>
          <w:ilvl w:val="0"/>
          <w:numId w:val="35"/>
        </w:numPr>
        <w:spacing w:before="0" w:after="0" w:line="276" w:lineRule="auto"/>
        <w:contextualSpacing w:val="0"/>
        <w:rPr>
          <w:rFonts w:cs="Arial"/>
          <w:szCs w:val="22"/>
          <w:lang w:val="fr-BE"/>
        </w:rPr>
      </w:pPr>
      <w:r>
        <w:rPr>
          <w:rFonts w:cs="Arial"/>
          <w:szCs w:val="22"/>
          <w:lang w:val="fr-BE"/>
        </w:rPr>
        <w:t>les élèves de catégorie I et II*, qui ont introduit une demande de transfert volontaire justifiée (sur la base de circonstances particulières uniquement),</w:t>
      </w:r>
    </w:p>
    <w:p w:rsidR="00080C84" w:rsidRDefault="00080C84" w:rsidP="00080C84">
      <w:pPr>
        <w:pStyle w:val="ListParagraph"/>
        <w:numPr>
          <w:ilvl w:val="0"/>
          <w:numId w:val="35"/>
        </w:numPr>
        <w:spacing w:before="0" w:after="0" w:line="276" w:lineRule="auto"/>
        <w:contextualSpacing w:val="0"/>
        <w:rPr>
          <w:rFonts w:cs="Arial"/>
          <w:szCs w:val="22"/>
          <w:lang w:val="fr-BE"/>
        </w:rPr>
      </w:pPr>
      <w:r>
        <w:rPr>
          <w:rFonts w:cs="Arial"/>
          <w:szCs w:val="22"/>
          <w:lang w:val="fr-BE"/>
        </w:rPr>
        <w:lastRenderedPageBreak/>
        <w:t>les élèves de catégorie I et II*, y compris</w:t>
      </w:r>
      <w:r>
        <w:rPr>
          <w:rFonts w:cs="Arial"/>
          <w:b/>
          <w:szCs w:val="22"/>
          <w:lang w:val="fr-BE"/>
        </w:rPr>
        <w:t xml:space="preserve"> </w:t>
      </w:r>
      <w:r>
        <w:rPr>
          <w:rFonts w:cs="Arial"/>
          <w:szCs w:val="22"/>
          <w:lang w:val="fr-BE"/>
        </w:rPr>
        <w:t>les élèves SWALS, qui ont demandé des inscriptions conjointes, dont au moins une au cycle secondaire, pour lesquelles il existe des places disponibles dans l’école/site de première préférence, puis dans les écoles/sites subséquent(e)s,</w:t>
      </w:r>
    </w:p>
    <w:p w:rsidR="00080C84" w:rsidRDefault="00080C84" w:rsidP="00080C84">
      <w:pPr>
        <w:pStyle w:val="ListParagraph"/>
        <w:numPr>
          <w:ilvl w:val="0"/>
          <w:numId w:val="35"/>
        </w:numPr>
        <w:spacing w:before="0" w:after="0" w:line="276" w:lineRule="auto"/>
        <w:contextualSpacing w:val="0"/>
        <w:rPr>
          <w:rFonts w:cs="Arial"/>
          <w:szCs w:val="22"/>
          <w:lang w:val="fr-BE"/>
        </w:rPr>
      </w:pPr>
      <w:r>
        <w:rPr>
          <w:rFonts w:cs="Arial"/>
          <w:szCs w:val="22"/>
          <w:lang w:val="fr-BE"/>
        </w:rPr>
        <w:t xml:space="preserve">les élèves de catégorie I et II*, qui ont demandé des inscriptions conjointes aux cycles maternel et primaire, pour lesquelles il existe des places disponibles dans l’école/site de première préférence, puis dans les écoles/sites subséquent(e)s, </w:t>
      </w:r>
    </w:p>
    <w:p w:rsidR="00080C84" w:rsidRDefault="00080C84" w:rsidP="00080C84">
      <w:pPr>
        <w:pStyle w:val="ListParagraph"/>
        <w:numPr>
          <w:ilvl w:val="0"/>
          <w:numId w:val="35"/>
        </w:numPr>
        <w:spacing w:before="0" w:after="0" w:line="276" w:lineRule="auto"/>
        <w:contextualSpacing w:val="0"/>
        <w:rPr>
          <w:rFonts w:cs="Arial"/>
          <w:szCs w:val="22"/>
          <w:lang w:val="fr-BE"/>
        </w:rPr>
      </w:pPr>
      <w:r>
        <w:rPr>
          <w:rFonts w:cs="Arial"/>
          <w:szCs w:val="22"/>
          <w:lang w:val="fr-BE"/>
        </w:rPr>
        <w:t>les élèves de catégorie I et II*, qui ont demandé une inscription concernant un élève seul, pour laquelle il existe des places disponibles dans l’école/site de première préférence, puis dans les écoles/sites subséquent(e)s,</w:t>
      </w:r>
    </w:p>
    <w:p w:rsidR="00080C84" w:rsidRDefault="00080C84" w:rsidP="00080C84">
      <w:pPr>
        <w:pStyle w:val="ListParagraph"/>
        <w:numPr>
          <w:ilvl w:val="0"/>
          <w:numId w:val="35"/>
        </w:numPr>
        <w:spacing w:before="0" w:after="0" w:line="276" w:lineRule="auto"/>
        <w:contextualSpacing w:val="0"/>
        <w:rPr>
          <w:rFonts w:cs="Arial"/>
          <w:szCs w:val="22"/>
          <w:lang w:val="fr-BE"/>
        </w:rPr>
      </w:pPr>
      <w:r>
        <w:rPr>
          <w:rFonts w:cs="Arial"/>
          <w:szCs w:val="22"/>
          <w:lang w:val="fr-BE"/>
        </w:rPr>
        <w:t xml:space="preserve">les élèves de catégorie II, dans le respect des accords particuliers souscrits avec les Ecoles européennes, qui bénéficient d’un critère particulier de priorité, et selon l’ordre de traitement visé ci-avant, </w:t>
      </w:r>
    </w:p>
    <w:p w:rsidR="00080C84" w:rsidRDefault="00080C84" w:rsidP="00080C84">
      <w:pPr>
        <w:pStyle w:val="ListParagraph"/>
        <w:numPr>
          <w:ilvl w:val="0"/>
          <w:numId w:val="35"/>
        </w:numPr>
        <w:spacing w:before="0" w:after="0" w:line="276" w:lineRule="auto"/>
        <w:contextualSpacing w:val="0"/>
        <w:rPr>
          <w:rFonts w:cs="Arial"/>
          <w:szCs w:val="22"/>
          <w:lang w:val="fr-BE"/>
        </w:rPr>
      </w:pPr>
      <w:r>
        <w:rPr>
          <w:rFonts w:cs="Arial"/>
          <w:szCs w:val="22"/>
          <w:lang w:val="fr-BE"/>
        </w:rPr>
        <w:t>les élèves dont les parents font partie du personnel civil de l’OTAN et du personnel de l’ONU, qui bénéficient d’un critère particulier de priorité, et selon l’ordre de traitement visé ci-avant,</w:t>
      </w:r>
    </w:p>
    <w:p w:rsidR="00080C84" w:rsidRDefault="00080C84" w:rsidP="00080C84">
      <w:pPr>
        <w:pStyle w:val="ListParagraph"/>
        <w:numPr>
          <w:ilvl w:val="0"/>
          <w:numId w:val="35"/>
        </w:numPr>
        <w:spacing w:before="0" w:after="0" w:line="276" w:lineRule="auto"/>
        <w:contextualSpacing w:val="0"/>
        <w:rPr>
          <w:rFonts w:cs="Arial"/>
          <w:szCs w:val="22"/>
          <w:lang w:val="fr-BE"/>
        </w:rPr>
      </w:pPr>
      <w:r>
        <w:rPr>
          <w:rFonts w:cs="Arial"/>
          <w:szCs w:val="22"/>
          <w:lang w:val="fr-BE"/>
        </w:rPr>
        <w:t>les élèves de catégorie III.</w:t>
      </w:r>
    </w:p>
    <w:p w:rsidR="00080C84" w:rsidRDefault="00080C84" w:rsidP="00080C84">
      <w:pPr>
        <w:spacing w:before="0" w:after="0" w:line="276" w:lineRule="auto"/>
        <w:rPr>
          <w:rFonts w:cs="Arial"/>
          <w:szCs w:val="22"/>
          <w:lang w:val="fr-BE"/>
        </w:rPr>
      </w:pPr>
    </w:p>
    <w:p w:rsidR="00080C84" w:rsidRDefault="00080C84" w:rsidP="00080C84">
      <w:pPr>
        <w:spacing w:before="0" w:after="0" w:line="276" w:lineRule="auto"/>
        <w:rPr>
          <w:rFonts w:cs="Arial"/>
          <w:szCs w:val="22"/>
          <w:lang w:val="fr-BE"/>
        </w:rPr>
      </w:pPr>
    </w:p>
    <w:p w:rsidR="00080C84" w:rsidRDefault="00080C84" w:rsidP="00080C84">
      <w:pPr>
        <w:spacing w:before="0" w:after="0" w:line="276" w:lineRule="auto"/>
        <w:rPr>
          <w:rFonts w:eastAsiaTheme="minorHAnsi" w:cs="Arial"/>
          <w:szCs w:val="22"/>
          <w:lang w:val="fr-BE" w:eastAsia="en-US"/>
        </w:rPr>
      </w:pPr>
      <w:r>
        <w:rPr>
          <w:rFonts w:cs="Arial"/>
          <w:szCs w:val="22"/>
          <w:lang w:val="fr-BE"/>
        </w:rPr>
        <w:t>Sauf situations exceptionnelles dûment justifiées affectant l’élève concerné,</w:t>
      </w:r>
      <w:r>
        <w:rPr>
          <w:rFonts w:cs="Arial"/>
          <w:b/>
          <w:szCs w:val="22"/>
          <w:lang w:val="fr-BE"/>
        </w:rPr>
        <w:t xml:space="preserve"> </w:t>
      </w:r>
      <w:r>
        <w:rPr>
          <w:rFonts w:cs="Arial"/>
          <w:szCs w:val="22"/>
          <w:lang w:val="fr-BE"/>
        </w:rPr>
        <w:t>après la fin de la deuxième phase sont recevables</w:t>
      </w:r>
      <w:r>
        <w:rPr>
          <w:rFonts w:cs="Arial"/>
          <w:b/>
          <w:szCs w:val="22"/>
          <w:lang w:val="fr-BE"/>
        </w:rPr>
        <w:t xml:space="preserve"> </w:t>
      </w:r>
      <w:r>
        <w:rPr>
          <w:rFonts w:cs="Arial"/>
          <w:szCs w:val="22"/>
          <w:lang w:val="fr-BE"/>
        </w:rPr>
        <w:t>seules les demandes visant l’inscription des enfants de catégorie I, II* et de catégorie II</w:t>
      </w:r>
      <w:r>
        <w:rPr>
          <w:rStyle w:val="FootnoteReference"/>
          <w:rFonts w:cs="Arial"/>
          <w:szCs w:val="22"/>
          <w:lang w:val="fr-BE"/>
        </w:rPr>
        <w:footnoteReference w:customMarkFollows="1" w:id="21"/>
        <w:sym w:font="Symbol" w:char="F02B"/>
      </w:r>
      <w:r>
        <w:rPr>
          <w:rFonts w:cs="Arial"/>
          <w:szCs w:val="22"/>
          <w:lang w:val="fr-BE"/>
        </w:rPr>
        <w:t xml:space="preserve">, scolarisés hors de Belgique postulant leur admission au plus tôt dans les 15 jours ouvrables à partir de la date fixée par l’ACI, dont un des représentants légaux entre en fonction à Bruxelles dans les Institutions européennes, Eurocontrol, l’OTAN, l’ONU ou l’employeur avec lequel est conclu l’accord de catégorie II, ou s’établit durablement à Bruxelles en cours d’année scolaire. Ces inscriptions en cours d’année ne sont accueillies que de manière restrictive. </w:t>
      </w:r>
    </w:p>
    <w:p w:rsidR="00080C84" w:rsidRDefault="00080C84" w:rsidP="00080C84">
      <w:pPr>
        <w:tabs>
          <w:tab w:val="left" w:pos="284"/>
        </w:tabs>
        <w:spacing w:line="276" w:lineRule="auto"/>
        <w:rPr>
          <w:rFonts w:cs="Arial"/>
          <w:szCs w:val="22"/>
          <w:lang w:val="fr-BE"/>
        </w:rPr>
      </w:pPr>
      <w:r>
        <w:rPr>
          <w:rFonts w:cs="Arial"/>
          <w:szCs w:val="22"/>
          <w:lang w:val="fr-BE"/>
        </w:rPr>
        <w:t>Les demandes de transfert en cours d’année scolaire sont également admises de manière restrictive, uniquement sur la base de circonstances particulières survenues après la fin de la deuxième phase d’inscription.</w:t>
      </w:r>
    </w:p>
    <w:p w:rsidR="00080C84" w:rsidRDefault="00080C84" w:rsidP="00080C84">
      <w:pPr>
        <w:spacing w:before="0" w:after="0"/>
        <w:jc w:val="left"/>
        <w:rPr>
          <w:rFonts w:cs="Arial"/>
          <w:b/>
          <w:szCs w:val="22"/>
          <w:u w:val="single"/>
        </w:rPr>
      </w:pPr>
    </w:p>
    <w:p w:rsidR="00080C84" w:rsidRDefault="00080C84" w:rsidP="00080C84">
      <w:pPr>
        <w:spacing w:before="0" w:after="0"/>
        <w:jc w:val="left"/>
        <w:rPr>
          <w:rFonts w:cs="Arial"/>
          <w:b/>
          <w:szCs w:val="22"/>
          <w:u w:val="single"/>
        </w:rPr>
      </w:pPr>
      <w:r>
        <w:rPr>
          <w:rFonts w:cs="Arial"/>
          <w:b/>
          <w:szCs w:val="22"/>
          <w:u w:val="single"/>
        </w:rPr>
        <w:br w:type="page"/>
      </w:r>
    </w:p>
    <w:p w:rsidR="00080C84" w:rsidRDefault="00080C84" w:rsidP="00080C84">
      <w:pPr>
        <w:spacing w:after="240" w:line="276" w:lineRule="auto"/>
        <w:rPr>
          <w:rFonts w:cs="Arial"/>
          <w:b/>
          <w:szCs w:val="22"/>
          <w:u w:val="single"/>
        </w:rPr>
      </w:pPr>
      <w:r>
        <w:rPr>
          <w:rFonts w:cs="Arial"/>
          <w:b/>
          <w:szCs w:val="22"/>
          <w:u w:val="single"/>
        </w:rPr>
        <w:lastRenderedPageBreak/>
        <w:t>ANNEXE A</w:t>
      </w:r>
    </w:p>
    <w:p w:rsidR="00080C84" w:rsidRDefault="00080C84" w:rsidP="00080C84">
      <w:pPr>
        <w:spacing w:line="276" w:lineRule="auto"/>
        <w:rPr>
          <w:rFonts w:cs="Arial"/>
          <w:szCs w:val="22"/>
        </w:rPr>
      </w:pPr>
      <w:r>
        <w:rPr>
          <w:rFonts w:cs="Arial"/>
          <w:szCs w:val="22"/>
        </w:rPr>
        <w:t>Les enfants du personnel civil de l’OTAN (agents civils internationaux) sont des élèves couverts par une décision du Conseil supérieur d’avril 1987 emportant des droits (priorité à l’admission) et devoirs (paiement d’un minerval spécifique) particuliers, en sorte qu’ils s’apparentent à des élèves de catégorie II. Toutefois, le Conseil supérieur a clairement décidé que, contrairement aux élèves de catégorie II, ils n’auraient pas droit à l’admission automatique mais qu’ils seraient simplement prioritaires par rapport aux élèves de catégorie III.</w:t>
      </w:r>
    </w:p>
    <w:p w:rsidR="00080C84" w:rsidRDefault="00080C84" w:rsidP="00080C84">
      <w:pPr>
        <w:spacing w:line="276" w:lineRule="auto"/>
        <w:rPr>
          <w:rFonts w:cs="Arial"/>
          <w:szCs w:val="22"/>
        </w:rPr>
      </w:pPr>
      <w:r>
        <w:rPr>
          <w:rFonts w:cs="Arial"/>
          <w:szCs w:val="22"/>
        </w:rPr>
        <w:t xml:space="preserve">Les enfants du personnel de l’ONU ayant statut de fonctionnaires internationaux sont admis dans les mêmes conditions conformément à la décision du Conseil supérieur des 16-18 avril 2013. </w:t>
      </w:r>
    </w:p>
    <w:p w:rsidR="00080C84" w:rsidRDefault="00080C84" w:rsidP="00080C84">
      <w:pPr>
        <w:spacing w:line="276" w:lineRule="auto"/>
        <w:rPr>
          <w:rFonts w:cs="Arial"/>
          <w:szCs w:val="22"/>
        </w:rPr>
      </w:pPr>
      <w:r>
        <w:rPr>
          <w:rFonts w:cs="Arial"/>
          <w:szCs w:val="22"/>
        </w:rPr>
        <w:t xml:space="preserve">Dans le respect des décisions du Conseil supérieur, </w:t>
      </w:r>
    </w:p>
    <w:p w:rsidR="00080C84" w:rsidRDefault="00080C84" w:rsidP="00080C84">
      <w:pPr>
        <w:spacing w:line="276" w:lineRule="auto"/>
        <w:ind w:left="720" w:hanging="720"/>
        <w:rPr>
          <w:rFonts w:cs="Arial"/>
          <w:szCs w:val="22"/>
        </w:rPr>
      </w:pPr>
      <w:r>
        <w:rPr>
          <w:rFonts w:cs="Arial"/>
          <w:szCs w:val="22"/>
        </w:rPr>
        <w:t>1.</w:t>
      </w:r>
      <w:r>
        <w:rPr>
          <w:rFonts w:cs="Arial"/>
          <w:szCs w:val="22"/>
        </w:rPr>
        <w:tab/>
        <w:t>l’admission des enfants du personnel civil de l’OTAN et des fonctionnaires internationaux de l’ONU ne peut entraîner un dédoublement de classe ;</w:t>
      </w:r>
    </w:p>
    <w:p w:rsidR="00080C84" w:rsidRDefault="00080C84" w:rsidP="00080C84">
      <w:pPr>
        <w:spacing w:line="276" w:lineRule="auto"/>
        <w:ind w:left="720" w:hanging="720"/>
        <w:rPr>
          <w:rFonts w:cs="Arial"/>
          <w:szCs w:val="22"/>
        </w:rPr>
      </w:pPr>
      <w:r>
        <w:rPr>
          <w:rFonts w:cs="Arial"/>
          <w:szCs w:val="22"/>
        </w:rPr>
        <w:t>2.</w:t>
      </w:r>
      <w:r>
        <w:rPr>
          <w:rFonts w:cs="Arial"/>
          <w:szCs w:val="22"/>
        </w:rPr>
        <w:tab/>
        <w:t>ces demandes sont traitées après l’admission des élèves de catégorie I et des autres élèves de catégorie II, mais avant les demandes d’inscription des élèves de catégorie III;</w:t>
      </w:r>
    </w:p>
    <w:p w:rsidR="00080C84" w:rsidRDefault="00080C84" w:rsidP="00080C84">
      <w:pPr>
        <w:spacing w:line="276" w:lineRule="auto"/>
        <w:ind w:left="720" w:hanging="720"/>
        <w:rPr>
          <w:rFonts w:cs="Arial"/>
          <w:strike/>
          <w:szCs w:val="22"/>
        </w:rPr>
      </w:pPr>
      <w:r>
        <w:rPr>
          <w:rFonts w:cs="Arial"/>
          <w:szCs w:val="22"/>
        </w:rPr>
        <w:t>3.</w:t>
      </w:r>
      <w:r>
        <w:rPr>
          <w:rFonts w:cs="Arial"/>
          <w:szCs w:val="22"/>
        </w:rPr>
        <w:tab/>
        <w:t xml:space="preserve">pour l’année scolaire 2020-2021, l’attribution des places dans les écoles/sites de Bruxelles se fera dans le respect des règles générales d’inscription. </w:t>
      </w:r>
    </w:p>
    <w:p w:rsidR="00080C84" w:rsidRDefault="00080C84" w:rsidP="00080C84">
      <w:pPr>
        <w:spacing w:before="0" w:after="0"/>
        <w:jc w:val="left"/>
        <w:rPr>
          <w:rFonts w:cs="Arial"/>
          <w:b/>
          <w:szCs w:val="22"/>
          <w:u w:val="single"/>
        </w:rPr>
        <w:sectPr w:rsidR="00080C84" w:rsidSect="003E4437">
          <w:footnotePr>
            <w:numRestart w:val="eachSect"/>
          </w:footnotePr>
          <w:pgSz w:w="11906" w:h="16838"/>
          <w:pgMar w:top="1008" w:right="1728" w:bottom="1008" w:left="1008" w:header="576" w:footer="720" w:gutter="0"/>
          <w:cols w:space="720"/>
        </w:sectPr>
      </w:pPr>
    </w:p>
    <w:p w:rsidR="00080C84" w:rsidRDefault="00080C84" w:rsidP="00080C84">
      <w:pPr>
        <w:spacing w:before="0" w:after="0"/>
        <w:jc w:val="left"/>
        <w:rPr>
          <w:rFonts w:cs="Arial"/>
          <w:b/>
          <w:color w:val="FF0000"/>
          <w:szCs w:val="22"/>
        </w:rPr>
      </w:pPr>
      <w:r>
        <w:rPr>
          <w:rFonts w:cs="Arial"/>
          <w:b/>
          <w:szCs w:val="22"/>
          <w:u w:val="single"/>
        </w:rPr>
        <w:lastRenderedPageBreak/>
        <w:t>ANNEXE B</w:t>
      </w:r>
      <w:r>
        <w:rPr>
          <w:rFonts w:cs="Arial"/>
          <w:b/>
          <w:szCs w:val="22"/>
        </w:rPr>
        <w:t xml:space="preserve">  </w:t>
      </w:r>
    </w:p>
    <w:p w:rsidR="00080C84" w:rsidRDefault="00080C84" w:rsidP="00080C84">
      <w:pPr>
        <w:spacing w:before="0" w:after="0" w:line="276" w:lineRule="auto"/>
        <w:rPr>
          <w:rFonts w:cs="Arial"/>
          <w:szCs w:val="22"/>
        </w:rPr>
      </w:pPr>
    </w:p>
    <w:p w:rsidR="00080C84" w:rsidRDefault="00080C84" w:rsidP="00080C84">
      <w:pPr>
        <w:pBdr>
          <w:top w:val="single" w:sz="4" w:space="1" w:color="auto"/>
          <w:left w:val="single" w:sz="4" w:space="4" w:color="auto"/>
          <w:bottom w:val="single" w:sz="4" w:space="1" w:color="auto"/>
          <w:right w:val="single" w:sz="4" w:space="0" w:color="auto"/>
        </w:pBdr>
        <w:spacing w:after="0"/>
        <w:ind w:right="-115"/>
        <w:rPr>
          <w:rFonts w:cs="Arial"/>
          <w:b/>
          <w:szCs w:val="22"/>
          <w:lang w:val="fr-BE"/>
        </w:rPr>
      </w:pPr>
      <w:r>
        <w:rPr>
          <w:rFonts w:cs="Arial"/>
          <w:b/>
          <w:szCs w:val="22"/>
          <w:lang w:val="fr-BE"/>
        </w:rPr>
        <w:t xml:space="preserve">Structure des écoles/sites : répartition des classes pour l’année scolaire 2020-2021 </w:t>
      </w:r>
    </w:p>
    <w:p w:rsidR="00080C84" w:rsidRDefault="00080C84" w:rsidP="00080C84">
      <w:pPr>
        <w:spacing w:before="240" w:after="240"/>
        <w:rPr>
          <w:rFonts w:cs="Arial"/>
          <w:b/>
          <w:szCs w:val="22"/>
          <w:lang w:val="fr-BE"/>
        </w:rPr>
      </w:pPr>
      <w:r>
        <w:rPr>
          <w:rFonts w:cs="Arial"/>
          <w:b/>
          <w:szCs w:val="22"/>
          <w:lang w:val="fr-BE"/>
        </w:rPr>
        <w:t>EEB1 – UCC : Ecole européenne de Bruxelles I – site Uccle</w:t>
      </w:r>
    </w:p>
    <w:p w:rsidR="00080C84" w:rsidRDefault="00080C84" w:rsidP="00080C84">
      <w:pPr>
        <w:spacing w:after="240"/>
        <w:rPr>
          <w:rFonts w:cs="Arial"/>
          <w:b/>
          <w:sz w:val="26"/>
          <w:szCs w:val="26"/>
          <w:lang w:val="fr-BE"/>
        </w:rPr>
      </w:pPr>
      <w:r>
        <w:rPr>
          <w:noProof/>
          <w:lang w:val="en-US" w:eastAsia="en-US"/>
        </w:rPr>
        <w:drawing>
          <wp:inline distT="0" distB="0" distL="0" distR="0">
            <wp:extent cx="4219575" cy="3181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9575" cy="3181350"/>
                    </a:xfrm>
                    <a:prstGeom prst="rect">
                      <a:avLst/>
                    </a:prstGeom>
                    <a:noFill/>
                    <a:ln>
                      <a:noFill/>
                    </a:ln>
                  </pic:spPr>
                </pic:pic>
              </a:graphicData>
            </a:graphic>
          </wp:inline>
        </w:drawing>
      </w:r>
    </w:p>
    <w:p w:rsidR="00080C84" w:rsidRDefault="00080C84" w:rsidP="00080C84">
      <w:pPr>
        <w:rPr>
          <w:rFonts w:cs="Arial"/>
          <w:b/>
          <w:sz w:val="26"/>
          <w:szCs w:val="26"/>
          <w:u w:val="single"/>
        </w:rPr>
      </w:pPr>
    </w:p>
    <w:p w:rsidR="00080C84" w:rsidRDefault="00080C84" w:rsidP="00080C84">
      <w:pPr>
        <w:spacing w:after="0"/>
        <w:rPr>
          <w:rFonts w:cs="Arial"/>
          <w:b/>
          <w:szCs w:val="22"/>
          <w:lang w:val="fr-BE"/>
        </w:rPr>
      </w:pPr>
      <w:r>
        <w:rPr>
          <w:rFonts w:cs="Arial"/>
          <w:b/>
          <w:szCs w:val="22"/>
          <w:lang w:val="fr-BE"/>
        </w:rPr>
        <w:t>EEB1 - BK : Ecole européenne de Bruxelles I – site Berkendael</w:t>
      </w:r>
    </w:p>
    <w:p w:rsidR="00080C84" w:rsidRDefault="00080C84" w:rsidP="00080C84">
      <w:pPr>
        <w:spacing w:before="0" w:after="0"/>
        <w:rPr>
          <w:rFonts w:cs="Arial"/>
          <w:b/>
          <w:sz w:val="26"/>
          <w:szCs w:val="26"/>
          <w:lang w:val="fr-BE"/>
        </w:rPr>
      </w:pPr>
    </w:p>
    <w:p w:rsidR="00080C84" w:rsidRDefault="00080C84" w:rsidP="00080C84">
      <w:pPr>
        <w:rPr>
          <w:rFonts w:cs="Arial"/>
          <w:b/>
          <w:sz w:val="26"/>
          <w:szCs w:val="26"/>
          <w:u w:val="single"/>
        </w:rPr>
      </w:pPr>
      <w:r>
        <w:rPr>
          <w:noProof/>
          <w:lang w:val="en-US" w:eastAsia="en-US"/>
        </w:rPr>
        <w:drawing>
          <wp:inline distT="0" distB="0" distL="0" distR="0">
            <wp:extent cx="525780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0" cy="1943100"/>
                    </a:xfrm>
                    <a:prstGeom prst="rect">
                      <a:avLst/>
                    </a:prstGeom>
                    <a:noFill/>
                    <a:ln>
                      <a:noFill/>
                    </a:ln>
                  </pic:spPr>
                </pic:pic>
              </a:graphicData>
            </a:graphic>
          </wp:inline>
        </w:drawing>
      </w:r>
    </w:p>
    <w:p w:rsidR="00080C84" w:rsidRDefault="00080C84" w:rsidP="00080C84">
      <w:pPr>
        <w:spacing w:before="0" w:after="0"/>
        <w:jc w:val="left"/>
        <w:rPr>
          <w:rFonts w:cs="Arial"/>
          <w:b/>
          <w:sz w:val="26"/>
          <w:szCs w:val="26"/>
          <w:u w:val="single"/>
        </w:rPr>
      </w:pPr>
      <w:r>
        <w:rPr>
          <w:rFonts w:cs="Arial"/>
          <w:b/>
          <w:sz w:val="26"/>
          <w:szCs w:val="26"/>
          <w:u w:val="single"/>
        </w:rPr>
        <w:br w:type="page"/>
      </w:r>
    </w:p>
    <w:p w:rsidR="00080C84" w:rsidRDefault="00080C84" w:rsidP="00080C84">
      <w:pPr>
        <w:spacing w:before="240" w:after="240"/>
        <w:rPr>
          <w:rFonts w:cs="Arial"/>
          <w:b/>
          <w:szCs w:val="22"/>
          <w:lang w:val="fr-BE"/>
        </w:rPr>
      </w:pPr>
      <w:r>
        <w:rPr>
          <w:rFonts w:cs="Arial"/>
          <w:b/>
          <w:szCs w:val="22"/>
          <w:lang w:val="fr-BE"/>
        </w:rPr>
        <w:lastRenderedPageBreak/>
        <w:t xml:space="preserve">EEB2 : Ecole européenne de Bruxelles II </w:t>
      </w:r>
    </w:p>
    <w:p w:rsidR="00080C84" w:rsidRDefault="00080C84" w:rsidP="00080C84">
      <w:pPr>
        <w:jc w:val="left"/>
        <w:rPr>
          <w:rFonts w:cs="Arial"/>
          <w:b/>
          <w:sz w:val="26"/>
          <w:szCs w:val="26"/>
          <w:lang w:val="fr-BE"/>
        </w:rPr>
      </w:pPr>
      <w:r>
        <w:rPr>
          <w:noProof/>
          <w:lang w:val="en-US" w:eastAsia="en-US"/>
        </w:rPr>
        <w:drawing>
          <wp:inline distT="0" distB="0" distL="0" distR="0">
            <wp:extent cx="4600575" cy="3181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0575" cy="3181350"/>
                    </a:xfrm>
                    <a:prstGeom prst="rect">
                      <a:avLst/>
                    </a:prstGeom>
                    <a:noFill/>
                    <a:ln>
                      <a:noFill/>
                    </a:ln>
                  </pic:spPr>
                </pic:pic>
              </a:graphicData>
            </a:graphic>
          </wp:inline>
        </w:drawing>
      </w:r>
    </w:p>
    <w:p w:rsidR="00080C84" w:rsidRDefault="00080C84" w:rsidP="00080C84">
      <w:pPr>
        <w:spacing w:after="0"/>
        <w:rPr>
          <w:rFonts w:cs="Arial"/>
          <w:b/>
          <w:sz w:val="26"/>
          <w:szCs w:val="26"/>
          <w:lang w:val="fr-BE"/>
        </w:rPr>
      </w:pPr>
    </w:p>
    <w:p w:rsidR="00080C84" w:rsidRDefault="00080C84" w:rsidP="00080C84">
      <w:pPr>
        <w:spacing w:after="240"/>
        <w:rPr>
          <w:rFonts w:cs="Arial"/>
          <w:b/>
          <w:szCs w:val="22"/>
          <w:lang w:val="fr-BE"/>
        </w:rPr>
      </w:pPr>
      <w:r>
        <w:rPr>
          <w:rFonts w:cs="Arial"/>
          <w:b/>
          <w:szCs w:val="22"/>
          <w:lang w:val="fr-BE"/>
        </w:rPr>
        <w:t xml:space="preserve">EEB3 : Ecole européenne de Bruxelles III </w:t>
      </w:r>
    </w:p>
    <w:p w:rsidR="00080C84" w:rsidRDefault="00080C84" w:rsidP="00080C84">
      <w:pPr>
        <w:rPr>
          <w:rFonts w:cs="Arial"/>
          <w:b/>
          <w:sz w:val="26"/>
          <w:szCs w:val="26"/>
          <w:lang w:val="fr-BE"/>
        </w:rPr>
      </w:pPr>
      <w:r>
        <w:rPr>
          <w:noProof/>
          <w:lang w:val="en-US" w:eastAsia="en-US"/>
        </w:rPr>
        <w:drawing>
          <wp:inline distT="0" distB="0" distL="0" distR="0">
            <wp:extent cx="3838575" cy="3181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38575" cy="3181350"/>
                    </a:xfrm>
                    <a:prstGeom prst="rect">
                      <a:avLst/>
                    </a:prstGeom>
                    <a:noFill/>
                    <a:ln>
                      <a:noFill/>
                    </a:ln>
                  </pic:spPr>
                </pic:pic>
              </a:graphicData>
            </a:graphic>
          </wp:inline>
        </w:drawing>
      </w:r>
    </w:p>
    <w:p w:rsidR="00080C84" w:rsidRDefault="00080C84" w:rsidP="00080C84">
      <w:pPr>
        <w:spacing w:after="240"/>
        <w:rPr>
          <w:rFonts w:cs="Arial"/>
          <w:b/>
          <w:sz w:val="26"/>
          <w:szCs w:val="26"/>
          <w:lang w:val="fr-BE"/>
        </w:rPr>
      </w:pPr>
    </w:p>
    <w:p w:rsidR="00080C84" w:rsidRDefault="00080C84" w:rsidP="00080C84">
      <w:pPr>
        <w:spacing w:before="0" w:after="0"/>
        <w:jc w:val="left"/>
        <w:rPr>
          <w:rFonts w:cs="Arial"/>
          <w:b/>
          <w:sz w:val="26"/>
          <w:szCs w:val="26"/>
          <w:lang w:val="fr-BE"/>
        </w:rPr>
      </w:pPr>
      <w:r>
        <w:rPr>
          <w:rFonts w:cs="Arial"/>
          <w:b/>
          <w:sz w:val="26"/>
          <w:szCs w:val="26"/>
          <w:lang w:val="fr-BE"/>
        </w:rPr>
        <w:br w:type="page"/>
      </w:r>
    </w:p>
    <w:p w:rsidR="00080C84" w:rsidRDefault="00080C84" w:rsidP="00080C84">
      <w:pPr>
        <w:spacing w:after="240"/>
        <w:rPr>
          <w:rFonts w:cs="Arial"/>
          <w:b/>
          <w:szCs w:val="22"/>
          <w:lang w:val="fr-BE"/>
        </w:rPr>
      </w:pPr>
      <w:r>
        <w:rPr>
          <w:rFonts w:cs="Arial"/>
          <w:b/>
          <w:szCs w:val="22"/>
          <w:lang w:val="fr-BE"/>
        </w:rPr>
        <w:lastRenderedPageBreak/>
        <w:t xml:space="preserve">EEB4 : Ecole européenne de Bruxelles IV </w:t>
      </w:r>
    </w:p>
    <w:p w:rsidR="00080C84" w:rsidRDefault="00080C84" w:rsidP="00080C84">
      <w:pPr>
        <w:rPr>
          <w:rFonts w:cs="Arial"/>
          <w:b/>
          <w:sz w:val="26"/>
          <w:szCs w:val="26"/>
          <w:lang w:val="fr-BE"/>
        </w:rPr>
      </w:pPr>
      <w:r>
        <w:rPr>
          <w:noProof/>
          <w:lang w:val="en-US" w:eastAsia="en-US"/>
        </w:rPr>
        <w:drawing>
          <wp:inline distT="0" distB="0" distL="0" distR="0">
            <wp:extent cx="4219575" cy="3181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19575" cy="3181350"/>
                    </a:xfrm>
                    <a:prstGeom prst="rect">
                      <a:avLst/>
                    </a:prstGeom>
                    <a:noFill/>
                    <a:ln>
                      <a:noFill/>
                    </a:ln>
                  </pic:spPr>
                </pic:pic>
              </a:graphicData>
            </a:graphic>
          </wp:inline>
        </w:drawing>
      </w:r>
    </w:p>
    <w:p w:rsidR="00080C84" w:rsidRDefault="00080C84" w:rsidP="00080C84">
      <w:pPr>
        <w:rPr>
          <w:rFonts w:cs="Arial"/>
          <w:b/>
          <w:sz w:val="26"/>
          <w:szCs w:val="26"/>
        </w:rPr>
      </w:pPr>
    </w:p>
    <w:p w:rsidR="00080C84" w:rsidRDefault="00080C84" w:rsidP="00080C84">
      <w:pPr>
        <w:spacing w:line="276" w:lineRule="auto"/>
        <w:rPr>
          <w:rFonts w:cs="Arial"/>
          <w:b/>
          <w:szCs w:val="22"/>
        </w:rPr>
      </w:pPr>
      <w:r>
        <w:rPr>
          <w:rFonts w:cs="Arial"/>
          <w:b/>
          <w:szCs w:val="22"/>
        </w:rPr>
        <w:t xml:space="preserve">Sur le constat que les Ecoles européennes de Bruxelles I – site Uccle, II et III ont atteint la limite maximale du nombre de salles de classe disponibles, l’Autorité centrale des inscriptions dispose du droit d’adapter cette structure, notamment par la création de nouvelles classes. </w:t>
      </w:r>
    </w:p>
    <w:p w:rsidR="00080C84" w:rsidRDefault="00080C84" w:rsidP="00080C84">
      <w:pPr>
        <w:spacing w:line="276" w:lineRule="auto"/>
        <w:rPr>
          <w:rFonts w:cs="Arial"/>
          <w:b/>
          <w:szCs w:val="22"/>
        </w:rPr>
      </w:pPr>
      <w:r>
        <w:rPr>
          <w:rFonts w:cs="Arial"/>
          <w:b/>
          <w:szCs w:val="22"/>
        </w:rPr>
        <w:t xml:space="preserve">La création de nouvelles classes sera examinée par priorité à l’Ecole européenne de Bruxelles I – site Berkendael </w:t>
      </w:r>
      <w:r>
        <w:rPr>
          <w:rFonts w:cs="Arial"/>
          <w:b/>
          <w:szCs w:val="22"/>
          <w:lang w:val="fr-BE"/>
        </w:rPr>
        <w:t xml:space="preserve">et à l’Ecole européenne de Bruxelles IV, dans les sections linguistiques, niveaux ou classes satellites qui y sont ouverts. </w:t>
      </w:r>
      <w:r>
        <w:rPr>
          <w:rFonts w:cs="Arial"/>
          <w:b/>
          <w:szCs w:val="22"/>
        </w:rPr>
        <w:t>Les règles de regroupement de classes décidées par le Conseil supérieur</w:t>
      </w:r>
      <w:r>
        <w:rPr>
          <w:rStyle w:val="FootnoteReference"/>
          <w:rFonts w:cs="Arial"/>
          <w:b/>
          <w:szCs w:val="22"/>
        </w:rPr>
        <w:footnoteReference w:id="22"/>
      </w:r>
      <w:r>
        <w:rPr>
          <w:rFonts w:cs="Arial"/>
          <w:b/>
          <w:szCs w:val="22"/>
        </w:rPr>
        <w:t xml:space="preserve"> s’appliquent. </w:t>
      </w:r>
    </w:p>
    <w:p w:rsidR="00B84355" w:rsidRPr="00A705A7" w:rsidRDefault="00B84355" w:rsidP="00080C84">
      <w:pPr>
        <w:spacing w:before="0" w:after="0"/>
        <w:jc w:val="left"/>
        <w:rPr>
          <w:b/>
          <w:sz w:val="24"/>
          <w:szCs w:val="24"/>
          <w:u w:val="single"/>
        </w:rPr>
      </w:pPr>
    </w:p>
    <w:p w:rsidR="00B84355" w:rsidRDefault="00B84355" w:rsidP="00080C84">
      <w:pPr>
        <w:spacing w:before="0" w:after="0"/>
        <w:jc w:val="left"/>
        <w:rPr>
          <w:b/>
          <w:sz w:val="24"/>
          <w:szCs w:val="24"/>
          <w:u w:val="single"/>
        </w:rPr>
      </w:pPr>
    </w:p>
    <w:sectPr w:rsidR="00B84355" w:rsidSect="00CD122B">
      <w:footnotePr>
        <w:numRestart w:val="eachSect"/>
      </w:footnotePr>
      <w:pgSz w:w="11906" w:h="16838"/>
      <w:pgMar w:top="1021" w:right="1701" w:bottom="1021" w:left="1134"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80" w:rsidRDefault="00CC2980">
      <w:r>
        <w:separator/>
      </w:r>
    </w:p>
  </w:endnote>
  <w:endnote w:type="continuationSeparator" w:id="0">
    <w:p w:rsidR="00CC2980" w:rsidRDefault="00CC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80" w:rsidRPr="0015174A" w:rsidRDefault="00CC2980" w:rsidP="0015174A">
    <w:pPr>
      <w:pStyle w:val="Footer"/>
      <w:pBdr>
        <w:top w:val="single" w:sz="4" w:space="1" w:color="auto"/>
      </w:pBdr>
      <w:tabs>
        <w:tab w:val="left" w:pos="1530"/>
        <w:tab w:val="left" w:pos="8364"/>
      </w:tabs>
      <w:ind w:right="-29"/>
      <w:rPr>
        <w:color w:val="FF0000"/>
      </w:rPr>
    </w:pPr>
    <w:r>
      <w:rPr>
        <w:lang w:val="en-GB"/>
      </w:rPr>
      <w:t>2019-11-D-15</w:t>
    </w:r>
    <w:r w:rsidRPr="006D0DB0">
      <w:rPr>
        <w:lang w:val="en-GB"/>
      </w:rPr>
      <w:t>-fr-1</w:t>
    </w:r>
    <w:r w:rsidRPr="006D0DB0">
      <w:rPr>
        <w:lang w:val="en-GB"/>
      </w:rPr>
      <w:tab/>
    </w:r>
    <w:r>
      <w:tab/>
    </w:r>
    <w:r>
      <w:rPr>
        <w:rStyle w:val="PageNumber"/>
      </w:rPr>
      <w:fldChar w:fldCharType="begin"/>
    </w:r>
    <w:r>
      <w:rPr>
        <w:rStyle w:val="PageNumber"/>
      </w:rPr>
      <w:instrText xml:space="preserve"> PAGE </w:instrText>
    </w:r>
    <w:r>
      <w:rPr>
        <w:rStyle w:val="PageNumber"/>
      </w:rPr>
      <w:fldChar w:fldCharType="separate"/>
    </w:r>
    <w:r w:rsidR="002246CA">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46CA">
      <w:rPr>
        <w:rStyle w:val="PageNumber"/>
        <w:noProof/>
      </w:rPr>
      <w:t>33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80" w:rsidRPr="008E3B7D" w:rsidRDefault="00CC2980">
    <w:pPr>
      <w:pStyle w:val="Footer"/>
      <w:pBdr>
        <w:top w:val="single" w:sz="4" w:space="1" w:color="auto"/>
      </w:pBdr>
      <w:tabs>
        <w:tab w:val="center" w:pos="4253"/>
        <w:tab w:val="left" w:pos="8222"/>
      </w:tabs>
      <w:ind w:right="-29"/>
      <w:rPr>
        <w:rStyle w:val="PageNumber"/>
        <w:lang w:val="en-GB"/>
      </w:rPr>
    </w:pPr>
    <w:r>
      <w:rPr>
        <w:lang w:val="en-GB"/>
      </w:rPr>
      <w:t>2019-11-D</w:t>
    </w:r>
    <w:r w:rsidRPr="006D0DB0">
      <w:rPr>
        <w:lang w:val="en-GB"/>
      </w:rPr>
      <w:t>-</w:t>
    </w:r>
    <w:r>
      <w:rPr>
        <w:lang w:val="en-GB"/>
      </w:rPr>
      <w:t>15</w:t>
    </w:r>
    <w:r w:rsidRPr="006D0DB0">
      <w:rPr>
        <w:lang w:val="en-GB"/>
      </w:rPr>
      <w:t>-fr-1</w:t>
    </w: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2246CA">
      <w:rPr>
        <w:rStyle w:val="PageNumber"/>
        <w:noProof/>
        <w:lang w:val="en-GB"/>
      </w:rPr>
      <w:t>14</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2246CA">
      <w:rPr>
        <w:rStyle w:val="PageNumber"/>
        <w:noProof/>
        <w:lang w:val="en-GB"/>
      </w:rPr>
      <w:t>33</w:t>
    </w:r>
    <w:r w:rsidRPr="008E3B7D">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80" w:rsidRDefault="00CC2980">
      <w:r>
        <w:separator/>
      </w:r>
    </w:p>
  </w:footnote>
  <w:footnote w:type="continuationSeparator" w:id="0">
    <w:p w:rsidR="00CC2980" w:rsidRDefault="00CC2980">
      <w:r>
        <w:continuationSeparator/>
      </w:r>
    </w:p>
  </w:footnote>
  <w:footnote w:id="1">
    <w:p w:rsidR="00CC2980" w:rsidRPr="00342DA3" w:rsidRDefault="00CC2980">
      <w:pPr>
        <w:pStyle w:val="FootnoteText"/>
      </w:pPr>
      <w:r>
        <w:rPr>
          <w:rStyle w:val="FootnoteReference"/>
        </w:rPr>
        <w:footnoteRef/>
      </w:r>
      <w:r>
        <w:t xml:space="preserve"> La </w:t>
      </w:r>
      <w:r>
        <w:rPr>
          <w:i/>
          <w:lang w:val="fr-BE"/>
        </w:rPr>
        <w:t>Politique d’inscription dans les Ecoles européennes de Bruxelles pour l’année scolaire 2019-2020</w:t>
      </w:r>
      <w:r>
        <w:rPr>
          <w:lang w:val="fr-BE"/>
        </w:rPr>
        <w:t xml:space="preserve"> (2018-12-D-14-fr-2), est disponible sur le site internet des Ecoles européennes http://</w:t>
      </w:r>
      <w:hyperlink r:id="rId1" w:history="1">
        <w:r>
          <w:rPr>
            <w:rStyle w:val="Hyperlink"/>
            <w:lang w:val="fr-BE"/>
          </w:rPr>
          <w:t>www.eursc.eu</w:t>
        </w:r>
      </w:hyperlink>
      <w:r>
        <w:rPr>
          <w:lang w:val="fr-BE"/>
        </w:rPr>
        <w:t>, sous la rubrique « Inscriptions »</w:t>
      </w:r>
    </w:p>
  </w:footnote>
  <w:footnote w:id="2">
    <w:p w:rsidR="00CC2980" w:rsidRPr="007D2759" w:rsidRDefault="00CC2980">
      <w:pPr>
        <w:pStyle w:val="FootnoteText"/>
      </w:pPr>
      <w:r>
        <w:rPr>
          <w:rStyle w:val="FootnoteReference"/>
        </w:rPr>
        <w:footnoteRef/>
      </w:r>
      <w:r>
        <w:t xml:space="preserve"> Dans la mesure où la section linguistique n’y serait pas encore ouverte.</w:t>
      </w:r>
    </w:p>
  </w:footnote>
  <w:footnote w:id="3">
    <w:p w:rsidR="00CC2980" w:rsidRPr="00497539" w:rsidRDefault="00CC2980" w:rsidP="00842EB0">
      <w:pPr>
        <w:pStyle w:val="FootnoteText"/>
        <w:spacing w:before="40" w:after="40"/>
        <w:ind w:left="360" w:hanging="360"/>
      </w:pPr>
      <w:r>
        <w:rPr>
          <w:rStyle w:val="FootnoteReference"/>
        </w:rPr>
        <w:footnoteRef/>
      </w:r>
      <w:r>
        <w:t xml:space="preserve"> Les élèves de catégorie II* sont les élèves de catégorie II, dont les parents font partie du personnel d’Eurocontrol.</w:t>
      </w:r>
    </w:p>
  </w:footnote>
  <w:footnote w:id="4">
    <w:p w:rsidR="00CC2980" w:rsidRPr="00D82209" w:rsidRDefault="00CC2980" w:rsidP="00842EB0">
      <w:pPr>
        <w:pStyle w:val="FootnoteText"/>
        <w:spacing w:before="40" w:after="40"/>
        <w:ind w:left="360" w:hanging="360"/>
      </w:pPr>
      <w:r>
        <w:rPr>
          <w:rStyle w:val="FootnoteReference"/>
        </w:rPr>
        <w:footnoteRef/>
      </w:r>
      <w:r>
        <w:t xml:space="preserve"> </w:t>
      </w:r>
      <w:r w:rsidRPr="00D82209">
        <w:rPr>
          <w:szCs w:val="22"/>
        </w:rPr>
        <w:t xml:space="preserve">dans toutes les langues I (sauf BG, ET, RO et les SWALS croates et slovènes et les élèves maltais, qui sont inscrits en section EN à l’Ecole de Bruxelles I – site </w:t>
      </w:r>
      <w:r>
        <w:rPr>
          <w:szCs w:val="22"/>
        </w:rPr>
        <w:t xml:space="preserve">Uccle), </w:t>
      </w:r>
      <w:r w:rsidRPr="00D82209">
        <w:rPr>
          <w:szCs w:val="22"/>
        </w:rPr>
        <w:t>pour autant qu’il existe un effectif minimal de 7 élèves par classe</w:t>
      </w:r>
      <w:r>
        <w:rPr>
          <w:szCs w:val="22"/>
        </w:rPr>
        <w:t>.</w:t>
      </w:r>
    </w:p>
  </w:footnote>
  <w:footnote w:id="5">
    <w:p w:rsidR="00CC2980" w:rsidRPr="00882448" w:rsidRDefault="00CC2980" w:rsidP="00A3438D">
      <w:pPr>
        <w:pStyle w:val="FootnoteText"/>
        <w:spacing w:before="40" w:after="40"/>
        <w:ind w:left="360" w:hanging="360"/>
      </w:pPr>
      <w:r>
        <w:rPr>
          <w:rStyle w:val="FootnoteReference"/>
        </w:rPr>
        <w:footnoteRef/>
      </w:r>
      <w:r>
        <w:t xml:space="preserve"> En 2018, sur les 609 demandes reçues lors de la 2</w:t>
      </w:r>
      <w:r w:rsidRPr="00882448">
        <w:rPr>
          <w:vertAlign w:val="superscript"/>
        </w:rPr>
        <w:t>ème</w:t>
      </w:r>
      <w:r>
        <w:t xml:space="preserve"> phase, 104 ont été introduites sur la base d’un cas de force majeure - 30 de ces demandes ayant été qualifiées irrecevables.</w:t>
      </w:r>
    </w:p>
  </w:footnote>
  <w:footnote w:id="6">
    <w:p w:rsidR="00CC2980" w:rsidRDefault="00CC2980" w:rsidP="00A3438D">
      <w:pPr>
        <w:spacing w:before="40" w:after="40"/>
        <w:rPr>
          <w:lang w:val="fr-BE"/>
        </w:rPr>
      </w:pPr>
      <w:r>
        <w:rPr>
          <w:rStyle w:val="FootnoteReference"/>
        </w:rPr>
        <w:footnoteRef/>
      </w:r>
      <w:r>
        <w:t xml:space="preserve"> </w:t>
      </w:r>
      <w:r>
        <w:rPr>
          <w:sz w:val="20"/>
          <w:lang w:val="fr-BE"/>
        </w:rPr>
        <w:t>Une ordonnance motivée est rendue dès lors qu’un recours doit être manifestement rejeté (incompétence de la Chambre, irrecevabilité ou non fondement du recours).</w:t>
      </w:r>
    </w:p>
  </w:footnote>
  <w:footnote w:id="7">
    <w:p w:rsidR="00CC2980" w:rsidRDefault="00CC2980" w:rsidP="00A3438D">
      <w:pPr>
        <w:pStyle w:val="FootnoteText"/>
        <w:spacing w:before="40" w:after="40"/>
        <w:ind w:left="360" w:hanging="360"/>
      </w:pPr>
      <w:r>
        <w:rPr>
          <w:rStyle w:val="FootnoteReference"/>
        </w:rPr>
        <w:footnoteRef/>
      </w:r>
      <w:r>
        <w:t xml:space="preserve"> Ou exerçant une activité professionnelle ouvrant le droit à considérer leurs enfants comme des élèves relevant de la catégorie I ou II*.</w:t>
      </w:r>
    </w:p>
  </w:footnote>
  <w:footnote w:id="8">
    <w:p w:rsidR="00CC2980" w:rsidRPr="00D45E51" w:rsidRDefault="00CC2980" w:rsidP="00620164">
      <w:pPr>
        <w:pStyle w:val="FootnoteText"/>
        <w:spacing w:before="40" w:after="40"/>
        <w:ind w:left="360" w:hanging="360"/>
      </w:pPr>
      <w:r>
        <w:rPr>
          <w:rStyle w:val="FootnoteReference"/>
        </w:rPr>
        <w:footnoteRef/>
      </w:r>
      <w:r>
        <w:t xml:space="preserve"> Ou exerçant une activité professionnelle ouvrant le droit à considérer leurs enfants comme des élèves relevant de la catégorie I ou II*.</w:t>
      </w:r>
    </w:p>
  </w:footnote>
  <w:footnote w:id="9">
    <w:p w:rsidR="00CC2980" w:rsidRDefault="00CC2980" w:rsidP="00080C84">
      <w:pPr>
        <w:pStyle w:val="FootnoteText"/>
        <w:spacing w:before="0"/>
      </w:pPr>
      <w:r>
        <w:rPr>
          <w:rStyle w:val="FootnoteReference"/>
        </w:rPr>
        <w:footnoteRef/>
      </w:r>
      <w:r>
        <w:t xml:space="preserve"> et de catégorie II* (c’est-à-dire tout élève de catégorie II, dont les parents font partie du personnel d’Eurocontrol) et II, ayant un accord déjà en vigueur avec une ou plusieurs écoles de Bruxelles.</w:t>
      </w:r>
    </w:p>
  </w:footnote>
  <w:footnote w:id="10">
    <w:p w:rsidR="00CC2980" w:rsidRDefault="00CC2980" w:rsidP="00080C84">
      <w:pPr>
        <w:pStyle w:val="FootnoteText"/>
      </w:pPr>
      <w:r>
        <w:rPr>
          <w:rStyle w:val="FootnoteReference"/>
        </w:rPr>
        <w:footnoteRef/>
      </w:r>
      <w:r>
        <w:t xml:space="preserve"> A titre d’exemples non exhaustifs : il n’existe plus de locaux disponibles pour accueillir une nouvelle classe au cycle maternel dans les Ecoles européennes de Bruxelles II et III ; les cours de religion et de morale non confessionnelle, certains cours de support éducatif, nécessitant la création de multiples groupes, doivent parfois être enseignés dans des espaces communs, comme les couloirs, faute de locaux disponibles sur certains créneaux horaires ; les activités sportives de certains groupes scolaires doivent être organisées à l’extérieur de l’Ecole faute de place dans les gymnases sur certains créneaux horaires ; certains enseignements doivent être assurés dans des salles sans fenêtre sur certains créneaux horaires ; les infrastructures communes comme les cantines et cafétéria sont surchargées, parfois au bout de leurs limites etc.</w:t>
      </w:r>
    </w:p>
  </w:footnote>
  <w:footnote w:id="11">
    <w:p w:rsidR="00CC2980" w:rsidRDefault="00CC2980" w:rsidP="00080C84">
      <w:pPr>
        <w:pStyle w:val="FootnoteText"/>
        <w:rPr>
          <w:lang w:val="fr-BE"/>
        </w:rPr>
      </w:pPr>
      <w:r>
        <w:rPr>
          <w:rStyle w:val="FootnoteReference"/>
        </w:rPr>
        <w:footnoteRef/>
      </w:r>
      <w:r>
        <w:t xml:space="preserve"> </w:t>
      </w:r>
      <w:r>
        <w:rPr>
          <w:lang w:val="fr-BE"/>
        </w:rPr>
        <w:t>Et à cet égard d’un accès prioritaire par rapport aux élèves nouvellement inscrits.</w:t>
      </w:r>
    </w:p>
  </w:footnote>
  <w:footnote w:id="12">
    <w:p w:rsidR="00CC2980" w:rsidRDefault="00CC2980" w:rsidP="00080C84">
      <w:pPr>
        <w:pStyle w:val="FootnoteText"/>
        <w:spacing w:after="0"/>
        <w:ind w:left="180" w:hanging="180"/>
      </w:pPr>
      <w:r>
        <w:rPr>
          <w:rStyle w:val="FootnoteReference"/>
        </w:rPr>
        <w:footnoteRef/>
      </w:r>
      <w:r>
        <w:t xml:space="preserve"> Lesquels ont tous obtenu l’école de première préférence pour la poursuite de leur scolarité au cycle secondaire.</w:t>
      </w:r>
    </w:p>
  </w:footnote>
  <w:footnote w:id="13">
    <w:p w:rsidR="00CC2980" w:rsidRDefault="00CC2980" w:rsidP="00501D09">
      <w:pPr>
        <w:pStyle w:val="FootnoteText"/>
        <w:spacing w:before="40" w:after="80"/>
        <w:ind w:left="360" w:hanging="360"/>
      </w:pPr>
      <w:r>
        <w:rPr>
          <w:rStyle w:val="FootnoteReference"/>
        </w:rPr>
        <w:footnoteRef/>
      </w:r>
      <w:r>
        <w:t xml:space="preserve"> On dénombre 709 élèves SWALS en septembre 2019 contre 866 en septembre 2016.</w:t>
      </w:r>
    </w:p>
  </w:footnote>
  <w:footnote w:id="14">
    <w:p w:rsidR="00CC2980" w:rsidRDefault="00CC2980" w:rsidP="00501D09">
      <w:pPr>
        <w:pStyle w:val="FootnoteText"/>
        <w:spacing w:before="0"/>
      </w:pPr>
      <w:r>
        <w:rPr>
          <w:rStyle w:val="FootnoteReference"/>
        </w:rPr>
        <w:footnoteRef/>
      </w:r>
      <w:r>
        <w:t xml:space="preserve"> De catégorie I et II*</w:t>
      </w:r>
    </w:p>
  </w:footnote>
  <w:footnote w:id="15">
    <w:p w:rsidR="00CC2980" w:rsidRDefault="00CC2980" w:rsidP="00080C84">
      <w:pPr>
        <w:pStyle w:val="FootnoteText"/>
        <w:spacing w:before="0" w:after="0"/>
      </w:pPr>
      <w:r>
        <w:rPr>
          <w:rStyle w:val="FootnoteReference"/>
        </w:rPr>
        <w:footnoteRef/>
      </w:r>
      <w:r>
        <w:t xml:space="preserve"> Ou exerçant une activité professionnelle ouvrant le droit à considérer leurs enfants comme des élèves relevant de la catégorie I ou II*.</w:t>
      </w:r>
    </w:p>
  </w:footnote>
  <w:footnote w:id="16">
    <w:p w:rsidR="00CC2980" w:rsidRDefault="00CC2980" w:rsidP="00080C84">
      <w:pPr>
        <w:pStyle w:val="FootnoteText"/>
        <w:spacing w:before="0"/>
        <w:ind w:left="180" w:hanging="180"/>
      </w:pPr>
      <w:r>
        <w:rPr>
          <w:rStyle w:val="FootnoteReference"/>
        </w:rPr>
        <w:footnoteRef/>
      </w:r>
      <w:r>
        <w:t xml:space="preserve"> En 2019-2020 ont été recensés 260 désistements, c’est-à-dire des propositions de place initialement acceptées puis ultérieurement annulées par les demandeurs.</w:t>
      </w:r>
    </w:p>
  </w:footnote>
  <w:footnote w:id="17">
    <w:p w:rsidR="00CC2980" w:rsidRDefault="00CC2980" w:rsidP="00080C84">
      <w:pPr>
        <w:pStyle w:val="FootnoteText"/>
        <w:spacing w:before="0" w:after="0"/>
      </w:pPr>
      <w:r>
        <w:rPr>
          <w:rStyle w:val="FootnoteReference"/>
        </w:rPr>
        <w:footnoteRef/>
      </w:r>
      <w:r>
        <w:t xml:space="preserve"> Ou exerçant une activité professionnelle ouvrant le droit à considérer leurs enfants comme des élèves relevant de la catégorie I ou II*.</w:t>
      </w:r>
    </w:p>
  </w:footnote>
  <w:footnote w:id="18">
    <w:p w:rsidR="00CC2980" w:rsidRDefault="00CC2980" w:rsidP="001159B8">
      <w:pPr>
        <w:pStyle w:val="FootnoteText"/>
        <w:spacing w:before="40"/>
        <w:ind w:left="360" w:hanging="360"/>
        <w:rPr>
          <w:lang w:val="en-US"/>
        </w:rPr>
      </w:pPr>
      <w:r>
        <w:rPr>
          <w:rStyle w:val="FootnoteReference"/>
        </w:rPr>
        <w:footnoteRef/>
      </w:r>
      <w:r>
        <w:rPr>
          <w:lang w:val="en-US"/>
        </w:rPr>
        <w:t xml:space="preserve"> Council Regulation (EEC, Euratom, ECSC) No 259/68, OJ L 56, 4.3.1968, p. 1.</w:t>
      </w:r>
    </w:p>
  </w:footnote>
  <w:footnote w:id="19">
    <w:p w:rsidR="00CC2980" w:rsidRDefault="00CC2980" w:rsidP="00080C84">
      <w:pPr>
        <w:pStyle w:val="FootnoteText"/>
      </w:pPr>
      <w:r>
        <w:rPr>
          <w:rStyle w:val="FootnoteReference"/>
        </w:rPr>
        <w:footnoteRef/>
      </w:r>
      <w:r>
        <w:t xml:space="preserve"> </w:t>
      </w:r>
      <w:r>
        <w:rPr>
          <w:lang w:val="fr-BE"/>
        </w:rPr>
        <w:t>Pour le personnel soumis au statut des fonctionnaires de l’UE, il s’agit de la Décision de la Commission du 27.9.2017 relative aux dispositions générales d’exécution des articles 11, 12 et 13 de l’annexe VII du statut des fonctionnaires (dépenses missions) et relative aux déplacements autorisés – Guide des missions et des déplacements autorisés, point 3.</w:t>
      </w:r>
    </w:p>
  </w:footnote>
  <w:footnote w:id="20">
    <w:p w:rsidR="00CC2980" w:rsidRDefault="00CC2980" w:rsidP="00080C84">
      <w:pPr>
        <w:pStyle w:val="FootnoteText"/>
        <w:spacing w:before="0" w:after="0"/>
        <w:ind w:left="0" w:firstLine="0"/>
        <w:rPr>
          <w:lang w:val="fr-BE"/>
        </w:rPr>
      </w:pPr>
      <w:r>
        <w:rPr>
          <w:rStyle w:val="FootnoteReference"/>
        </w:rPr>
        <w:footnoteRef/>
      </w:r>
      <w:r>
        <w:t xml:space="preserve"> Ou</w:t>
      </w:r>
      <w:r>
        <w:rPr>
          <w:b/>
          <w:color w:val="FF0000"/>
        </w:rPr>
        <w:t xml:space="preserve"> </w:t>
      </w:r>
      <w:r>
        <w:rPr>
          <w:lang w:val="fr-BE"/>
        </w:rPr>
        <w:t>exerçant une activité professionnelle ouvrant le droit à considérer leurs enfants comme des élèves relevant de la catégorie I et II*.</w:t>
      </w:r>
    </w:p>
  </w:footnote>
  <w:footnote w:id="21">
    <w:p w:rsidR="00CC2980" w:rsidRDefault="00CC2980" w:rsidP="00080C84">
      <w:pPr>
        <w:pStyle w:val="FootnoteText"/>
        <w:spacing w:before="0" w:after="0"/>
        <w:rPr>
          <w:rFonts w:cs="Arial"/>
          <w:color w:val="FF0000"/>
          <w:lang w:val="fr-BE"/>
        </w:rPr>
      </w:pPr>
      <w:r>
        <w:rPr>
          <w:rStyle w:val="FootnoteReference"/>
          <w:rFonts w:cs="Arial"/>
        </w:rPr>
        <w:sym w:font="Symbol" w:char="F02B"/>
      </w:r>
      <w:r>
        <w:rPr>
          <w:rFonts w:cs="Arial"/>
        </w:rPr>
        <w:t xml:space="preserve"> </w:t>
      </w:r>
      <w:r>
        <w:rPr>
          <w:rFonts w:cs="Arial"/>
          <w:lang w:val="fr-BE"/>
        </w:rPr>
        <w:t>ayant un accord déjà en vigueur avec une ou plusieurs écoles de Bruxelles.</w:t>
      </w:r>
    </w:p>
  </w:footnote>
  <w:footnote w:id="22">
    <w:p w:rsidR="00CC2980" w:rsidRDefault="00CC2980" w:rsidP="00080C84">
      <w:pPr>
        <w:pStyle w:val="FootnoteText"/>
        <w:tabs>
          <w:tab w:val="left" w:pos="3165"/>
          <w:tab w:val="right" w:pos="14796"/>
        </w:tabs>
        <w:spacing w:before="0" w:after="0"/>
        <w:jc w:val="left"/>
        <w:rPr>
          <w:rFonts w:cs="Arial"/>
          <w:lang w:val="fr-BE"/>
        </w:rPr>
      </w:pPr>
      <w:r>
        <w:rPr>
          <w:rStyle w:val="FootnoteReference"/>
        </w:rPr>
        <w:footnoteRef/>
      </w:r>
      <w:r>
        <w:rPr>
          <w:rFonts w:cs="Arial"/>
        </w:rPr>
        <w:t xml:space="preserve"> Décisions du Conseil supérieur adoptées par procédure écrite 2014/13 en date du 14 mai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80" w:rsidRDefault="00CC2980">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80" w:rsidRDefault="00CC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667DA6"/>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EA06F0"/>
    <w:multiLevelType w:val="hybridMultilevel"/>
    <w:tmpl w:val="ED7C6718"/>
    <w:lvl w:ilvl="0" w:tplc="66009D66">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8773DFE"/>
    <w:multiLevelType w:val="hybridMultilevel"/>
    <w:tmpl w:val="6E3C785A"/>
    <w:lvl w:ilvl="0" w:tplc="D4A2DFB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0"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1" w15:restartNumberingAfterBreak="0">
    <w:nsid w:val="2217014E"/>
    <w:multiLevelType w:val="hybridMultilevel"/>
    <w:tmpl w:val="86000F90"/>
    <w:lvl w:ilvl="0" w:tplc="A9F468EA">
      <w:start w:val="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D166D8E"/>
    <w:multiLevelType w:val="hybridMultilevel"/>
    <w:tmpl w:val="DADAA0B6"/>
    <w:lvl w:ilvl="0" w:tplc="40BE307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E1F9A"/>
    <w:multiLevelType w:val="hybridMultilevel"/>
    <w:tmpl w:val="C33A3F0C"/>
    <w:lvl w:ilvl="0" w:tplc="A9F468EA">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0" w15:restartNumberingAfterBreak="0">
    <w:nsid w:val="47E429EE"/>
    <w:multiLevelType w:val="hybridMultilevel"/>
    <w:tmpl w:val="2446F666"/>
    <w:lvl w:ilvl="0" w:tplc="5EDA3FF4">
      <w:start w:val="1"/>
      <w:numFmt w:val="decimal"/>
      <w:lvlText w:val="%1."/>
      <w:lvlJc w:val="left"/>
      <w:pPr>
        <w:ind w:left="720" w:hanging="360"/>
      </w:pPr>
      <w:rPr>
        <w:rFonts w:ascii="Arial" w:hAnsi="Arial" w:cs="Arial" w:hint="default"/>
        <w:b w:val="0"/>
        <w:sz w:val="22"/>
        <w:szCs w:val="22"/>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03D0893"/>
    <w:multiLevelType w:val="hybridMultilevel"/>
    <w:tmpl w:val="4ECC5848"/>
    <w:lvl w:ilvl="0" w:tplc="1DCCA228">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60EF7E3F"/>
    <w:multiLevelType w:val="hybridMultilevel"/>
    <w:tmpl w:val="DF263F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9733673"/>
    <w:multiLevelType w:val="hybridMultilevel"/>
    <w:tmpl w:val="BE54391C"/>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0" w15:restartNumberingAfterBreak="0">
    <w:nsid w:val="6A1D295B"/>
    <w:multiLevelType w:val="hybridMultilevel"/>
    <w:tmpl w:val="CC600730"/>
    <w:lvl w:ilvl="0" w:tplc="7C566B96">
      <w:start w:val="201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4397BB3"/>
    <w:multiLevelType w:val="hybridMultilevel"/>
    <w:tmpl w:val="A08E04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4A06A87"/>
    <w:multiLevelType w:val="hybridMultilevel"/>
    <w:tmpl w:val="2A0699B0"/>
    <w:lvl w:ilvl="0" w:tplc="F5A207C4">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4" w15:restartNumberingAfterBreak="0">
    <w:nsid w:val="7B4D1083"/>
    <w:multiLevelType w:val="hybridMultilevel"/>
    <w:tmpl w:val="255ED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7"/>
  </w:num>
  <w:num w:numId="5">
    <w:abstractNumId w:val="6"/>
  </w:num>
  <w:num w:numId="6">
    <w:abstractNumId w:val="25"/>
  </w:num>
  <w:num w:numId="7">
    <w:abstractNumId w:val="27"/>
  </w:num>
  <w:num w:numId="8">
    <w:abstractNumId w:val="26"/>
  </w:num>
  <w:num w:numId="9">
    <w:abstractNumId w:val="31"/>
  </w:num>
  <w:num w:numId="10">
    <w:abstractNumId w:val="12"/>
  </w:num>
  <w:num w:numId="11">
    <w:abstractNumId w:val="16"/>
  </w:num>
  <w:num w:numId="12">
    <w:abstractNumId w:val="18"/>
  </w:num>
  <w:num w:numId="13">
    <w:abstractNumId w:val="17"/>
  </w:num>
  <w:num w:numId="14">
    <w:abstractNumId w:val="5"/>
  </w:num>
  <w:num w:numId="15">
    <w:abstractNumId w:val="21"/>
  </w:num>
  <w:num w:numId="16">
    <w:abstractNumId w:val="19"/>
  </w:num>
  <w:num w:numId="17">
    <w:abstractNumId w:val="10"/>
  </w:num>
  <w:num w:numId="18">
    <w:abstractNumId w:val="3"/>
  </w:num>
  <w:num w:numId="19">
    <w:abstractNumId w:val="2"/>
  </w:num>
  <w:num w:numId="20">
    <w:abstractNumId w:val="24"/>
  </w:num>
  <w:num w:numId="21">
    <w:abstractNumId w:val="29"/>
  </w:num>
  <w:num w:numId="22">
    <w:abstractNumId w:val="14"/>
  </w:num>
  <w:num w:numId="23">
    <w:abstractNumId w:val="13"/>
  </w:num>
  <w:num w:numId="24">
    <w:abstractNumId w:val="2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0"/>
  </w:num>
  <w:num w:numId="30">
    <w:abstractNumId w:val="32"/>
  </w:num>
  <w:num w:numId="31">
    <w:abstractNumId w:val="8"/>
  </w:num>
  <w:num w:numId="32">
    <w:abstractNumId w:val="22"/>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4"/>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F6"/>
    <w:rsid w:val="000006C4"/>
    <w:rsid w:val="00001BCF"/>
    <w:rsid w:val="00003447"/>
    <w:rsid w:val="0000386B"/>
    <w:rsid w:val="000049EC"/>
    <w:rsid w:val="00005771"/>
    <w:rsid w:val="00006C4D"/>
    <w:rsid w:val="00007505"/>
    <w:rsid w:val="0001273A"/>
    <w:rsid w:val="00012850"/>
    <w:rsid w:val="00014435"/>
    <w:rsid w:val="00014A18"/>
    <w:rsid w:val="00014E93"/>
    <w:rsid w:val="000158FF"/>
    <w:rsid w:val="000160E7"/>
    <w:rsid w:val="00017926"/>
    <w:rsid w:val="00020346"/>
    <w:rsid w:val="00020D25"/>
    <w:rsid w:val="00020FFC"/>
    <w:rsid w:val="00022109"/>
    <w:rsid w:val="00022972"/>
    <w:rsid w:val="000232DF"/>
    <w:rsid w:val="00023E69"/>
    <w:rsid w:val="00023FAC"/>
    <w:rsid w:val="00024859"/>
    <w:rsid w:val="00024CE0"/>
    <w:rsid w:val="0002653A"/>
    <w:rsid w:val="00026E35"/>
    <w:rsid w:val="00027A3C"/>
    <w:rsid w:val="00027AA4"/>
    <w:rsid w:val="000304F6"/>
    <w:rsid w:val="000318C2"/>
    <w:rsid w:val="00031CFA"/>
    <w:rsid w:val="00035365"/>
    <w:rsid w:val="00035E1B"/>
    <w:rsid w:val="0003781B"/>
    <w:rsid w:val="00040DA0"/>
    <w:rsid w:val="00047152"/>
    <w:rsid w:val="00050016"/>
    <w:rsid w:val="00051101"/>
    <w:rsid w:val="0005152C"/>
    <w:rsid w:val="00052852"/>
    <w:rsid w:val="000557B7"/>
    <w:rsid w:val="00056E82"/>
    <w:rsid w:val="00057530"/>
    <w:rsid w:val="000603A0"/>
    <w:rsid w:val="0006126A"/>
    <w:rsid w:val="000616AC"/>
    <w:rsid w:val="00062ADA"/>
    <w:rsid w:val="00062BA8"/>
    <w:rsid w:val="0006310F"/>
    <w:rsid w:val="0006498C"/>
    <w:rsid w:val="00065889"/>
    <w:rsid w:val="00066E6B"/>
    <w:rsid w:val="0007024F"/>
    <w:rsid w:val="00070AE9"/>
    <w:rsid w:val="000747B2"/>
    <w:rsid w:val="00075F7E"/>
    <w:rsid w:val="00080571"/>
    <w:rsid w:val="00080C84"/>
    <w:rsid w:val="00083603"/>
    <w:rsid w:val="000850EB"/>
    <w:rsid w:val="00085750"/>
    <w:rsid w:val="00087BDD"/>
    <w:rsid w:val="000904F4"/>
    <w:rsid w:val="00092531"/>
    <w:rsid w:val="0009400C"/>
    <w:rsid w:val="000941A4"/>
    <w:rsid w:val="00095B3D"/>
    <w:rsid w:val="0009741D"/>
    <w:rsid w:val="00097961"/>
    <w:rsid w:val="000A058E"/>
    <w:rsid w:val="000A0C8D"/>
    <w:rsid w:val="000A0DB6"/>
    <w:rsid w:val="000A3531"/>
    <w:rsid w:val="000A3916"/>
    <w:rsid w:val="000A3F82"/>
    <w:rsid w:val="000A6D97"/>
    <w:rsid w:val="000B09FF"/>
    <w:rsid w:val="000B1767"/>
    <w:rsid w:val="000B2D4A"/>
    <w:rsid w:val="000B4781"/>
    <w:rsid w:val="000B5340"/>
    <w:rsid w:val="000B7439"/>
    <w:rsid w:val="000B7758"/>
    <w:rsid w:val="000B77B7"/>
    <w:rsid w:val="000B7D04"/>
    <w:rsid w:val="000C1E40"/>
    <w:rsid w:val="000C1F51"/>
    <w:rsid w:val="000C3203"/>
    <w:rsid w:val="000C6033"/>
    <w:rsid w:val="000D012E"/>
    <w:rsid w:val="000D08DF"/>
    <w:rsid w:val="000D191F"/>
    <w:rsid w:val="000D1EA8"/>
    <w:rsid w:val="000D3AC6"/>
    <w:rsid w:val="000D3D03"/>
    <w:rsid w:val="000D43AC"/>
    <w:rsid w:val="000D537D"/>
    <w:rsid w:val="000D5421"/>
    <w:rsid w:val="000D5BBD"/>
    <w:rsid w:val="000D5BC1"/>
    <w:rsid w:val="000D5C6A"/>
    <w:rsid w:val="000E0C27"/>
    <w:rsid w:val="000E2B94"/>
    <w:rsid w:val="000E2CA0"/>
    <w:rsid w:val="000E310B"/>
    <w:rsid w:val="000E443D"/>
    <w:rsid w:val="000E448D"/>
    <w:rsid w:val="000E4F31"/>
    <w:rsid w:val="000E5263"/>
    <w:rsid w:val="000E6586"/>
    <w:rsid w:val="000E6A54"/>
    <w:rsid w:val="000E76F3"/>
    <w:rsid w:val="000E79EF"/>
    <w:rsid w:val="000F0B57"/>
    <w:rsid w:val="000F2E8B"/>
    <w:rsid w:val="000F3FC3"/>
    <w:rsid w:val="000F48B6"/>
    <w:rsid w:val="000F7776"/>
    <w:rsid w:val="00100C02"/>
    <w:rsid w:val="00102A57"/>
    <w:rsid w:val="001047A0"/>
    <w:rsid w:val="001062FF"/>
    <w:rsid w:val="00107EB0"/>
    <w:rsid w:val="001109D9"/>
    <w:rsid w:val="00111388"/>
    <w:rsid w:val="00112D45"/>
    <w:rsid w:val="001141E2"/>
    <w:rsid w:val="0011523D"/>
    <w:rsid w:val="001159B8"/>
    <w:rsid w:val="0011722C"/>
    <w:rsid w:val="0011749E"/>
    <w:rsid w:val="00121B3B"/>
    <w:rsid w:val="0012241E"/>
    <w:rsid w:val="00122BA8"/>
    <w:rsid w:val="0012495C"/>
    <w:rsid w:val="00130F5C"/>
    <w:rsid w:val="00131168"/>
    <w:rsid w:val="00131B11"/>
    <w:rsid w:val="0013208A"/>
    <w:rsid w:val="00134437"/>
    <w:rsid w:val="00135BD3"/>
    <w:rsid w:val="001361C5"/>
    <w:rsid w:val="00137831"/>
    <w:rsid w:val="00141163"/>
    <w:rsid w:val="001420FD"/>
    <w:rsid w:val="0014212B"/>
    <w:rsid w:val="00143ABC"/>
    <w:rsid w:val="00144D9A"/>
    <w:rsid w:val="00145D7F"/>
    <w:rsid w:val="00146D39"/>
    <w:rsid w:val="00146EFF"/>
    <w:rsid w:val="00147219"/>
    <w:rsid w:val="00150E9F"/>
    <w:rsid w:val="0015174A"/>
    <w:rsid w:val="00151763"/>
    <w:rsid w:val="00155AEB"/>
    <w:rsid w:val="001564E5"/>
    <w:rsid w:val="001576A6"/>
    <w:rsid w:val="00162664"/>
    <w:rsid w:val="00162EBD"/>
    <w:rsid w:val="00164449"/>
    <w:rsid w:val="001650F2"/>
    <w:rsid w:val="001662AC"/>
    <w:rsid w:val="00166765"/>
    <w:rsid w:val="00167769"/>
    <w:rsid w:val="00170E62"/>
    <w:rsid w:val="00171A14"/>
    <w:rsid w:val="00173C7A"/>
    <w:rsid w:val="0017492F"/>
    <w:rsid w:val="001753D1"/>
    <w:rsid w:val="00176412"/>
    <w:rsid w:val="001774CD"/>
    <w:rsid w:val="0017790E"/>
    <w:rsid w:val="0018139D"/>
    <w:rsid w:val="00183EFB"/>
    <w:rsid w:val="00184957"/>
    <w:rsid w:val="00184AA2"/>
    <w:rsid w:val="00185BE0"/>
    <w:rsid w:val="00185FE6"/>
    <w:rsid w:val="001872E0"/>
    <w:rsid w:val="00190731"/>
    <w:rsid w:val="00197C97"/>
    <w:rsid w:val="001A03D6"/>
    <w:rsid w:val="001A1E63"/>
    <w:rsid w:val="001A2B36"/>
    <w:rsid w:val="001A5FEA"/>
    <w:rsid w:val="001A6679"/>
    <w:rsid w:val="001A6A77"/>
    <w:rsid w:val="001A76F8"/>
    <w:rsid w:val="001A7E3F"/>
    <w:rsid w:val="001B0634"/>
    <w:rsid w:val="001B1098"/>
    <w:rsid w:val="001B25A3"/>
    <w:rsid w:val="001B2938"/>
    <w:rsid w:val="001B3171"/>
    <w:rsid w:val="001C03A9"/>
    <w:rsid w:val="001C2736"/>
    <w:rsid w:val="001C41B1"/>
    <w:rsid w:val="001C440F"/>
    <w:rsid w:val="001C64D1"/>
    <w:rsid w:val="001C67B2"/>
    <w:rsid w:val="001C68CC"/>
    <w:rsid w:val="001C7A50"/>
    <w:rsid w:val="001C7BA2"/>
    <w:rsid w:val="001D0B7A"/>
    <w:rsid w:val="001D21C3"/>
    <w:rsid w:val="001D33A4"/>
    <w:rsid w:val="001D43F4"/>
    <w:rsid w:val="001D5401"/>
    <w:rsid w:val="001D5F10"/>
    <w:rsid w:val="001D61C5"/>
    <w:rsid w:val="001D6B06"/>
    <w:rsid w:val="001D6B72"/>
    <w:rsid w:val="001D6E04"/>
    <w:rsid w:val="001D797B"/>
    <w:rsid w:val="001D7CD6"/>
    <w:rsid w:val="001E062C"/>
    <w:rsid w:val="001E22B3"/>
    <w:rsid w:val="001E3147"/>
    <w:rsid w:val="001E3EDD"/>
    <w:rsid w:val="001E40B0"/>
    <w:rsid w:val="001E4547"/>
    <w:rsid w:val="001E79CA"/>
    <w:rsid w:val="001F0A88"/>
    <w:rsid w:val="001F2CCD"/>
    <w:rsid w:val="001F3ACA"/>
    <w:rsid w:val="001F54CA"/>
    <w:rsid w:val="001F58C1"/>
    <w:rsid w:val="001F6946"/>
    <w:rsid w:val="001F7085"/>
    <w:rsid w:val="002004B1"/>
    <w:rsid w:val="00201150"/>
    <w:rsid w:val="00201EA4"/>
    <w:rsid w:val="002032BF"/>
    <w:rsid w:val="002035A8"/>
    <w:rsid w:val="0020582C"/>
    <w:rsid w:val="00211B59"/>
    <w:rsid w:val="00211E74"/>
    <w:rsid w:val="00212E33"/>
    <w:rsid w:val="00214C42"/>
    <w:rsid w:val="002156C9"/>
    <w:rsid w:val="002221C5"/>
    <w:rsid w:val="0022271B"/>
    <w:rsid w:val="00222EA5"/>
    <w:rsid w:val="002246CA"/>
    <w:rsid w:val="00225D67"/>
    <w:rsid w:val="002263DD"/>
    <w:rsid w:val="00226B2C"/>
    <w:rsid w:val="00230908"/>
    <w:rsid w:val="00232065"/>
    <w:rsid w:val="00232833"/>
    <w:rsid w:val="00234C74"/>
    <w:rsid w:val="00237A96"/>
    <w:rsid w:val="00240099"/>
    <w:rsid w:val="002411A6"/>
    <w:rsid w:val="002420A5"/>
    <w:rsid w:val="00242B37"/>
    <w:rsid w:val="00243144"/>
    <w:rsid w:val="002445D4"/>
    <w:rsid w:val="0025099A"/>
    <w:rsid w:val="00250F17"/>
    <w:rsid w:val="00251C97"/>
    <w:rsid w:val="00253AA4"/>
    <w:rsid w:val="00256CD6"/>
    <w:rsid w:val="0026078A"/>
    <w:rsid w:val="00262293"/>
    <w:rsid w:val="002625B1"/>
    <w:rsid w:val="002645AF"/>
    <w:rsid w:val="002650B3"/>
    <w:rsid w:val="002651E0"/>
    <w:rsid w:val="00266560"/>
    <w:rsid w:val="00267458"/>
    <w:rsid w:val="00267C08"/>
    <w:rsid w:val="00267DEA"/>
    <w:rsid w:val="002710C1"/>
    <w:rsid w:val="002718BF"/>
    <w:rsid w:val="00272FF9"/>
    <w:rsid w:val="0027415C"/>
    <w:rsid w:val="00274F69"/>
    <w:rsid w:val="00275F6C"/>
    <w:rsid w:val="00276C6B"/>
    <w:rsid w:val="002775D7"/>
    <w:rsid w:val="00277C6F"/>
    <w:rsid w:val="002811C9"/>
    <w:rsid w:val="00283625"/>
    <w:rsid w:val="002856A4"/>
    <w:rsid w:val="00285BE2"/>
    <w:rsid w:val="00286840"/>
    <w:rsid w:val="00290773"/>
    <w:rsid w:val="002913B5"/>
    <w:rsid w:val="002915C4"/>
    <w:rsid w:val="00291809"/>
    <w:rsid w:val="00291E05"/>
    <w:rsid w:val="00292114"/>
    <w:rsid w:val="00293B9D"/>
    <w:rsid w:val="0029416E"/>
    <w:rsid w:val="00295CBF"/>
    <w:rsid w:val="00295E0A"/>
    <w:rsid w:val="002A2F54"/>
    <w:rsid w:val="002A3672"/>
    <w:rsid w:val="002A3CEB"/>
    <w:rsid w:val="002A405F"/>
    <w:rsid w:val="002A45D1"/>
    <w:rsid w:val="002A6739"/>
    <w:rsid w:val="002B0D20"/>
    <w:rsid w:val="002B17EB"/>
    <w:rsid w:val="002B2508"/>
    <w:rsid w:val="002B2677"/>
    <w:rsid w:val="002B31B6"/>
    <w:rsid w:val="002B431E"/>
    <w:rsid w:val="002C0314"/>
    <w:rsid w:val="002C1EDE"/>
    <w:rsid w:val="002C43F2"/>
    <w:rsid w:val="002C46DD"/>
    <w:rsid w:val="002C7398"/>
    <w:rsid w:val="002C7630"/>
    <w:rsid w:val="002D1028"/>
    <w:rsid w:val="002D28CD"/>
    <w:rsid w:val="002D57E5"/>
    <w:rsid w:val="002E0DF8"/>
    <w:rsid w:val="002E13E0"/>
    <w:rsid w:val="002E18BA"/>
    <w:rsid w:val="002E1F7C"/>
    <w:rsid w:val="002E537F"/>
    <w:rsid w:val="002E697C"/>
    <w:rsid w:val="002E7E34"/>
    <w:rsid w:val="002F1E89"/>
    <w:rsid w:val="002F2315"/>
    <w:rsid w:val="002F65EB"/>
    <w:rsid w:val="002F6744"/>
    <w:rsid w:val="0030185B"/>
    <w:rsid w:val="00302D0E"/>
    <w:rsid w:val="00302FEC"/>
    <w:rsid w:val="00303D0A"/>
    <w:rsid w:val="00303D84"/>
    <w:rsid w:val="003049E2"/>
    <w:rsid w:val="00304C83"/>
    <w:rsid w:val="00310E55"/>
    <w:rsid w:val="00311269"/>
    <w:rsid w:val="00312179"/>
    <w:rsid w:val="003130E3"/>
    <w:rsid w:val="003141C8"/>
    <w:rsid w:val="0031435B"/>
    <w:rsid w:val="003167EA"/>
    <w:rsid w:val="00320B42"/>
    <w:rsid w:val="003224A2"/>
    <w:rsid w:val="003225DC"/>
    <w:rsid w:val="00322ECB"/>
    <w:rsid w:val="00326422"/>
    <w:rsid w:val="00327C76"/>
    <w:rsid w:val="00330474"/>
    <w:rsid w:val="003317F3"/>
    <w:rsid w:val="0033185C"/>
    <w:rsid w:val="0033294A"/>
    <w:rsid w:val="00332BDD"/>
    <w:rsid w:val="003337F4"/>
    <w:rsid w:val="00333945"/>
    <w:rsid w:val="0033521B"/>
    <w:rsid w:val="00335DD3"/>
    <w:rsid w:val="00335F17"/>
    <w:rsid w:val="00336238"/>
    <w:rsid w:val="00340764"/>
    <w:rsid w:val="00341273"/>
    <w:rsid w:val="0034138B"/>
    <w:rsid w:val="00341F1A"/>
    <w:rsid w:val="00342DA3"/>
    <w:rsid w:val="00343CFF"/>
    <w:rsid w:val="00344187"/>
    <w:rsid w:val="003441FB"/>
    <w:rsid w:val="00345373"/>
    <w:rsid w:val="0034568C"/>
    <w:rsid w:val="00346704"/>
    <w:rsid w:val="003476CB"/>
    <w:rsid w:val="00353396"/>
    <w:rsid w:val="00353A5C"/>
    <w:rsid w:val="003543ED"/>
    <w:rsid w:val="003546A3"/>
    <w:rsid w:val="0035578A"/>
    <w:rsid w:val="00355CCA"/>
    <w:rsid w:val="00357FAA"/>
    <w:rsid w:val="003611CA"/>
    <w:rsid w:val="00361785"/>
    <w:rsid w:val="00366C54"/>
    <w:rsid w:val="00367FED"/>
    <w:rsid w:val="00370769"/>
    <w:rsid w:val="00372F13"/>
    <w:rsid w:val="00373956"/>
    <w:rsid w:val="003745E3"/>
    <w:rsid w:val="003753A3"/>
    <w:rsid w:val="00381610"/>
    <w:rsid w:val="00381777"/>
    <w:rsid w:val="003826F6"/>
    <w:rsid w:val="00382B9E"/>
    <w:rsid w:val="003865FB"/>
    <w:rsid w:val="003867D4"/>
    <w:rsid w:val="00386C30"/>
    <w:rsid w:val="00386E20"/>
    <w:rsid w:val="00393CF8"/>
    <w:rsid w:val="00393F72"/>
    <w:rsid w:val="00395EA7"/>
    <w:rsid w:val="0039739A"/>
    <w:rsid w:val="00397552"/>
    <w:rsid w:val="003A083C"/>
    <w:rsid w:val="003A22D6"/>
    <w:rsid w:val="003A403E"/>
    <w:rsid w:val="003A6055"/>
    <w:rsid w:val="003A6507"/>
    <w:rsid w:val="003B0538"/>
    <w:rsid w:val="003B0599"/>
    <w:rsid w:val="003B1304"/>
    <w:rsid w:val="003B1722"/>
    <w:rsid w:val="003B1737"/>
    <w:rsid w:val="003B315A"/>
    <w:rsid w:val="003B48AB"/>
    <w:rsid w:val="003B6782"/>
    <w:rsid w:val="003B6BA3"/>
    <w:rsid w:val="003C4B35"/>
    <w:rsid w:val="003C7D1A"/>
    <w:rsid w:val="003D0850"/>
    <w:rsid w:val="003D111F"/>
    <w:rsid w:val="003D1870"/>
    <w:rsid w:val="003D32CC"/>
    <w:rsid w:val="003D3321"/>
    <w:rsid w:val="003D3B41"/>
    <w:rsid w:val="003D46DB"/>
    <w:rsid w:val="003D4E74"/>
    <w:rsid w:val="003D5262"/>
    <w:rsid w:val="003D5B09"/>
    <w:rsid w:val="003D5EA2"/>
    <w:rsid w:val="003D7205"/>
    <w:rsid w:val="003D78CD"/>
    <w:rsid w:val="003E0E56"/>
    <w:rsid w:val="003E1090"/>
    <w:rsid w:val="003E1BDE"/>
    <w:rsid w:val="003E388B"/>
    <w:rsid w:val="003E4437"/>
    <w:rsid w:val="003E50DE"/>
    <w:rsid w:val="003E522D"/>
    <w:rsid w:val="003E57E2"/>
    <w:rsid w:val="003F0CA3"/>
    <w:rsid w:val="003F227E"/>
    <w:rsid w:val="003F43AB"/>
    <w:rsid w:val="003F4F7D"/>
    <w:rsid w:val="003F55E4"/>
    <w:rsid w:val="003F684C"/>
    <w:rsid w:val="00402C42"/>
    <w:rsid w:val="0040572F"/>
    <w:rsid w:val="00406D70"/>
    <w:rsid w:val="00407964"/>
    <w:rsid w:val="0041024C"/>
    <w:rsid w:val="00412688"/>
    <w:rsid w:val="0041452B"/>
    <w:rsid w:val="00414F62"/>
    <w:rsid w:val="004155E2"/>
    <w:rsid w:val="00416351"/>
    <w:rsid w:val="00416A5B"/>
    <w:rsid w:val="00417556"/>
    <w:rsid w:val="004179F3"/>
    <w:rsid w:val="0042073D"/>
    <w:rsid w:val="00423529"/>
    <w:rsid w:val="00423DB3"/>
    <w:rsid w:val="004247B4"/>
    <w:rsid w:val="00425194"/>
    <w:rsid w:val="00427BF3"/>
    <w:rsid w:val="00427F24"/>
    <w:rsid w:val="00430A50"/>
    <w:rsid w:val="0043136D"/>
    <w:rsid w:val="0043142E"/>
    <w:rsid w:val="0043287A"/>
    <w:rsid w:val="004336AD"/>
    <w:rsid w:val="00435458"/>
    <w:rsid w:val="0043576A"/>
    <w:rsid w:val="0043673A"/>
    <w:rsid w:val="004419CC"/>
    <w:rsid w:val="00441BCC"/>
    <w:rsid w:val="00442097"/>
    <w:rsid w:val="00442EAD"/>
    <w:rsid w:val="004436D4"/>
    <w:rsid w:val="004441D5"/>
    <w:rsid w:val="00444EF4"/>
    <w:rsid w:val="00446A61"/>
    <w:rsid w:val="00446E17"/>
    <w:rsid w:val="00446EE0"/>
    <w:rsid w:val="0045033C"/>
    <w:rsid w:val="00453F0D"/>
    <w:rsid w:val="004548D7"/>
    <w:rsid w:val="0045632C"/>
    <w:rsid w:val="0045681F"/>
    <w:rsid w:val="00457713"/>
    <w:rsid w:val="004603D2"/>
    <w:rsid w:val="004604FC"/>
    <w:rsid w:val="0046107B"/>
    <w:rsid w:val="004615CC"/>
    <w:rsid w:val="00462D4F"/>
    <w:rsid w:val="00464E3E"/>
    <w:rsid w:val="00466052"/>
    <w:rsid w:val="0046770B"/>
    <w:rsid w:val="004706A8"/>
    <w:rsid w:val="00470871"/>
    <w:rsid w:val="00470FB5"/>
    <w:rsid w:val="004710DD"/>
    <w:rsid w:val="00472BA3"/>
    <w:rsid w:val="00473641"/>
    <w:rsid w:val="00473C85"/>
    <w:rsid w:val="004763F8"/>
    <w:rsid w:val="00476F85"/>
    <w:rsid w:val="0047704F"/>
    <w:rsid w:val="0048066C"/>
    <w:rsid w:val="00480681"/>
    <w:rsid w:val="004814F6"/>
    <w:rsid w:val="00482EC7"/>
    <w:rsid w:val="0048307E"/>
    <w:rsid w:val="0048417A"/>
    <w:rsid w:val="00484AE7"/>
    <w:rsid w:val="00485097"/>
    <w:rsid w:val="00486C59"/>
    <w:rsid w:val="00487F45"/>
    <w:rsid w:val="004951E0"/>
    <w:rsid w:val="0049541C"/>
    <w:rsid w:val="00495AB9"/>
    <w:rsid w:val="00495D45"/>
    <w:rsid w:val="00495E48"/>
    <w:rsid w:val="00496433"/>
    <w:rsid w:val="004973B3"/>
    <w:rsid w:val="00497539"/>
    <w:rsid w:val="004978A0"/>
    <w:rsid w:val="004979E5"/>
    <w:rsid w:val="004A00BA"/>
    <w:rsid w:val="004A09DA"/>
    <w:rsid w:val="004A0E39"/>
    <w:rsid w:val="004A15CD"/>
    <w:rsid w:val="004A1D41"/>
    <w:rsid w:val="004A2658"/>
    <w:rsid w:val="004A2824"/>
    <w:rsid w:val="004A2BE2"/>
    <w:rsid w:val="004A31EC"/>
    <w:rsid w:val="004A3782"/>
    <w:rsid w:val="004A4A4E"/>
    <w:rsid w:val="004A4ED7"/>
    <w:rsid w:val="004B11F1"/>
    <w:rsid w:val="004B17BD"/>
    <w:rsid w:val="004B2E2B"/>
    <w:rsid w:val="004B2EB5"/>
    <w:rsid w:val="004B600C"/>
    <w:rsid w:val="004C0733"/>
    <w:rsid w:val="004C13E4"/>
    <w:rsid w:val="004C19B5"/>
    <w:rsid w:val="004C41DE"/>
    <w:rsid w:val="004C50EC"/>
    <w:rsid w:val="004D15C9"/>
    <w:rsid w:val="004D1D7E"/>
    <w:rsid w:val="004D29DD"/>
    <w:rsid w:val="004D3000"/>
    <w:rsid w:val="004D3B39"/>
    <w:rsid w:val="004D3E5F"/>
    <w:rsid w:val="004D44BC"/>
    <w:rsid w:val="004D4C45"/>
    <w:rsid w:val="004D56B9"/>
    <w:rsid w:val="004D5880"/>
    <w:rsid w:val="004D62AC"/>
    <w:rsid w:val="004D7939"/>
    <w:rsid w:val="004E3779"/>
    <w:rsid w:val="004E3CDD"/>
    <w:rsid w:val="004E4265"/>
    <w:rsid w:val="004E568F"/>
    <w:rsid w:val="004E59AE"/>
    <w:rsid w:val="004E6548"/>
    <w:rsid w:val="004E7D12"/>
    <w:rsid w:val="004F006F"/>
    <w:rsid w:val="004F0AD3"/>
    <w:rsid w:val="004F0CCE"/>
    <w:rsid w:val="004F1552"/>
    <w:rsid w:val="004F4E00"/>
    <w:rsid w:val="004F63BB"/>
    <w:rsid w:val="00501692"/>
    <w:rsid w:val="005017B8"/>
    <w:rsid w:val="00501C60"/>
    <w:rsid w:val="00501D09"/>
    <w:rsid w:val="005021C0"/>
    <w:rsid w:val="00502401"/>
    <w:rsid w:val="00503CDF"/>
    <w:rsid w:val="005050C4"/>
    <w:rsid w:val="00505F86"/>
    <w:rsid w:val="005067DC"/>
    <w:rsid w:val="005100A9"/>
    <w:rsid w:val="00512BA7"/>
    <w:rsid w:val="0051403D"/>
    <w:rsid w:val="00514D0B"/>
    <w:rsid w:val="00516052"/>
    <w:rsid w:val="00517372"/>
    <w:rsid w:val="00522C25"/>
    <w:rsid w:val="00523326"/>
    <w:rsid w:val="005243F1"/>
    <w:rsid w:val="005253F7"/>
    <w:rsid w:val="00525458"/>
    <w:rsid w:val="00527E11"/>
    <w:rsid w:val="00530FE5"/>
    <w:rsid w:val="005316AA"/>
    <w:rsid w:val="00531DC9"/>
    <w:rsid w:val="00532947"/>
    <w:rsid w:val="00532D14"/>
    <w:rsid w:val="00533AAE"/>
    <w:rsid w:val="005346D5"/>
    <w:rsid w:val="00534941"/>
    <w:rsid w:val="00534E06"/>
    <w:rsid w:val="005354FB"/>
    <w:rsid w:val="00535C3B"/>
    <w:rsid w:val="00536C29"/>
    <w:rsid w:val="00540A6C"/>
    <w:rsid w:val="00540DA9"/>
    <w:rsid w:val="00541E9C"/>
    <w:rsid w:val="00542258"/>
    <w:rsid w:val="00542392"/>
    <w:rsid w:val="0054249F"/>
    <w:rsid w:val="005424A1"/>
    <w:rsid w:val="00542C5C"/>
    <w:rsid w:val="00546335"/>
    <w:rsid w:val="0054641F"/>
    <w:rsid w:val="0054667F"/>
    <w:rsid w:val="00547C0F"/>
    <w:rsid w:val="00547E3E"/>
    <w:rsid w:val="00551935"/>
    <w:rsid w:val="00551947"/>
    <w:rsid w:val="00552790"/>
    <w:rsid w:val="0055327D"/>
    <w:rsid w:val="00553E63"/>
    <w:rsid w:val="0055460D"/>
    <w:rsid w:val="00554BDD"/>
    <w:rsid w:val="00555189"/>
    <w:rsid w:val="005566F1"/>
    <w:rsid w:val="00556AA6"/>
    <w:rsid w:val="00557839"/>
    <w:rsid w:val="00563501"/>
    <w:rsid w:val="005638D3"/>
    <w:rsid w:val="0056397E"/>
    <w:rsid w:val="00563ABD"/>
    <w:rsid w:val="005674AD"/>
    <w:rsid w:val="005702AB"/>
    <w:rsid w:val="00570338"/>
    <w:rsid w:val="005704FF"/>
    <w:rsid w:val="00572541"/>
    <w:rsid w:val="0057381C"/>
    <w:rsid w:val="00574D93"/>
    <w:rsid w:val="00575BA0"/>
    <w:rsid w:val="00575BEB"/>
    <w:rsid w:val="00580F5B"/>
    <w:rsid w:val="005814AD"/>
    <w:rsid w:val="00583452"/>
    <w:rsid w:val="005836C8"/>
    <w:rsid w:val="00585C2B"/>
    <w:rsid w:val="0058652C"/>
    <w:rsid w:val="005867BD"/>
    <w:rsid w:val="005870AF"/>
    <w:rsid w:val="005870BD"/>
    <w:rsid w:val="005872F0"/>
    <w:rsid w:val="005919D6"/>
    <w:rsid w:val="005924C4"/>
    <w:rsid w:val="005931B0"/>
    <w:rsid w:val="005942A1"/>
    <w:rsid w:val="005967FA"/>
    <w:rsid w:val="005971EC"/>
    <w:rsid w:val="00597C28"/>
    <w:rsid w:val="005A52AC"/>
    <w:rsid w:val="005A5485"/>
    <w:rsid w:val="005A6F95"/>
    <w:rsid w:val="005B0B76"/>
    <w:rsid w:val="005B135F"/>
    <w:rsid w:val="005B26ED"/>
    <w:rsid w:val="005B37C3"/>
    <w:rsid w:val="005B3FB1"/>
    <w:rsid w:val="005B4C62"/>
    <w:rsid w:val="005B4DE2"/>
    <w:rsid w:val="005B5CFE"/>
    <w:rsid w:val="005B681C"/>
    <w:rsid w:val="005C00E4"/>
    <w:rsid w:val="005C0ACF"/>
    <w:rsid w:val="005C2F45"/>
    <w:rsid w:val="005C3E30"/>
    <w:rsid w:val="005C442B"/>
    <w:rsid w:val="005C51CD"/>
    <w:rsid w:val="005C62D8"/>
    <w:rsid w:val="005C70C0"/>
    <w:rsid w:val="005C73DA"/>
    <w:rsid w:val="005C7F07"/>
    <w:rsid w:val="005D17A4"/>
    <w:rsid w:val="005D20B8"/>
    <w:rsid w:val="005D5453"/>
    <w:rsid w:val="005D5693"/>
    <w:rsid w:val="005D5A01"/>
    <w:rsid w:val="005D5A28"/>
    <w:rsid w:val="005D7CDD"/>
    <w:rsid w:val="005E0248"/>
    <w:rsid w:val="005E06D1"/>
    <w:rsid w:val="005E3428"/>
    <w:rsid w:val="005E42B3"/>
    <w:rsid w:val="005E5204"/>
    <w:rsid w:val="005F033E"/>
    <w:rsid w:val="005F1D76"/>
    <w:rsid w:val="005F216F"/>
    <w:rsid w:val="005F295E"/>
    <w:rsid w:val="005F2C82"/>
    <w:rsid w:val="005F5B53"/>
    <w:rsid w:val="005F68FD"/>
    <w:rsid w:val="005F6CE5"/>
    <w:rsid w:val="005F7259"/>
    <w:rsid w:val="005F765A"/>
    <w:rsid w:val="00601332"/>
    <w:rsid w:val="00601536"/>
    <w:rsid w:val="006026ED"/>
    <w:rsid w:val="006029B9"/>
    <w:rsid w:val="0060413F"/>
    <w:rsid w:val="00604DF1"/>
    <w:rsid w:val="00604FDE"/>
    <w:rsid w:val="0060728A"/>
    <w:rsid w:val="00611314"/>
    <w:rsid w:val="00611D8E"/>
    <w:rsid w:val="0061406F"/>
    <w:rsid w:val="00620164"/>
    <w:rsid w:val="00620209"/>
    <w:rsid w:val="0062127F"/>
    <w:rsid w:val="00621B64"/>
    <w:rsid w:val="006258EE"/>
    <w:rsid w:val="00625934"/>
    <w:rsid w:val="00626445"/>
    <w:rsid w:val="00627BB0"/>
    <w:rsid w:val="006308D6"/>
    <w:rsid w:val="00634A3A"/>
    <w:rsid w:val="00635840"/>
    <w:rsid w:val="00640EDA"/>
    <w:rsid w:val="0064248D"/>
    <w:rsid w:val="006424A1"/>
    <w:rsid w:val="00643AB3"/>
    <w:rsid w:val="00646447"/>
    <w:rsid w:val="006471A1"/>
    <w:rsid w:val="0064755E"/>
    <w:rsid w:val="00655FD1"/>
    <w:rsid w:val="006572D3"/>
    <w:rsid w:val="00657538"/>
    <w:rsid w:val="00660873"/>
    <w:rsid w:val="0066171D"/>
    <w:rsid w:val="00661830"/>
    <w:rsid w:val="00661D5B"/>
    <w:rsid w:val="0066243F"/>
    <w:rsid w:val="0066360F"/>
    <w:rsid w:val="00664D64"/>
    <w:rsid w:val="00664E82"/>
    <w:rsid w:val="00666155"/>
    <w:rsid w:val="006667E0"/>
    <w:rsid w:val="00666BF4"/>
    <w:rsid w:val="00666CFF"/>
    <w:rsid w:val="00666EAB"/>
    <w:rsid w:val="0067016E"/>
    <w:rsid w:val="006704F6"/>
    <w:rsid w:val="00673F49"/>
    <w:rsid w:val="006741F9"/>
    <w:rsid w:val="00674EFE"/>
    <w:rsid w:val="00676C69"/>
    <w:rsid w:val="00680776"/>
    <w:rsid w:val="00681A57"/>
    <w:rsid w:val="00682397"/>
    <w:rsid w:val="0068273B"/>
    <w:rsid w:val="00682865"/>
    <w:rsid w:val="00682CBC"/>
    <w:rsid w:val="00683500"/>
    <w:rsid w:val="0068572B"/>
    <w:rsid w:val="00685766"/>
    <w:rsid w:val="006860B5"/>
    <w:rsid w:val="006868FE"/>
    <w:rsid w:val="0068737D"/>
    <w:rsid w:val="006876DF"/>
    <w:rsid w:val="0069250A"/>
    <w:rsid w:val="006938BA"/>
    <w:rsid w:val="00693B54"/>
    <w:rsid w:val="00694978"/>
    <w:rsid w:val="00694A4D"/>
    <w:rsid w:val="006963AD"/>
    <w:rsid w:val="006A08EA"/>
    <w:rsid w:val="006A2994"/>
    <w:rsid w:val="006A3F64"/>
    <w:rsid w:val="006A3FC3"/>
    <w:rsid w:val="006A4CD7"/>
    <w:rsid w:val="006A5450"/>
    <w:rsid w:val="006A6149"/>
    <w:rsid w:val="006A65DB"/>
    <w:rsid w:val="006A679E"/>
    <w:rsid w:val="006B1004"/>
    <w:rsid w:val="006B1390"/>
    <w:rsid w:val="006B1747"/>
    <w:rsid w:val="006B18A6"/>
    <w:rsid w:val="006B1D7A"/>
    <w:rsid w:val="006B2350"/>
    <w:rsid w:val="006B2F7D"/>
    <w:rsid w:val="006B32F1"/>
    <w:rsid w:val="006B34EA"/>
    <w:rsid w:val="006B40D9"/>
    <w:rsid w:val="006B48A8"/>
    <w:rsid w:val="006B4C68"/>
    <w:rsid w:val="006B5C7C"/>
    <w:rsid w:val="006B5F25"/>
    <w:rsid w:val="006C044B"/>
    <w:rsid w:val="006C0E0C"/>
    <w:rsid w:val="006C2B48"/>
    <w:rsid w:val="006C3B4F"/>
    <w:rsid w:val="006C4214"/>
    <w:rsid w:val="006C44C0"/>
    <w:rsid w:val="006C4B81"/>
    <w:rsid w:val="006C4CA5"/>
    <w:rsid w:val="006C4FC1"/>
    <w:rsid w:val="006C6574"/>
    <w:rsid w:val="006C70F1"/>
    <w:rsid w:val="006C7B18"/>
    <w:rsid w:val="006D0B06"/>
    <w:rsid w:val="006D0DB0"/>
    <w:rsid w:val="006D154F"/>
    <w:rsid w:val="006D1DBE"/>
    <w:rsid w:val="006D2A7F"/>
    <w:rsid w:val="006D3136"/>
    <w:rsid w:val="006D419F"/>
    <w:rsid w:val="006D46B2"/>
    <w:rsid w:val="006D5050"/>
    <w:rsid w:val="006D51C6"/>
    <w:rsid w:val="006E262E"/>
    <w:rsid w:val="006E2DB6"/>
    <w:rsid w:val="006E36E9"/>
    <w:rsid w:val="006E41CE"/>
    <w:rsid w:val="006E427E"/>
    <w:rsid w:val="006E4848"/>
    <w:rsid w:val="006E688C"/>
    <w:rsid w:val="006E6A55"/>
    <w:rsid w:val="006F0FEC"/>
    <w:rsid w:val="006F1F37"/>
    <w:rsid w:val="006F2BA3"/>
    <w:rsid w:val="006F3647"/>
    <w:rsid w:val="006F4ADC"/>
    <w:rsid w:val="006F4E5C"/>
    <w:rsid w:val="006F5801"/>
    <w:rsid w:val="006F5F6A"/>
    <w:rsid w:val="006F60D9"/>
    <w:rsid w:val="006F61A3"/>
    <w:rsid w:val="006F754E"/>
    <w:rsid w:val="007000D1"/>
    <w:rsid w:val="007017C5"/>
    <w:rsid w:val="0070475F"/>
    <w:rsid w:val="007048E5"/>
    <w:rsid w:val="0070505B"/>
    <w:rsid w:val="00705DF1"/>
    <w:rsid w:val="0070659C"/>
    <w:rsid w:val="00706B29"/>
    <w:rsid w:val="0071215F"/>
    <w:rsid w:val="007125DB"/>
    <w:rsid w:val="007134EF"/>
    <w:rsid w:val="00713E25"/>
    <w:rsid w:val="00716584"/>
    <w:rsid w:val="00717263"/>
    <w:rsid w:val="00717F50"/>
    <w:rsid w:val="00720131"/>
    <w:rsid w:val="00721E13"/>
    <w:rsid w:val="0072578B"/>
    <w:rsid w:val="00725BAB"/>
    <w:rsid w:val="00725CF3"/>
    <w:rsid w:val="007264DA"/>
    <w:rsid w:val="00727EA0"/>
    <w:rsid w:val="00732CD4"/>
    <w:rsid w:val="00733F9C"/>
    <w:rsid w:val="00734D15"/>
    <w:rsid w:val="00737F92"/>
    <w:rsid w:val="0074081E"/>
    <w:rsid w:val="007409A2"/>
    <w:rsid w:val="00740B66"/>
    <w:rsid w:val="00741D5A"/>
    <w:rsid w:val="00742382"/>
    <w:rsid w:val="007429B7"/>
    <w:rsid w:val="007434F3"/>
    <w:rsid w:val="00743689"/>
    <w:rsid w:val="007446D7"/>
    <w:rsid w:val="00744CCC"/>
    <w:rsid w:val="007458F1"/>
    <w:rsid w:val="00747170"/>
    <w:rsid w:val="007500A1"/>
    <w:rsid w:val="007500B1"/>
    <w:rsid w:val="007528BC"/>
    <w:rsid w:val="00753057"/>
    <w:rsid w:val="007536E8"/>
    <w:rsid w:val="0075472E"/>
    <w:rsid w:val="00754888"/>
    <w:rsid w:val="00754992"/>
    <w:rsid w:val="00754BF8"/>
    <w:rsid w:val="00754C7B"/>
    <w:rsid w:val="00756A73"/>
    <w:rsid w:val="00757D5A"/>
    <w:rsid w:val="00757F5E"/>
    <w:rsid w:val="00760A7A"/>
    <w:rsid w:val="00760BAE"/>
    <w:rsid w:val="00760D96"/>
    <w:rsid w:val="00762AF1"/>
    <w:rsid w:val="00762E6C"/>
    <w:rsid w:val="00764AF5"/>
    <w:rsid w:val="00765073"/>
    <w:rsid w:val="007672A0"/>
    <w:rsid w:val="007728F6"/>
    <w:rsid w:val="0077298D"/>
    <w:rsid w:val="00774078"/>
    <w:rsid w:val="007746C1"/>
    <w:rsid w:val="00774BFC"/>
    <w:rsid w:val="0077556D"/>
    <w:rsid w:val="00775770"/>
    <w:rsid w:val="00776517"/>
    <w:rsid w:val="00776B63"/>
    <w:rsid w:val="00776C98"/>
    <w:rsid w:val="00782AEC"/>
    <w:rsid w:val="00784592"/>
    <w:rsid w:val="0078465B"/>
    <w:rsid w:val="00785918"/>
    <w:rsid w:val="00785EBF"/>
    <w:rsid w:val="00785EC6"/>
    <w:rsid w:val="00787A71"/>
    <w:rsid w:val="00791B1E"/>
    <w:rsid w:val="00792045"/>
    <w:rsid w:val="00795CAC"/>
    <w:rsid w:val="007A01B4"/>
    <w:rsid w:val="007A0D74"/>
    <w:rsid w:val="007A40F5"/>
    <w:rsid w:val="007A4B16"/>
    <w:rsid w:val="007A56A5"/>
    <w:rsid w:val="007A5D06"/>
    <w:rsid w:val="007A5D9D"/>
    <w:rsid w:val="007A5F9B"/>
    <w:rsid w:val="007A655A"/>
    <w:rsid w:val="007A71D3"/>
    <w:rsid w:val="007B1221"/>
    <w:rsid w:val="007B291B"/>
    <w:rsid w:val="007B3978"/>
    <w:rsid w:val="007B55DF"/>
    <w:rsid w:val="007B5C0D"/>
    <w:rsid w:val="007B6853"/>
    <w:rsid w:val="007B7432"/>
    <w:rsid w:val="007C0C63"/>
    <w:rsid w:val="007C23FE"/>
    <w:rsid w:val="007C2999"/>
    <w:rsid w:val="007C3012"/>
    <w:rsid w:val="007C3787"/>
    <w:rsid w:val="007C3BF4"/>
    <w:rsid w:val="007C3E2C"/>
    <w:rsid w:val="007C45B4"/>
    <w:rsid w:val="007C4BB3"/>
    <w:rsid w:val="007C653B"/>
    <w:rsid w:val="007C74A6"/>
    <w:rsid w:val="007D00AD"/>
    <w:rsid w:val="007D0CA8"/>
    <w:rsid w:val="007D1914"/>
    <w:rsid w:val="007D2759"/>
    <w:rsid w:val="007D2B79"/>
    <w:rsid w:val="007D6A75"/>
    <w:rsid w:val="007E0388"/>
    <w:rsid w:val="007E0AB4"/>
    <w:rsid w:val="007E1357"/>
    <w:rsid w:val="007E1C9C"/>
    <w:rsid w:val="007E3087"/>
    <w:rsid w:val="007E32A6"/>
    <w:rsid w:val="007E433D"/>
    <w:rsid w:val="007E4A3E"/>
    <w:rsid w:val="007E59AB"/>
    <w:rsid w:val="007E5E02"/>
    <w:rsid w:val="007E660F"/>
    <w:rsid w:val="007F0F0E"/>
    <w:rsid w:val="007F2160"/>
    <w:rsid w:val="007F41A1"/>
    <w:rsid w:val="007F4426"/>
    <w:rsid w:val="007F58E1"/>
    <w:rsid w:val="007F72B9"/>
    <w:rsid w:val="007F7859"/>
    <w:rsid w:val="008025A3"/>
    <w:rsid w:val="00804A0B"/>
    <w:rsid w:val="00805E01"/>
    <w:rsid w:val="00805FE2"/>
    <w:rsid w:val="008105A1"/>
    <w:rsid w:val="008105F6"/>
    <w:rsid w:val="00814981"/>
    <w:rsid w:val="008158B2"/>
    <w:rsid w:val="00816F48"/>
    <w:rsid w:val="008179A8"/>
    <w:rsid w:val="008209BC"/>
    <w:rsid w:val="00821287"/>
    <w:rsid w:val="0082170A"/>
    <w:rsid w:val="00821B27"/>
    <w:rsid w:val="00824BFB"/>
    <w:rsid w:val="00824EEB"/>
    <w:rsid w:val="00825304"/>
    <w:rsid w:val="00825F6F"/>
    <w:rsid w:val="00825F7D"/>
    <w:rsid w:val="0082673F"/>
    <w:rsid w:val="008270B1"/>
    <w:rsid w:val="00830EB4"/>
    <w:rsid w:val="00831B99"/>
    <w:rsid w:val="00831F19"/>
    <w:rsid w:val="00832A35"/>
    <w:rsid w:val="008331B9"/>
    <w:rsid w:val="00835436"/>
    <w:rsid w:val="00835D45"/>
    <w:rsid w:val="008378EA"/>
    <w:rsid w:val="00841319"/>
    <w:rsid w:val="00841EA5"/>
    <w:rsid w:val="00842E35"/>
    <w:rsid w:val="00842EB0"/>
    <w:rsid w:val="00843921"/>
    <w:rsid w:val="00843CBB"/>
    <w:rsid w:val="00843E0C"/>
    <w:rsid w:val="0084538F"/>
    <w:rsid w:val="008459FE"/>
    <w:rsid w:val="00845BAC"/>
    <w:rsid w:val="00846996"/>
    <w:rsid w:val="00846AE6"/>
    <w:rsid w:val="00846E84"/>
    <w:rsid w:val="00850368"/>
    <w:rsid w:val="00851F03"/>
    <w:rsid w:val="00852CB2"/>
    <w:rsid w:val="00854182"/>
    <w:rsid w:val="00854358"/>
    <w:rsid w:val="00854F8B"/>
    <w:rsid w:val="008562A4"/>
    <w:rsid w:val="008564DB"/>
    <w:rsid w:val="00856A1D"/>
    <w:rsid w:val="00857548"/>
    <w:rsid w:val="00857DC6"/>
    <w:rsid w:val="0086064B"/>
    <w:rsid w:val="008607B7"/>
    <w:rsid w:val="0086082D"/>
    <w:rsid w:val="00860D3A"/>
    <w:rsid w:val="008633A3"/>
    <w:rsid w:val="00863E13"/>
    <w:rsid w:val="00865602"/>
    <w:rsid w:val="008663F2"/>
    <w:rsid w:val="008700AE"/>
    <w:rsid w:val="00870A85"/>
    <w:rsid w:val="00870C6F"/>
    <w:rsid w:val="00872265"/>
    <w:rsid w:val="008749CA"/>
    <w:rsid w:val="00876667"/>
    <w:rsid w:val="008804BF"/>
    <w:rsid w:val="00881675"/>
    <w:rsid w:val="00881FDF"/>
    <w:rsid w:val="00882448"/>
    <w:rsid w:val="008826E4"/>
    <w:rsid w:val="00883865"/>
    <w:rsid w:val="00885379"/>
    <w:rsid w:val="008856A5"/>
    <w:rsid w:val="00885B2D"/>
    <w:rsid w:val="00887465"/>
    <w:rsid w:val="00887C9A"/>
    <w:rsid w:val="00891497"/>
    <w:rsid w:val="00891A3F"/>
    <w:rsid w:val="00892393"/>
    <w:rsid w:val="00892E79"/>
    <w:rsid w:val="0089347F"/>
    <w:rsid w:val="00896873"/>
    <w:rsid w:val="00896AD9"/>
    <w:rsid w:val="0089797C"/>
    <w:rsid w:val="008A4AA3"/>
    <w:rsid w:val="008A6B09"/>
    <w:rsid w:val="008B0E87"/>
    <w:rsid w:val="008B19DB"/>
    <w:rsid w:val="008B2A0B"/>
    <w:rsid w:val="008B3E84"/>
    <w:rsid w:val="008B409B"/>
    <w:rsid w:val="008B4ED4"/>
    <w:rsid w:val="008B6AF6"/>
    <w:rsid w:val="008B706F"/>
    <w:rsid w:val="008B717C"/>
    <w:rsid w:val="008B741A"/>
    <w:rsid w:val="008C20FD"/>
    <w:rsid w:val="008C2BB2"/>
    <w:rsid w:val="008C3403"/>
    <w:rsid w:val="008C39A7"/>
    <w:rsid w:val="008C59CE"/>
    <w:rsid w:val="008C6946"/>
    <w:rsid w:val="008C798F"/>
    <w:rsid w:val="008D141B"/>
    <w:rsid w:val="008D79CC"/>
    <w:rsid w:val="008E3B7D"/>
    <w:rsid w:val="008E5945"/>
    <w:rsid w:val="008E61F4"/>
    <w:rsid w:val="008F09BE"/>
    <w:rsid w:val="008F109B"/>
    <w:rsid w:val="008F372C"/>
    <w:rsid w:val="008F49BB"/>
    <w:rsid w:val="008F4A45"/>
    <w:rsid w:val="008F59F5"/>
    <w:rsid w:val="008F5C23"/>
    <w:rsid w:val="008F74A7"/>
    <w:rsid w:val="008F766C"/>
    <w:rsid w:val="008F7820"/>
    <w:rsid w:val="00900F37"/>
    <w:rsid w:val="0090128D"/>
    <w:rsid w:val="00901E78"/>
    <w:rsid w:val="009023E1"/>
    <w:rsid w:val="009075EB"/>
    <w:rsid w:val="009128B8"/>
    <w:rsid w:val="00912F8B"/>
    <w:rsid w:val="00917536"/>
    <w:rsid w:val="00917E51"/>
    <w:rsid w:val="009255F1"/>
    <w:rsid w:val="00925947"/>
    <w:rsid w:val="00930498"/>
    <w:rsid w:val="00931729"/>
    <w:rsid w:val="00931FBB"/>
    <w:rsid w:val="009323BD"/>
    <w:rsid w:val="0093342E"/>
    <w:rsid w:val="00933CBB"/>
    <w:rsid w:val="00934B10"/>
    <w:rsid w:val="00934EF6"/>
    <w:rsid w:val="00935E8B"/>
    <w:rsid w:val="0093616F"/>
    <w:rsid w:val="009371DF"/>
    <w:rsid w:val="009429F2"/>
    <w:rsid w:val="00943E91"/>
    <w:rsid w:val="009440EC"/>
    <w:rsid w:val="00945C18"/>
    <w:rsid w:val="0094722D"/>
    <w:rsid w:val="0094745F"/>
    <w:rsid w:val="00947B29"/>
    <w:rsid w:val="009523CB"/>
    <w:rsid w:val="00954726"/>
    <w:rsid w:val="009558E5"/>
    <w:rsid w:val="00955E4D"/>
    <w:rsid w:val="00957FD9"/>
    <w:rsid w:val="00957FDF"/>
    <w:rsid w:val="00962236"/>
    <w:rsid w:val="0096335F"/>
    <w:rsid w:val="00966E96"/>
    <w:rsid w:val="00966FC8"/>
    <w:rsid w:val="00966FCF"/>
    <w:rsid w:val="00967B87"/>
    <w:rsid w:val="00970626"/>
    <w:rsid w:val="009709BA"/>
    <w:rsid w:val="00971452"/>
    <w:rsid w:val="00972310"/>
    <w:rsid w:val="00972484"/>
    <w:rsid w:val="00972754"/>
    <w:rsid w:val="00975BAA"/>
    <w:rsid w:val="0097653C"/>
    <w:rsid w:val="00980E9A"/>
    <w:rsid w:val="009825E6"/>
    <w:rsid w:val="00983732"/>
    <w:rsid w:val="00983DB7"/>
    <w:rsid w:val="0098559A"/>
    <w:rsid w:val="009871D9"/>
    <w:rsid w:val="00987A02"/>
    <w:rsid w:val="00987E47"/>
    <w:rsid w:val="00991DC4"/>
    <w:rsid w:val="00991EC1"/>
    <w:rsid w:val="0099512A"/>
    <w:rsid w:val="00995A0A"/>
    <w:rsid w:val="0099644B"/>
    <w:rsid w:val="009967B7"/>
    <w:rsid w:val="00997196"/>
    <w:rsid w:val="00997446"/>
    <w:rsid w:val="009A090B"/>
    <w:rsid w:val="009A09FB"/>
    <w:rsid w:val="009A167D"/>
    <w:rsid w:val="009A3050"/>
    <w:rsid w:val="009A3065"/>
    <w:rsid w:val="009A3B8D"/>
    <w:rsid w:val="009A3C80"/>
    <w:rsid w:val="009A7794"/>
    <w:rsid w:val="009B0578"/>
    <w:rsid w:val="009B07FD"/>
    <w:rsid w:val="009B12E9"/>
    <w:rsid w:val="009B16D2"/>
    <w:rsid w:val="009B3566"/>
    <w:rsid w:val="009B516A"/>
    <w:rsid w:val="009B7819"/>
    <w:rsid w:val="009B7841"/>
    <w:rsid w:val="009C1BD8"/>
    <w:rsid w:val="009C2686"/>
    <w:rsid w:val="009C40A1"/>
    <w:rsid w:val="009C469D"/>
    <w:rsid w:val="009C4C3F"/>
    <w:rsid w:val="009C7F0F"/>
    <w:rsid w:val="009D0E2C"/>
    <w:rsid w:val="009D1AE5"/>
    <w:rsid w:val="009D23FE"/>
    <w:rsid w:val="009D2AB9"/>
    <w:rsid w:val="009D3873"/>
    <w:rsid w:val="009D4BA2"/>
    <w:rsid w:val="009D4FF9"/>
    <w:rsid w:val="009D5184"/>
    <w:rsid w:val="009D56CA"/>
    <w:rsid w:val="009D5D99"/>
    <w:rsid w:val="009D65BD"/>
    <w:rsid w:val="009D74F5"/>
    <w:rsid w:val="009E30A1"/>
    <w:rsid w:val="009E3DF3"/>
    <w:rsid w:val="009E5ED8"/>
    <w:rsid w:val="009E766C"/>
    <w:rsid w:val="009E774B"/>
    <w:rsid w:val="009F03A7"/>
    <w:rsid w:val="009F0594"/>
    <w:rsid w:val="009F0C56"/>
    <w:rsid w:val="009F29B0"/>
    <w:rsid w:val="009F2CF3"/>
    <w:rsid w:val="009F393B"/>
    <w:rsid w:val="009F4997"/>
    <w:rsid w:val="009F5465"/>
    <w:rsid w:val="009F6336"/>
    <w:rsid w:val="009F70F2"/>
    <w:rsid w:val="00A01B99"/>
    <w:rsid w:val="00A028E2"/>
    <w:rsid w:val="00A05A2B"/>
    <w:rsid w:val="00A06750"/>
    <w:rsid w:val="00A06B48"/>
    <w:rsid w:val="00A144E6"/>
    <w:rsid w:val="00A14AC9"/>
    <w:rsid w:val="00A20443"/>
    <w:rsid w:val="00A209A1"/>
    <w:rsid w:val="00A25398"/>
    <w:rsid w:val="00A254EE"/>
    <w:rsid w:val="00A276F3"/>
    <w:rsid w:val="00A31689"/>
    <w:rsid w:val="00A3210E"/>
    <w:rsid w:val="00A33C39"/>
    <w:rsid w:val="00A34231"/>
    <w:rsid w:val="00A3438D"/>
    <w:rsid w:val="00A34EC6"/>
    <w:rsid w:val="00A40C7A"/>
    <w:rsid w:val="00A4148F"/>
    <w:rsid w:val="00A419D6"/>
    <w:rsid w:val="00A41B74"/>
    <w:rsid w:val="00A44465"/>
    <w:rsid w:val="00A449EE"/>
    <w:rsid w:val="00A45B1D"/>
    <w:rsid w:val="00A50DEE"/>
    <w:rsid w:val="00A52251"/>
    <w:rsid w:val="00A5345C"/>
    <w:rsid w:val="00A539B0"/>
    <w:rsid w:val="00A540A8"/>
    <w:rsid w:val="00A55055"/>
    <w:rsid w:val="00A55654"/>
    <w:rsid w:val="00A567DE"/>
    <w:rsid w:val="00A56C94"/>
    <w:rsid w:val="00A6084D"/>
    <w:rsid w:val="00A60B78"/>
    <w:rsid w:val="00A62465"/>
    <w:rsid w:val="00A632D8"/>
    <w:rsid w:val="00A64516"/>
    <w:rsid w:val="00A65871"/>
    <w:rsid w:val="00A663D3"/>
    <w:rsid w:val="00A67AE8"/>
    <w:rsid w:val="00A705A7"/>
    <w:rsid w:val="00A7140D"/>
    <w:rsid w:val="00A72094"/>
    <w:rsid w:val="00A72985"/>
    <w:rsid w:val="00A72C5A"/>
    <w:rsid w:val="00A73299"/>
    <w:rsid w:val="00A768CB"/>
    <w:rsid w:val="00A76EB9"/>
    <w:rsid w:val="00A828BD"/>
    <w:rsid w:val="00A83A04"/>
    <w:rsid w:val="00A84834"/>
    <w:rsid w:val="00A849D8"/>
    <w:rsid w:val="00A857AE"/>
    <w:rsid w:val="00A85B21"/>
    <w:rsid w:val="00A90AD2"/>
    <w:rsid w:val="00A91BD9"/>
    <w:rsid w:val="00A91CC1"/>
    <w:rsid w:val="00A936FD"/>
    <w:rsid w:val="00A95848"/>
    <w:rsid w:val="00A9676D"/>
    <w:rsid w:val="00AA0D3C"/>
    <w:rsid w:val="00AA1322"/>
    <w:rsid w:val="00AA2F0F"/>
    <w:rsid w:val="00AA39A8"/>
    <w:rsid w:val="00AA49CE"/>
    <w:rsid w:val="00AA76EE"/>
    <w:rsid w:val="00AB164D"/>
    <w:rsid w:val="00AB56A2"/>
    <w:rsid w:val="00AB777B"/>
    <w:rsid w:val="00AB78C0"/>
    <w:rsid w:val="00AC0BB4"/>
    <w:rsid w:val="00AC37E1"/>
    <w:rsid w:val="00AC44F9"/>
    <w:rsid w:val="00AC56B4"/>
    <w:rsid w:val="00AC5941"/>
    <w:rsid w:val="00AC603A"/>
    <w:rsid w:val="00AC6632"/>
    <w:rsid w:val="00AC6B51"/>
    <w:rsid w:val="00AC75E4"/>
    <w:rsid w:val="00AC7BF0"/>
    <w:rsid w:val="00AC7C09"/>
    <w:rsid w:val="00AD034A"/>
    <w:rsid w:val="00AD3AB6"/>
    <w:rsid w:val="00AD4A7B"/>
    <w:rsid w:val="00AD53AA"/>
    <w:rsid w:val="00AD566C"/>
    <w:rsid w:val="00AD6B0D"/>
    <w:rsid w:val="00AD7A64"/>
    <w:rsid w:val="00AD7B67"/>
    <w:rsid w:val="00AE08EB"/>
    <w:rsid w:val="00AE09D7"/>
    <w:rsid w:val="00AE400F"/>
    <w:rsid w:val="00AE46DD"/>
    <w:rsid w:val="00AE51AB"/>
    <w:rsid w:val="00AF2DF3"/>
    <w:rsid w:val="00AF30B9"/>
    <w:rsid w:val="00AF3439"/>
    <w:rsid w:val="00AF4443"/>
    <w:rsid w:val="00AF5970"/>
    <w:rsid w:val="00AF62B6"/>
    <w:rsid w:val="00AF6758"/>
    <w:rsid w:val="00AF6E8E"/>
    <w:rsid w:val="00B003C7"/>
    <w:rsid w:val="00B007FD"/>
    <w:rsid w:val="00B0104B"/>
    <w:rsid w:val="00B01227"/>
    <w:rsid w:val="00B0198A"/>
    <w:rsid w:val="00B02CB4"/>
    <w:rsid w:val="00B04002"/>
    <w:rsid w:val="00B040B9"/>
    <w:rsid w:val="00B040E4"/>
    <w:rsid w:val="00B04117"/>
    <w:rsid w:val="00B05B49"/>
    <w:rsid w:val="00B069AB"/>
    <w:rsid w:val="00B07A67"/>
    <w:rsid w:val="00B104CD"/>
    <w:rsid w:val="00B10651"/>
    <w:rsid w:val="00B106FD"/>
    <w:rsid w:val="00B11650"/>
    <w:rsid w:val="00B137C8"/>
    <w:rsid w:val="00B138AB"/>
    <w:rsid w:val="00B13903"/>
    <w:rsid w:val="00B13A6B"/>
    <w:rsid w:val="00B14905"/>
    <w:rsid w:val="00B15290"/>
    <w:rsid w:val="00B164E1"/>
    <w:rsid w:val="00B16BA2"/>
    <w:rsid w:val="00B20C53"/>
    <w:rsid w:val="00B229D7"/>
    <w:rsid w:val="00B22D93"/>
    <w:rsid w:val="00B24336"/>
    <w:rsid w:val="00B24C0B"/>
    <w:rsid w:val="00B26D0E"/>
    <w:rsid w:val="00B31B36"/>
    <w:rsid w:val="00B3245C"/>
    <w:rsid w:val="00B32DB5"/>
    <w:rsid w:val="00B3393E"/>
    <w:rsid w:val="00B36613"/>
    <w:rsid w:val="00B36998"/>
    <w:rsid w:val="00B37B36"/>
    <w:rsid w:val="00B37DEF"/>
    <w:rsid w:val="00B4053D"/>
    <w:rsid w:val="00B42320"/>
    <w:rsid w:val="00B43127"/>
    <w:rsid w:val="00B43463"/>
    <w:rsid w:val="00B4356C"/>
    <w:rsid w:val="00B43F6F"/>
    <w:rsid w:val="00B452DF"/>
    <w:rsid w:val="00B45CB1"/>
    <w:rsid w:val="00B46746"/>
    <w:rsid w:val="00B46BA1"/>
    <w:rsid w:val="00B475EA"/>
    <w:rsid w:val="00B47909"/>
    <w:rsid w:val="00B51D63"/>
    <w:rsid w:val="00B52299"/>
    <w:rsid w:val="00B52868"/>
    <w:rsid w:val="00B52B73"/>
    <w:rsid w:val="00B55EB4"/>
    <w:rsid w:val="00B612D8"/>
    <w:rsid w:val="00B633F7"/>
    <w:rsid w:val="00B6428F"/>
    <w:rsid w:val="00B65607"/>
    <w:rsid w:val="00B66A57"/>
    <w:rsid w:val="00B66E96"/>
    <w:rsid w:val="00B6771A"/>
    <w:rsid w:val="00B67CA0"/>
    <w:rsid w:val="00B700AF"/>
    <w:rsid w:val="00B70D57"/>
    <w:rsid w:val="00B71B5D"/>
    <w:rsid w:val="00B72630"/>
    <w:rsid w:val="00B7297B"/>
    <w:rsid w:val="00B72A71"/>
    <w:rsid w:val="00B741CB"/>
    <w:rsid w:val="00B744F3"/>
    <w:rsid w:val="00B76BBB"/>
    <w:rsid w:val="00B7738E"/>
    <w:rsid w:val="00B80A1A"/>
    <w:rsid w:val="00B80F9B"/>
    <w:rsid w:val="00B82DC8"/>
    <w:rsid w:val="00B84355"/>
    <w:rsid w:val="00B84C76"/>
    <w:rsid w:val="00B850F7"/>
    <w:rsid w:val="00B86028"/>
    <w:rsid w:val="00B869C2"/>
    <w:rsid w:val="00B86ADF"/>
    <w:rsid w:val="00B86CCB"/>
    <w:rsid w:val="00B907A8"/>
    <w:rsid w:val="00B90B3E"/>
    <w:rsid w:val="00B91518"/>
    <w:rsid w:val="00B9250E"/>
    <w:rsid w:val="00B94094"/>
    <w:rsid w:val="00B95CB6"/>
    <w:rsid w:val="00B96DFF"/>
    <w:rsid w:val="00BA06E1"/>
    <w:rsid w:val="00BA22C8"/>
    <w:rsid w:val="00BA2A9A"/>
    <w:rsid w:val="00BA2F2E"/>
    <w:rsid w:val="00BA3BC4"/>
    <w:rsid w:val="00BA52A5"/>
    <w:rsid w:val="00BA5684"/>
    <w:rsid w:val="00BA5D2C"/>
    <w:rsid w:val="00BA69D0"/>
    <w:rsid w:val="00BA7991"/>
    <w:rsid w:val="00BB0292"/>
    <w:rsid w:val="00BB1B2B"/>
    <w:rsid w:val="00BB2DA7"/>
    <w:rsid w:val="00BB43EB"/>
    <w:rsid w:val="00BB4E50"/>
    <w:rsid w:val="00BB5DA6"/>
    <w:rsid w:val="00BB6740"/>
    <w:rsid w:val="00BB67F9"/>
    <w:rsid w:val="00BB6E57"/>
    <w:rsid w:val="00BB7BC3"/>
    <w:rsid w:val="00BC0E12"/>
    <w:rsid w:val="00BC1128"/>
    <w:rsid w:val="00BC1EBF"/>
    <w:rsid w:val="00BC2A4F"/>
    <w:rsid w:val="00BC3F6B"/>
    <w:rsid w:val="00BC447E"/>
    <w:rsid w:val="00BC490E"/>
    <w:rsid w:val="00BC51CE"/>
    <w:rsid w:val="00BC53F6"/>
    <w:rsid w:val="00BC5546"/>
    <w:rsid w:val="00BC5CA3"/>
    <w:rsid w:val="00BC6446"/>
    <w:rsid w:val="00BC732C"/>
    <w:rsid w:val="00BC76EC"/>
    <w:rsid w:val="00BD1240"/>
    <w:rsid w:val="00BD2815"/>
    <w:rsid w:val="00BD3E61"/>
    <w:rsid w:val="00BD4231"/>
    <w:rsid w:val="00BD58DA"/>
    <w:rsid w:val="00BE0288"/>
    <w:rsid w:val="00BE147C"/>
    <w:rsid w:val="00BE1716"/>
    <w:rsid w:val="00BE2916"/>
    <w:rsid w:val="00BE46ED"/>
    <w:rsid w:val="00BE503A"/>
    <w:rsid w:val="00BE5F8C"/>
    <w:rsid w:val="00BE6644"/>
    <w:rsid w:val="00BE7559"/>
    <w:rsid w:val="00BE7A6A"/>
    <w:rsid w:val="00BF0DC1"/>
    <w:rsid w:val="00BF0ED4"/>
    <w:rsid w:val="00BF268A"/>
    <w:rsid w:val="00BF43F6"/>
    <w:rsid w:val="00BF4599"/>
    <w:rsid w:val="00BF4812"/>
    <w:rsid w:val="00BF4813"/>
    <w:rsid w:val="00BF4B2B"/>
    <w:rsid w:val="00BF4BA1"/>
    <w:rsid w:val="00BF658D"/>
    <w:rsid w:val="00C01440"/>
    <w:rsid w:val="00C01860"/>
    <w:rsid w:val="00C0329E"/>
    <w:rsid w:val="00C04076"/>
    <w:rsid w:val="00C042AD"/>
    <w:rsid w:val="00C06CE8"/>
    <w:rsid w:val="00C06E97"/>
    <w:rsid w:val="00C0727A"/>
    <w:rsid w:val="00C11052"/>
    <w:rsid w:val="00C141F8"/>
    <w:rsid w:val="00C15D5B"/>
    <w:rsid w:val="00C15DC3"/>
    <w:rsid w:val="00C1637C"/>
    <w:rsid w:val="00C16DF4"/>
    <w:rsid w:val="00C20A68"/>
    <w:rsid w:val="00C213B2"/>
    <w:rsid w:val="00C23794"/>
    <w:rsid w:val="00C23861"/>
    <w:rsid w:val="00C2794F"/>
    <w:rsid w:val="00C308B5"/>
    <w:rsid w:val="00C326EF"/>
    <w:rsid w:val="00C32A90"/>
    <w:rsid w:val="00C33595"/>
    <w:rsid w:val="00C337BA"/>
    <w:rsid w:val="00C3425E"/>
    <w:rsid w:val="00C34D9B"/>
    <w:rsid w:val="00C362BB"/>
    <w:rsid w:val="00C45F62"/>
    <w:rsid w:val="00C463D5"/>
    <w:rsid w:val="00C47E19"/>
    <w:rsid w:val="00C50471"/>
    <w:rsid w:val="00C51205"/>
    <w:rsid w:val="00C51828"/>
    <w:rsid w:val="00C5220D"/>
    <w:rsid w:val="00C5230E"/>
    <w:rsid w:val="00C5271E"/>
    <w:rsid w:val="00C53B0F"/>
    <w:rsid w:val="00C54529"/>
    <w:rsid w:val="00C5520C"/>
    <w:rsid w:val="00C554C8"/>
    <w:rsid w:val="00C55936"/>
    <w:rsid w:val="00C60C21"/>
    <w:rsid w:val="00C60F2B"/>
    <w:rsid w:val="00C61265"/>
    <w:rsid w:val="00C6291A"/>
    <w:rsid w:val="00C649B4"/>
    <w:rsid w:val="00C65168"/>
    <w:rsid w:val="00C70A13"/>
    <w:rsid w:val="00C72055"/>
    <w:rsid w:val="00C72903"/>
    <w:rsid w:val="00C75919"/>
    <w:rsid w:val="00C75BDF"/>
    <w:rsid w:val="00C77DE1"/>
    <w:rsid w:val="00C80558"/>
    <w:rsid w:val="00C87FE9"/>
    <w:rsid w:val="00C91BAF"/>
    <w:rsid w:val="00C92246"/>
    <w:rsid w:val="00C92454"/>
    <w:rsid w:val="00C93856"/>
    <w:rsid w:val="00C93DDE"/>
    <w:rsid w:val="00C94BC1"/>
    <w:rsid w:val="00C95E5B"/>
    <w:rsid w:val="00C969C6"/>
    <w:rsid w:val="00C9729F"/>
    <w:rsid w:val="00C97995"/>
    <w:rsid w:val="00CA063A"/>
    <w:rsid w:val="00CA2C3B"/>
    <w:rsid w:val="00CA3E6B"/>
    <w:rsid w:val="00CA7113"/>
    <w:rsid w:val="00CB283D"/>
    <w:rsid w:val="00CB2B27"/>
    <w:rsid w:val="00CB3E71"/>
    <w:rsid w:val="00CB43D8"/>
    <w:rsid w:val="00CB4E2F"/>
    <w:rsid w:val="00CB5C64"/>
    <w:rsid w:val="00CB6670"/>
    <w:rsid w:val="00CB765E"/>
    <w:rsid w:val="00CB7C1D"/>
    <w:rsid w:val="00CC0314"/>
    <w:rsid w:val="00CC0CDF"/>
    <w:rsid w:val="00CC13D2"/>
    <w:rsid w:val="00CC1830"/>
    <w:rsid w:val="00CC2980"/>
    <w:rsid w:val="00CC5003"/>
    <w:rsid w:val="00CC53E6"/>
    <w:rsid w:val="00CC6D7C"/>
    <w:rsid w:val="00CD076F"/>
    <w:rsid w:val="00CD0F5C"/>
    <w:rsid w:val="00CD11CA"/>
    <w:rsid w:val="00CD122B"/>
    <w:rsid w:val="00CD1673"/>
    <w:rsid w:val="00CD1F32"/>
    <w:rsid w:val="00CD3684"/>
    <w:rsid w:val="00CD4B31"/>
    <w:rsid w:val="00CD6246"/>
    <w:rsid w:val="00CE2B54"/>
    <w:rsid w:val="00CE32A0"/>
    <w:rsid w:val="00CE3406"/>
    <w:rsid w:val="00CE473A"/>
    <w:rsid w:val="00CE5BFA"/>
    <w:rsid w:val="00CE6951"/>
    <w:rsid w:val="00CF299D"/>
    <w:rsid w:val="00CF2D10"/>
    <w:rsid w:val="00CF338F"/>
    <w:rsid w:val="00CF3C80"/>
    <w:rsid w:val="00CF40F6"/>
    <w:rsid w:val="00CF4243"/>
    <w:rsid w:val="00CF5CA7"/>
    <w:rsid w:val="00CF6EB8"/>
    <w:rsid w:val="00CF7534"/>
    <w:rsid w:val="00D035C7"/>
    <w:rsid w:val="00D03612"/>
    <w:rsid w:val="00D03A5F"/>
    <w:rsid w:val="00D03D61"/>
    <w:rsid w:val="00D04398"/>
    <w:rsid w:val="00D04AAC"/>
    <w:rsid w:val="00D04FAA"/>
    <w:rsid w:val="00D076AD"/>
    <w:rsid w:val="00D0798D"/>
    <w:rsid w:val="00D07D66"/>
    <w:rsid w:val="00D10A76"/>
    <w:rsid w:val="00D11C93"/>
    <w:rsid w:val="00D13729"/>
    <w:rsid w:val="00D20649"/>
    <w:rsid w:val="00D21B7C"/>
    <w:rsid w:val="00D21BB2"/>
    <w:rsid w:val="00D2241A"/>
    <w:rsid w:val="00D227F0"/>
    <w:rsid w:val="00D23248"/>
    <w:rsid w:val="00D23782"/>
    <w:rsid w:val="00D2380E"/>
    <w:rsid w:val="00D23887"/>
    <w:rsid w:val="00D2421C"/>
    <w:rsid w:val="00D2459C"/>
    <w:rsid w:val="00D25AA2"/>
    <w:rsid w:val="00D27109"/>
    <w:rsid w:val="00D27A41"/>
    <w:rsid w:val="00D302D1"/>
    <w:rsid w:val="00D30CA0"/>
    <w:rsid w:val="00D3138E"/>
    <w:rsid w:val="00D31A26"/>
    <w:rsid w:val="00D37F3B"/>
    <w:rsid w:val="00D400EE"/>
    <w:rsid w:val="00D4011A"/>
    <w:rsid w:val="00D4036D"/>
    <w:rsid w:val="00D42165"/>
    <w:rsid w:val="00D42A82"/>
    <w:rsid w:val="00D45E51"/>
    <w:rsid w:val="00D51628"/>
    <w:rsid w:val="00D5355E"/>
    <w:rsid w:val="00D53AAE"/>
    <w:rsid w:val="00D54185"/>
    <w:rsid w:val="00D542B0"/>
    <w:rsid w:val="00D54843"/>
    <w:rsid w:val="00D553B6"/>
    <w:rsid w:val="00D56EE2"/>
    <w:rsid w:val="00D57094"/>
    <w:rsid w:val="00D60B39"/>
    <w:rsid w:val="00D61E72"/>
    <w:rsid w:val="00D63299"/>
    <w:rsid w:val="00D66EEF"/>
    <w:rsid w:val="00D67FFB"/>
    <w:rsid w:val="00D726FE"/>
    <w:rsid w:val="00D72C8F"/>
    <w:rsid w:val="00D74BB7"/>
    <w:rsid w:val="00D74C09"/>
    <w:rsid w:val="00D74E38"/>
    <w:rsid w:val="00D7626F"/>
    <w:rsid w:val="00D76D45"/>
    <w:rsid w:val="00D773C6"/>
    <w:rsid w:val="00D7754E"/>
    <w:rsid w:val="00D80A7E"/>
    <w:rsid w:val="00D81513"/>
    <w:rsid w:val="00D82209"/>
    <w:rsid w:val="00D8723C"/>
    <w:rsid w:val="00D87AFE"/>
    <w:rsid w:val="00D9101A"/>
    <w:rsid w:val="00D92155"/>
    <w:rsid w:val="00D9295C"/>
    <w:rsid w:val="00D9388A"/>
    <w:rsid w:val="00D9536C"/>
    <w:rsid w:val="00D95710"/>
    <w:rsid w:val="00D96849"/>
    <w:rsid w:val="00D96D8B"/>
    <w:rsid w:val="00D96DFD"/>
    <w:rsid w:val="00DA12B9"/>
    <w:rsid w:val="00DA33CD"/>
    <w:rsid w:val="00DA4180"/>
    <w:rsid w:val="00DA703B"/>
    <w:rsid w:val="00DA707D"/>
    <w:rsid w:val="00DB23CB"/>
    <w:rsid w:val="00DB392B"/>
    <w:rsid w:val="00DB726D"/>
    <w:rsid w:val="00DC0635"/>
    <w:rsid w:val="00DC15BC"/>
    <w:rsid w:val="00DC38A3"/>
    <w:rsid w:val="00DC54DF"/>
    <w:rsid w:val="00DC56EE"/>
    <w:rsid w:val="00DC5808"/>
    <w:rsid w:val="00DC5E69"/>
    <w:rsid w:val="00DC654E"/>
    <w:rsid w:val="00DC7808"/>
    <w:rsid w:val="00DC79E0"/>
    <w:rsid w:val="00DD0763"/>
    <w:rsid w:val="00DD0BED"/>
    <w:rsid w:val="00DD1C47"/>
    <w:rsid w:val="00DD436F"/>
    <w:rsid w:val="00DD451C"/>
    <w:rsid w:val="00DD6D31"/>
    <w:rsid w:val="00DD773B"/>
    <w:rsid w:val="00DE14E4"/>
    <w:rsid w:val="00DE1BA4"/>
    <w:rsid w:val="00DE2D80"/>
    <w:rsid w:val="00DE4C56"/>
    <w:rsid w:val="00DE4F05"/>
    <w:rsid w:val="00DE50F1"/>
    <w:rsid w:val="00DE6883"/>
    <w:rsid w:val="00DE6B97"/>
    <w:rsid w:val="00DF040C"/>
    <w:rsid w:val="00DF0A7E"/>
    <w:rsid w:val="00DF12F7"/>
    <w:rsid w:val="00DF1698"/>
    <w:rsid w:val="00DF501F"/>
    <w:rsid w:val="00DF50AE"/>
    <w:rsid w:val="00DF59DA"/>
    <w:rsid w:val="00DF618C"/>
    <w:rsid w:val="00E00387"/>
    <w:rsid w:val="00E00E79"/>
    <w:rsid w:val="00E01403"/>
    <w:rsid w:val="00E015C1"/>
    <w:rsid w:val="00E02133"/>
    <w:rsid w:val="00E0338B"/>
    <w:rsid w:val="00E03B32"/>
    <w:rsid w:val="00E03C17"/>
    <w:rsid w:val="00E04D5B"/>
    <w:rsid w:val="00E0604B"/>
    <w:rsid w:val="00E110CB"/>
    <w:rsid w:val="00E1115A"/>
    <w:rsid w:val="00E178D7"/>
    <w:rsid w:val="00E21594"/>
    <w:rsid w:val="00E21E0C"/>
    <w:rsid w:val="00E236A4"/>
    <w:rsid w:val="00E26431"/>
    <w:rsid w:val="00E26EF2"/>
    <w:rsid w:val="00E32C5A"/>
    <w:rsid w:val="00E33CB4"/>
    <w:rsid w:val="00E36874"/>
    <w:rsid w:val="00E36AA5"/>
    <w:rsid w:val="00E37189"/>
    <w:rsid w:val="00E4033B"/>
    <w:rsid w:val="00E412A4"/>
    <w:rsid w:val="00E44068"/>
    <w:rsid w:val="00E44B43"/>
    <w:rsid w:val="00E44DD4"/>
    <w:rsid w:val="00E46CF1"/>
    <w:rsid w:val="00E5138D"/>
    <w:rsid w:val="00E529A9"/>
    <w:rsid w:val="00E52C4D"/>
    <w:rsid w:val="00E54DB8"/>
    <w:rsid w:val="00E608A1"/>
    <w:rsid w:val="00E60A6C"/>
    <w:rsid w:val="00E61E29"/>
    <w:rsid w:val="00E61FF1"/>
    <w:rsid w:val="00E63868"/>
    <w:rsid w:val="00E656F7"/>
    <w:rsid w:val="00E66FBF"/>
    <w:rsid w:val="00E67AC6"/>
    <w:rsid w:val="00E70E95"/>
    <w:rsid w:val="00E71256"/>
    <w:rsid w:val="00E715C4"/>
    <w:rsid w:val="00E73711"/>
    <w:rsid w:val="00E738C4"/>
    <w:rsid w:val="00E74671"/>
    <w:rsid w:val="00E7487D"/>
    <w:rsid w:val="00E75485"/>
    <w:rsid w:val="00E75588"/>
    <w:rsid w:val="00E75A82"/>
    <w:rsid w:val="00E75BA8"/>
    <w:rsid w:val="00E800BC"/>
    <w:rsid w:val="00E80562"/>
    <w:rsid w:val="00E80DA7"/>
    <w:rsid w:val="00E80EA1"/>
    <w:rsid w:val="00E8114E"/>
    <w:rsid w:val="00E81454"/>
    <w:rsid w:val="00E81E85"/>
    <w:rsid w:val="00E82875"/>
    <w:rsid w:val="00E8297F"/>
    <w:rsid w:val="00E83E21"/>
    <w:rsid w:val="00E8454F"/>
    <w:rsid w:val="00E84747"/>
    <w:rsid w:val="00E847EB"/>
    <w:rsid w:val="00E853BB"/>
    <w:rsid w:val="00E85CD2"/>
    <w:rsid w:val="00E85F3D"/>
    <w:rsid w:val="00E87A15"/>
    <w:rsid w:val="00E90365"/>
    <w:rsid w:val="00E929BC"/>
    <w:rsid w:val="00E93D1C"/>
    <w:rsid w:val="00E94D6C"/>
    <w:rsid w:val="00E97D78"/>
    <w:rsid w:val="00EA210D"/>
    <w:rsid w:val="00EA33E6"/>
    <w:rsid w:val="00EA3B63"/>
    <w:rsid w:val="00EA3E28"/>
    <w:rsid w:val="00EA5C36"/>
    <w:rsid w:val="00EA6CD5"/>
    <w:rsid w:val="00EA7BFC"/>
    <w:rsid w:val="00EB0481"/>
    <w:rsid w:val="00EB0E43"/>
    <w:rsid w:val="00EB1FFA"/>
    <w:rsid w:val="00EB397B"/>
    <w:rsid w:val="00EB46E0"/>
    <w:rsid w:val="00EB4944"/>
    <w:rsid w:val="00EB4B30"/>
    <w:rsid w:val="00EB5A68"/>
    <w:rsid w:val="00EB5F3D"/>
    <w:rsid w:val="00EB62C3"/>
    <w:rsid w:val="00EC02FA"/>
    <w:rsid w:val="00EC0EFD"/>
    <w:rsid w:val="00EC26BC"/>
    <w:rsid w:val="00EC53AA"/>
    <w:rsid w:val="00EC550C"/>
    <w:rsid w:val="00EC650D"/>
    <w:rsid w:val="00EC6728"/>
    <w:rsid w:val="00ED075C"/>
    <w:rsid w:val="00ED0E61"/>
    <w:rsid w:val="00ED3432"/>
    <w:rsid w:val="00ED48D0"/>
    <w:rsid w:val="00ED6E3C"/>
    <w:rsid w:val="00EE13D5"/>
    <w:rsid w:val="00EE2E19"/>
    <w:rsid w:val="00EE372C"/>
    <w:rsid w:val="00EE5F08"/>
    <w:rsid w:val="00EF2790"/>
    <w:rsid w:val="00EF2BCA"/>
    <w:rsid w:val="00EF2D66"/>
    <w:rsid w:val="00EF38BF"/>
    <w:rsid w:val="00EF3968"/>
    <w:rsid w:val="00EF5EB4"/>
    <w:rsid w:val="00EF6813"/>
    <w:rsid w:val="00EF6E73"/>
    <w:rsid w:val="00EF7720"/>
    <w:rsid w:val="00EF7EA3"/>
    <w:rsid w:val="00F016CF"/>
    <w:rsid w:val="00F01B3B"/>
    <w:rsid w:val="00F02521"/>
    <w:rsid w:val="00F02CE1"/>
    <w:rsid w:val="00F03D8F"/>
    <w:rsid w:val="00F04EEE"/>
    <w:rsid w:val="00F056EE"/>
    <w:rsid w:val="00F07D4F"/>
    <w:rsid w:val="00F16560"/>
    <w:rsid w:val="00F16B0D"/>
    <w:rsid w:val="00F17925"/>
    <w:rsid w:val="00F201AA"/>
    <w:rsid w:val="00F21D01"/>
    <w:rsid w:val="00F22046"/>
    <w:rsid w:val="00F23583"/>
    <w:rsid w:val="00F25363"/>
    <w:rsid w:val="00F2576D"/>
    <w:rsid w:val="00F25F64"/>
    <w:rsid w:val="00F2710E"/>
    <w:rsid w:val="00F271D7"/>
    <w:rsid w:val="00F27815"/>
    <w:rsid w:val="00F27EBB"/>
    <w:rsid w:val="00F302AD"/>
    <w:rsid w:val="00F358E4"/>
    <w:rsid w:val="00F36388"/>
    <w:rsid w:val="00F369A8"/>
    <w:rsid w:val="00F36EAD"/>
    <w:rsid w:val="00F370B7"/>
    <w:rsid w:val="00F379C5"/>
    <w:rsid w:val="00F439E1"/>
    <w:rsid w:val="00F4600F"/>
    <w:rsid w:val="00F462F0"/>
    <w:rsid w:val="00F46D3C"/>
    <w:rsid w:val="00F4771C"/>
    <w:rsid w:val="00F50C51"/>
    <w:rsid w:val="00F51E41"/>
    <w:rsid w:val="00F521FB"/>
    <w:rsid w:val="00F53A37"/>
    <w:rsid w:val="00F547E5"/>
    <w:rsid w:val="00F54F8E"/>
    <w:rsid w:val="00F560D4"/>
    <w:rsid w:val="00F5638E"/>
    <w:rsid w:val="00F56617"/>
    <w:rsid w:val="00F566A4"/>
    <w:rsid w:val="00F56DBB"/>
    <w:rsid w:val="00F61DD3"/>
    <w:rsid w:val="00F621A1"/>
    <w:rsid w:val="00F63091"/>
    <w:rsid w:val="00F632F6"/>
    <w:rsid w:val="00F63A96"/>
    <w:rsid w:val="00F63D53"/>
    <w:rsid w:val="00F63DB0"/>
    <w:rsid w:val="00F64702"/>
    <w:rsid w:val="00F6678C"/>
    <w:rsid w:val="00F703C8"/>
    <w:rsid w:val="00F70759"/>
    <w:rsid w:val="00F71543"/>
    <w:rsid w:val="00F74EF0"/>
    <w:rsid w:val="00F751D3"/>
    <w:rsid w:val="00F758F6"/>
    <w:rsid w:val="00F811B7"/>
    <w:rsid w:val="00F82266"/>
    <w:rsid w:val="00F82272"/>
    <w:rsid w:val="00F8316F"/>
    <w:rsid w:val="00F8338E"/>
    <w:rsid w:val="00F834B9"/>
    <w:rsid w:val="00F86ACE"/>
    <w:rsid w:val="00F91ADD"/>
    <w:rsid w:val="00F94039"/>
    <w:rsid w:val="00F94815"/>
    <w:rsid w:val="00F95F72"/>
    <w:rsid w:val="00F963D1"/>
    <w:rsid w:val="00F96669"/>
    <w:rsid w:val="00FA2EC0"/>
    <w:rsid w:val="00FA40B9"/>
    <w:rsid w:val="00FA4DDC"/>
    <w:rsid w:val="00FA68DA"/>
    <w:rsid w:val="00FA7C08"/>
    <w:rsid w:val="00FB04AA"/>
    <w:rsid w:val="00FB059B"/>
    <w:rsid w:val="00FB26CA"/>
    <w:rsid w:val="00FB4788"/>
    <w:rsid w:val="00FB4E4F"/>
    <w:rsid w:val="00FB54C8"/>
    <w:rsid w:val="00FB709A"/>
    <w:rsid w:val="00FB71AB"/>
    <w:rsid w:val="00FB7967"/>
    <w:rsid w:val="00FB7A36"/>
    <w:rsid w:val="00FB7E11"/>
    <w:rsid w:val="00FC0151"/>
    <w:rsid w:val="00FC023A"/>
    <w:rsid w:val="00FC095F"/>
    <w:rsid w:val="00FC12D6"/>
    <w:rsid w:val="00FC2105"/>
    <w:rsid w:val="00FC2671"/>
    <w:rsid w:val="00FC547B"/>
    <w:rsid w:val="00FC6751"/>
    <w:rsid w:val="00FD0932"/>
    <w:rsid w:val="00FD0D95"/>
    <w:rsid w:val="00FD12BF"/>
    <w:rsid w:val="00FD1974"/>
    <w:rsid w:val="00FD23A2"/>
    <w:rsid w:val="00FD2A84"/>
    <w:rsid w:val="00FD3C19"/>
    <w:rsid w:val="00FD677E"/>
    <w:rsid w:val="00FD7E7C"/>
    <w:rsid w:val="00FE0755"/>
    <w:rsid w:val="00FE1B5B"/>
    <w:rsid w:val="00FE1F9D"/>
    <w:rsid w:val="00FE2091"/>
    <w:rsid w:val="00FE20ED"/>
    <w:rsid w:val="00FE2557"/>
    <w:rsid w:val="00FE3764"/>
    <w:rsid w:val="00FE5575"/>
    <w:rsid w:val="00FE7764"/>
    <w:rsid w:val="00FF3284"/>
    <w:rsid w:val="00FF3408"/>
    <w:rsid w:val="00FF3A69"/>
    <w:rsid w:val="00FF44F0"/>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6BDF9"/>
  <w15:docId w15:val="{9346C8FE-9234-4314-ADEC-A3349966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uiPriority w:val="39"/>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 w:type="character" w:customStyle="1" w:styleId="PlainTextChar">
    <w:name w:val="Plain Text Char"/>
    <w:basedOn w:val="DefaultParagraphFont"/>
    <w:link w:val="PlainText"/>
    <w:uiPriority w:val="99"/>
    <w:rsid w:val="00FC12D6"/>
    <w:rPr>
      <w:rFonts w:ascii="Courier New"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45457299">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295110799">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28676438">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374811768">
      <w:bodyDiv w:val="1"/>
      <w:marLeft w:val="0"/>
      <w:marRight w:val="0"/>
      <w:marTop w:val="0"/>
      <w:marBottom w:val="0"/>
      <w:divBdr>
        <w:top w:val="none" w:sz="0" w:space="0" w:color="auto"/>
        <w:left w:val="none" w:sz="0" w:space="0" w:color="auto"/>
        <w:bottom w:val="none" w:sz="0" w:space="0" w:color="auto"/>
        <w:right w:val="none" w:sz="0" w:space="0" w:color="auto"/>
      </w:divBdr>
    </w:div>
    <w:div w:id="381952587">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27123360">
      <w:bodyDiv w:val="1"/>
      <w:marLeft w:val="0"/>
      <w:marRight w:val="0"/>
      <w:marTop w:val="0"/>
      <w:marBottom w:val="0"/>
      <w:divBdr>
        <w:top w:val="none" w:sz="0" w:space="0" w:color="auto"/>
        <w:left w:val="none" w:sz="0" w:space="0" w:color="auto"/>
        <w:bottom w:val="none" w:sz="0" w:space="0" w:color="auto"/>
        <w:right w:val="none" w:sz="0" w:space="0" w:color="auto"/>
      </w:divBdr>
    </w:div>
    <w:div w:id="432474711">
      <w:bodyDiv w:val="1"/>
      <w:marLeft w:val="0"/>
      <w:marRight w:val="0"/>
      <w:marTop w:val="0"/>
      <w:marBottom w:val="0"/>
      <w:divBdr>
        <w:top w:val="none" w:sz="0" w:space="0" w:color="auto"/>
        <w:left w:val="none" w:sz="0" w:space="0" w:color="auto"/>
        <w:bottom w:val="none" w:sz="0" w:space="0" w:color="auto"/>
        <w:right w:val="none" w:sz="0" w:space="0" w:color="auto"/>
      </w:divBdr>
    </w:div>
    <w:div w:id="437336851">
      <w:bodyDiv w:val="1"/>
      <w:marLeft w:val="0"/>
      <w:marRight w:val="0"/>
      <w:marTop w:val="0"/>
      <w:marBottom w:val="0"/>
      <w:divBdr>
        <w:top w:val="none" w:sz="0" w:space="0" w:color="auto"/>
        <w:left w:val="none" w:sz="0" w:space="0" w:color="auto"/>
        <w:bottom w:val="none" w:sz="0" w:space="0" w:color="auto"/>
        <w:right w:val="none" w:sz="0" w:space="0" w:color="auto"/>
      </w:divBdr>
    </w:div>
    <w:div w:id="459879636">
      <w:bodyDiv w:val="1"/>
      <w:marLeft w:val="0"/>
      <w:marRight w:val="0"/>
      <w:marTop w:val="0"/>
      <w:marBottom w:val="0"/>
      <w:divBdr>
        <w:top w:val="none" w:sz="0" w:space="0" w:color="auto"/>
        <w:left w:val="none" w:sz="0" w:space="0" w:color="auto"/>
        <w:bottom w:val="none" w:sz="0" w:space="0" w:color="auto"/>
        <w:right w:val="none" w:sz="0" w:space="0" w:color="auto"/>
      </w:divBdr>
    </w:div>
    <w:div w:id="602539844">
      <w:bodyDiv w:val="1"/>
      <w:marLeft w:val="0"/>
      <w:marRight w:val="0"/>
      <w:marTop w:val="0"/>
      <w:marBottom w:val="0"/>
      <w:divBdr>
        <w:top w:val="none" w:sz="0" w:space="0" w:color="auto"/>
        <w:left w:val="none" w:sz="0" w:space="0" w:color="auto"/>
        <w:bottom w:val="none" w:sz="0" w:space="0" w:color="auto"/>
        <w:right w:val="none" w:sz="0" w:space="0" w:color="auto"/>
      </w:divBdr>
    </w:div>
    <w:div w:id="614825301">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699860260">
      <w:bodyDiv w:val="1"/>
      <w:marLeft w:val="0"/>
      <w:marRight w:val="0"/>
      <w:marTop w:val="0"/>
      <w:marBottom w:val="0"/>
      <w:divBdr>
        <w:top w:val="none" w:sz="0" w:space="0" w:color="auto"/>
        <w:left w:val="none" w:sz="0" w:space="0" w:color="auto"/>
        <w:bottom w:val="none" w:sz="0" w:space="0" w:color="auto"/>
        <w:right w:val="none" w:sz="0" w:space="0" w:color="auto"/>
      </w:divBdr>
    </w:div>
    <w:div w:id="779295796">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849684597">
      <w:bodyDiv w:val="1"/>
      <w:marLeft w:val="0"/>
      <w:marRight w:val="0"/>
      <w:marTop w:val="0"/>
      <w:marBottom w:val="0"/>
      <w:divBdr>
        <w:top w:val="none" w:sz="0" w:space="0" w:color="auto"/>
        <w:left w:val="none" w:sz="0" w:space="0" w:color="auto"/>
        <w:bottom w:val="none" w:sz="0" w:space="0" w:color="auto"/>
        <w:right w:val="none" w:sz="0" w:space="0" w:color="auto"/>
      </w:divBdr>
    </w:div>
    <w:div w:id="1081487568">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10709948">
      <w:bodyDiv w:val="1"/>
      <w:marLeft w:val="0"/>
      <w:marRight w:val="0"/>
      <w:marTop w:val="0"/>
      <w:marBottom w:val="0"/>
      <w:divBdr>
        <w:top w:val="none" w:sz="0" w:space="0" w:color="auto"/>
        <w:left w:val="none" w:sz="0" w:space="0" w:color="auto"/>
        <w:bottom w:val="none" w:sz="0" w:space="0" w:color="auto"/>
        <w:right w:val="none" w:sz="0" w:space="0" w:color="auto"/>
      </w:divBdr>
    </w:div>
    <w:div w:id="1153717309">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267424115">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65250858">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498304896">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12937550">
      <w:bodyDiv w:val="1"/>
      <w:marLeft w:val="0"/>
      <w:marRight w:val="0"/>
      <w:marTop w:val="0"/>
      <w:marBottom w:val="0"/>
      <w:divBdr>
        <w:top w:val="none" w:sz="0" w:space="0" w:color="auto"/>
        <w:left w:val="none" w:sz="0" w:space="0" w:color="auto"/>
        <w:bottom w:val="none" w:sz="0" w:space="0" w:color="auto"/>
        <w:right w:val="none" w:sz="0" w:space="0" w:color="auto"/>
      </w:divBdr>
    </w:div>
    <w:div w:id="1818105248">
      <w:bodyDiv w:val="1"/>
      <w:marLeft w:val="0"/>
      <w:marRight w:val="0"/>
      <w:marTop w:val="0"/>
      <w:marBottom w:val="0"/>
      <w:divBdr>
        <w:top w:val="none" w:sz="0" w:space="0" w:color="auto"/>
        <w:left w:val="none" w:sz="0" w:space="0" w:color="auto"/>
        <w:bottom w:val="none" w:sz="0" w:space="0" w:color="auto"/>
        <w:right w:val="none" w:sz="0" w:space="0" w:color="auto"/>
      </w:divBdr>
    </w:div>
    <w:div w:id="1824197834">
      <w:bodyDiv w:val="1"/>
      <w:marLeft w:val="0"/>
      <w:marRight w:val="0"/>
      <w:marTop w:val="0"/>
      <w:marBottom w:val="0"/>
      <w:divBdr>
        <w:top w:val="none" w:sz="0" w:space="0" w:color="auto"/>
        <w:left w:val="none" w:sz="0" w:space="0" w:color="auto"/>
        <w:bottom w:val="none" w:sz="0" w:space="0" w:color="auto"/>
        <w:right w:val="none" w:sz="0" w:space="0" w:color="auto"/>
      </w:divBdr>
    </w:div>
    <w:div w:id="1845975154">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07184878">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1978994103">
      <w:bodyDiv w:val="1"/>
      <w:marLeft w:val="0"/>
      <w:marRight w:val="0"/>
      <w:marTop w:val="0"/>
      <w:marBottom w:val="0"/>
      <w:divBdr>
        <w:top w:val="none" w:sz="0" w:space="0" w:color="auto"/>
        <w:left w:val="none" w:sz="0" w:space="0" w:color="auto"/>
        <w:bottom w:val="none" w:sz="0" w:space="0" w:color="auto"/>
        <w:right w:val="none" w:sz="0" w:space="0" w:color="auto"/>
      </w:divBdr>
    </w:div>
    <w:div w:id="1997226132">
      <w:bodyDiv w:val="1"/>
      <w:marLeft w:val="0"/>
      <w:marRight w:val="0"/>
      <w:marTop w:val="0"/>
      <w:marBottom w:val="0"/>
      <w:divBdr>
        <w:top w:val="none" w:sz="0" w:space="0" w:color="auto"/>
        <w:left w:val="none" w:sz="0" w:space="0" w:color="auto"/>
        <w:bottom w:val="none" w:sz="0" w:space="0" w:color="auto"/>
        <w:right w:val="none" w:sz="0" w:space="0" w:color="auto"/>
      </w:divBdr>
    </w:div>
    <w:div w:id="20319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1.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0.emf"/><Relationship Id="rId32"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chart" Target="charts/chart7.xm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chart" Target="charts/chart6.xml"/><Relationship Id="rId30" Type="http://schemas.openxmlformats.org/officeDocument/2006/relationships/image" Target="media/image12.e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sc.e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uosgdfs01\OSG\UNITS\SECRETARY%20GENERAL\ACI\Bilan%20et%20Statistiques\GENERAL\2%20-%20evolutions%20des%20effectifs%20par%20cycle%20depuis%2020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uosgdfs01\OSG\UNITS\SECRETARY%20GENERAL\ACI\Bilan%20et%20Statistiques\GENERAL\2%20-%20evolutions%20des%20effectifs%20par%20cycle%20depuis%2020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uosgdfs01\OSG\UNITS\SECRETARY%20GENERAL\ACI\Bilan%20et%20Statistiques\GENERAL\2%20-%20evolutions%20des%20effectifs%20par%20cycle%20depuis%2020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uosgdfs01\OSG\UNITS\SECRETARY%20GENERAL\ACI\Bilan%20et%20Statistiques\GENERAL\2%20-%20Evolution%20des%20effectifs%20par%20section%20depuis%20200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uosgdfs01\OSG\UNITS\SECRETARY%20GENERAL\ACI\Bilan%20et%20Statistiques\GENERAL\2%20-%20evolutions%20des%20effectifs%20par%20cycle%20depuis%20201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uosgdfs01\OSG\UNITS\SECRETARY%20GENERAL\ACI\Bilan%20et%20Statistiques\GENERAL\2%20-%20evolutions%20des%20effectifs%20par%20cycle%20depuis%20201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uosgdfs01\OSG\UNITS\SECRETARY%20GENERAL\ACI\Bilan%20et%20Statistiques\GENERAL\2%20-%20evolutions%20des%20effectifs%20par%20cycle%20depuis%20201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3"/>
          <c:order val="0"/>
          <c:tx>
            <c:v>Population scolaire</c:v>
          </c:tx>
          <c:spPr>
            <a:ln w="25400" cap="rnd">
              <a:solidFill>
                <a:schemeClr val="dk1">
                  <a:tint val="98500"/>
                </a:schemeClr>
              </a:solidFill>
              <a:round/>
            </a:ln>
            <a:effectLst/>
          </c:spPr>
          <c:marker>
            <c:symbol val="diamond"/>
            <c:size val="8"/>
            <c:spPr>
              <a:solidFill>
                <a:schemeClr val="dk1">
                  <a:tint val="98500"/>
                </a:schemeClr>
              </a:solidFill>
              <a:ln w="9525">
                <a:solidFill>
                  <a:schemeClr val="dk1">
                    <a:tint val="9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15-10'!$B$1:$I$1</c:f>
              <c:strCache>
                <c:ptCount val="8"/>
                <c:pt idx="0">
                  <c:v>2012-2013</c:v>
                </c:pt>
                <c:pt idx="1">
                  <c:v>2013-2014</c:v>
                </c:pt>
                <c:pt idx="2">
                  <c:v>2014-2015</c:v>
                </c:pt>
                <c:pt idx="3">
                  <c:v>2015-2016</c:v>
                </c:pt>
                <c:pt idx="4">
                  <c:v>2016-2017</c:v>
                </c:pt>
                <c:pt idx="5">
                  <c:v>2017-2018</c:v>
                </c:pt>
                <c:pt idx="6">
                  <c:v>2018-2019</c:v>
                </c:pt>
                <c:pt idx="7">
                  <c:v>2019-2020</c:v>
                </c:pt>
              </c:strCache>
            </c:strRef>
          </c:cat>
          <c:val>
            <c:numRef>
              <c:f>'Graphs 15-10'!$B$5:$I$5</c:f>
              <c:numCache>
                <c:formatCode>#,##0</c:formatCode>
                <c:ptCount val="8"/>
                <c:pt idx="0">
                  <c:v>10606</c:v>
                </c:pt>
                <c:pt idx="1">
                  <c:v>10977</c:v>
                </c:pt>
                <c:pt idx="2">
                  <c:v>11406</c:v>
                </c:pt>
                <c:pt idx="3">
                  <c:v>11885</c:v>
                </c:pt>
                <c:pt idx="4">
                  <c:v>12309</c:v>
                </c:pt>
                <c:pt idx="5">
                  <c:v>12691</c:v>
                </c:pt>
                <c:pt idx="6">
                  <c:v>12958</c:v>
                </c:pt>
                <c:pt idx="7">
                  <c:v>13430</c:v>
                </c:pt>
              </c:numCache>
            </c:numRef>
          </c:val>
          <c:smooth val="0"/>
          <c:extLst>
            <c:ext xmlns:c16="http://schemas.microsoft.com/office/drawing/2014/chart" uri="{C3380CC4-5D6E-409C-BE32-E72D297353CC}">
              <c16:uniqueId val="{00000000-C12E-43F9-981C-9AC5C15F90C3}"/>
            </c:ext>
          </c:extLst>
        </c:ser>
        <c:dLbls>
          <c:showLegendKey val="0"/>
          <c:showVal val="0"/>
          <c:showCatName val="0"/>
          <c:showSerName val="0"/>
          <c:showPercent val="0"/>
          <c:showBubbleSize val="0"/>
        </c:dLbls>
        <c:marker val="1"/>
        <c:smooth val="0"/>
        <c:axId val="503424768"/>
        <c:axId val="418599120"/>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1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100" b="0" i="0" u="sng"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100" u="sng">
                <a:solidFill>
                  <a:sysClr val="windowText" lastClr="000000"/>
                </a:solidFill>
                <a:latin typeface="Arial" panose="020B0604020202020204" pitchFamily="34" charset="0"/>
                <a:cs typeface="Arial" panose="020B0604020202020204" pitchFamily="34" charset="0"/>
              </a:rPr>
              <a:t>Evolution des effectifs au cycle maternel par année scolaire </a:t>
            </a:r>
          </a:p>
        </c:rich>
      </c:tx>
      <c:layout/>
      <c:overlay val="0"/>
      <c:spPr>
        <a:noFill/>
        <a:ln>
          <a:noFill/>
        </a:ln>
        <a:effectLst/>
      </c:spPr>
      <c:txPr>
        <a:bodyPr rot="0" spcFirstLastPara="1" vertOverflow="ellipsis" vert="horz" wrap="square" anchor="ctr" anchorCtr="1"/>
        <a:lstStyle/>
        <a:p>
          <a:pPr>
            <a:defRPr sz="1100" b="0" i="0" u="sng"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2"/>
          <c:order val="2"/>
          <c:tx>
            <c:strRef>
              <c:f>'Graphs 15-10'!$A$4</c:f>
              <c:strCache>
                <c:ptCount val="1"/>
                <c:pt idx="0">
                  <c:v> Maternel</c:v>
                </c:pt>
              </c:strCache>
            </c:strRef>
          </c:tx>
          <c:spPr>
            <a:ln w="28575" cap="rnd">
              <a:solidFill>
                <a:schemeClr val="tx1">
                  <a:lumMod val="50000"/>
                  <a:lumOff val="50000"/>
                </a:schemeClr>
              </a:solidFill>
              <a:prstDash val="solid"/>
              <a:round/>
            </a:ln>
            <a:effectLst/>
          </c:spPr>
          <c:marker>
            <c:symbol val="square"/>
            <c:size val="8"/>
            <c:spPr>
              <a:solidFill>
                <a:schemeClr val="tx1">
                  <a:lumMod val="50000"/>
                  <a:lumOff val="50000"/>
                </a:schemeClr>
              </a:solidFill>
              <a:ln w="9525">
                <a:solidFill>
                  <a:schemeClr val="tx1">
                    <a:lumMod val="50000"/>
                    <a:lumOff val="50000"/>
                  </a:schemeClr>
                </a:solidFill>
                <a:prstDash val="sysDash"/>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15-10'!$B$1:$I$1</c:f>
              <c:strCache>
                <c:ptCount val="8"/>
                <c:pt idx="0">
                  <c:v>2012-2013</c:v>
                </c:pt>
                <c:pt idx="1">
                  <c:v>2013-2014</c:v>
                </c:pt>
                <c:pt idx="2">
                  <c:v>2014-2015</c:v>
                </c:pt>
                <c:pt idx="3">
                  <c:v>2015-2016</c:v>
                </c:pt>
                <c:pt idx="4">
                  <c:v>2016-2017</c:v>
                </c:pt>
                <c:pt idx="5">
                  <c:v>2017-2018</c:v>
                </c:pt>
                <c:pt idx="6">
                  <c:v>2018-2019</c:v>
                </c:pt>
                <c:pt idx="7">
                  <c:v>2019-2020</c:v>
                </c:pt>
              </c:strCache>
            </c:strRef>
          </c:cat>
          <c:val>
            <c:numRef>
              <c:f>'Graphs 15-10'!$B$4:$I$4</c:f>
              <c:numCache>
                <c:formatCode>#,##0</c:formatCode>
                <c:ptCount val="8"/>
                <c:pt idx="0">
                  <c:v>1048</c:v>
                </c:pt>
                <c:pt idx="1">
                  <c:v>1100</c:v>
                </c:pt>
                <c:pt idx="2">
                  <c:v>1203</c:v>
                </c:pt>
                <c:pt idx="3">
                  <c:v>1237</c:v>
                </c:pt>
                <c:pt idx="4">
                  <c:v>1180</c:v>
                </c:pt>
                <c:pt idx="5">
                  <c:v>1166</c:v>
                </c:pt>
                <c:pt idx="6">
                  <c:v>1128</c:v>
                </c:pt>
                <c:pt idx="7">
                  <c:v>1143</c:v>
                </c:pt>
              </c:numCache>
            </c:numRef>
          </c:val>
          <c:smooth val="0"/>
          <c:extLst>
            <c:ext xmlns:c16="http://schemas.microsoft.com/office/drawing/2014/chart" uri="{C3380CC4-5D6E-409C-BE32-E72D297353CC}">
              <c16:uniqueId val="{00000000-8603-46BC-8FEC-CC04AE7EACC5}"/>
            </c:ext>
          </c:extLst>
        </c:ser>
        <c:dLbls>
          <c:showLegendKey val="0"/>
          <c:showVal val="0"/>
          <c:showCatName val="0"/>
          <c:showSerName val="0"/>
          <c:showPercent val="0"/>
          <c:showBubbleSize val="0"/>
        </c:dLbls>
        <c:marker val="1"/>
        <c:smooth val="0"/>
        <c:axId val="503424768"/>
        <c:axId val="418599120"/>
        <c:extLst>
          <c:ext xmlns:c15="http://schemas.microsoft.com/office/drawing/2012/chart" uri="{02D57815-91ED-43cb-92C2-25804820EDAC}">
            <c15:filteredLineSeries>
              <c15:ser>
                <c:idx val="0"/>
                <c:order val="0"/>
                <c:tx>
                  <c:strRef>
                    <c:extLst>
                      <c:ext uri="{02D57815-91ED-43cb-92C2-25804820EDAC}">
                        <c15:formulaRef>
                          <c15:sqref>'Graphs 15-10'!$A$2</c15:sqref>
                        </c15:formulaRef>
                      </c:ext>
                    </c:extLst>
                    <c:strCache>
                      <c:ptCount val="1"/>
                      <c:pt idx="0">
                        <c:v>Secondaire</c:v>
                      </c:pt>
                    </c:strCache>
                  </c:strRef>
                </c:tx>
                <c:spPr>
                  <a:ln w="28575" cap="rnd">
                    <a:solidFill>
                      <a:schemeClr val="dk1">
                        <a:tint val="88500"/>
                      </a:schemeClr>
                    </a:solidFill>
                    <a:round/>
                  </a:ln>
                  <a:effectLst/>
                </c:spPr>
                <c:marker>
                  <c:symbol val="diamond"/>
                  <c:size val="8"/>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'Graphs 15-10'!$B$1:$I$1</c15:sqref>
                        </c15:formulaRef>
                      </c:ext>
                    </c:extLst>
                    <c:strCache>
                      <c:ptCount val="8"/>
                      <c:pt idx="0">
                        <c:v>2012-2013</c:v>
                      </c:pt>
                      <c:pt idx="1">
                        <c:v>2013-2014</c:v>
                      </c:pt>
                      <c:pt idx="2">
                        <c:v>2014-2015</c:v>
                      </c:pt>
                      <c:pt idx="3">
                        <c:v>2015-2016</c:v>
                      </c:pt>
                      <c:pt idx="4">
                        <c:v>2016-2017</c:v>
                      </c:pt>
                      <c:pt idx="5">
                        <c:v>2017-2018</c:v>
                      </c:pt>
                      <c:pt idx="6">
                        <c:v>2018-2019</c:v>
                      </c:pt>
                      <c:pt idx="7">
                        <c:v>2019-2020</c:v>
                      </c:pt>
                    </c:strCache>
                  </c:strRef>
                </c:cat>
                <c:val>
                  <c:numRef>
                    <c:extLst>
                      <c:ext uri="{02D57815-91ED-43cb-92C2-25804820EDAC}">
                        <c15:formulaRef>
                          <c15:sqref>'Graphs 15-10'!$B$2:$I$2</c15:sqref>
                        </c15:formulaRef>
                      </c:ext>
                    </c:extLst>
                    <c:numCache>
                      <c:formatCode>#,##0</c:formatCode>
                      <c:ptCount val="8"/>
                      <c:pt idx="0">
                        <c:v>5625</c:v>
                      </c:pt>
                      <c:pt idx="1">
                        <c:v>5761</c:v>
                      </c:pt>
                      <c:pt idx="2">
                        <c:v>5942</c:v>
                      </c:pt>
                      <c:pt idx="3">
                        <c:v>6190</c:v>
                      </c:pt>
                      <c:pt idx="4">
                        <c:v>6470</c:v>
                      </c:pt>
                      <c:pt idx="5">
                        <c:v>6736</c:v>
                      </c:pt>
                      <c:pt idx="6">
                        <c:v>6998</c:v>
                      </c:pt>
                      <c:pt idx="7">
                        <c:v>7331</c:v>
                      </c:pt>
                    </c:numCache>
                  </c:numRef>
                </c:val>
                <c:smooth val="0"/>
                <c:extLst>
                  <c:ext xmlns:c16="http://schemas.microsoft.com/office/drawing/2014/chart" uri="{C3380CC4-5D6E-409C-BE32-E72D297353CC}">
                    <c16:uniqueId val="{00000001-8603-46BC-8FEC-CC04AE7EACC5}"/>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'Graphs 15-10'!$A$3</c15:sqref>
                        </c15:formulaRef>
                      </c:ext>
                    </c:extLst>
                    <c:strCache>
                      <c:ptCount val="1"/>
                      <c:pt idx="0">
                        <c:v> Primaire</c:v>
                      </c:pt>
                    </c:strCache>
                  </c:strRef>
                </c:tx>
                <c:spPr>
                  <a:ln w="28575" cap="rnd">
                    <a:solidFill>
                      <a:sysClr val="windowText" lastClr="000000"/>
                    </a:solidFill>
                    <a:round/>
                  </a:ln>
                  <a:effectLst/>
                </c:spPr>
                <c:marker>
                  <c:symbol val="circle"/>
                  <c:size val="8"/>
                  <c:spPr>
                    <a:solidFill>
                      <a:schemeClr val="tx1"/>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'Graphs 15-10'!$B$1:$I$1</c15:sqref>
                        </c15:formulaRef>
                      </c:ext>
                    </c:extLst>
                    <c:strCache>
                      <c:ptCount val="8"/>
                      <c:pt idx="0">
                        <c:v>2012-2013</c:v>
                      </c:pt>
                      <c:pt idx="1">
                        <c:v>2013-2014</c:v>
                      </c:pt>
                      <c:pt idx="2">
                        <c:v>2014-2015</c:v>
                      </c:pt>
                      <c:pt idx="3">
                        <c:v>2015-2016</c:v>
                      </c:pt>
                      <c:pt idx="4">
                        <c:v>2016-2017</c:v>
                      </c:pt>
                      <c:pt idx="5">
                        <c:v>2017-2018</c:v>
                      </c:pt>
                      <c:pt idx="6">
                        <c:v>2018-2019</c:v>
                      </c:pt>
                      <c:pt idx="7">
                        <c:v>2019-2020</c:v>
                      </c:pt>
                    </c:strCache>
                  </c:strRef>
                </c:cat>
                <c:val>
                  <c:numRef>
                    <c:extLst xmlns:c15="http://schemas.microsoft.com/office/drawing/2012/chart">
                      <c:ext xmlns:c15="http://schemas.microsoft.com/office/drawing/2012/chart" uri="{02D57815-91ED-43cb-92C2-25804820EDAC}">
                        <c15:formulaRef>
                          <c15:sqref>'Graphs 15-10'!$B$3:$I$3</c15:sqref>
                        </c15:formulaRef>
                      </c:ext>
                    </c:extLst>
                    <c:numCache>
                      <c:formatCode>#,##0</c:formatCode>
                      <c:ptCount val="8"/>
                      <c:pt idx="0">
                        <c:v>3933</c:v>
                      </c:pt>
                      <c:pt idx="1">
                        <c:v>4116</c:v>
                      </c:pt>
                      <c:pt idx="2">
                        <c:v>4261</c:v>
                      </c:pt>
                      <c:pt idx="3">
                        <c:v>4458</c:v>
                      </c:pt>
                      <c:pt idx="4">
                        <c:v>4659</c:v>
                      </c:pt>
                      <c:pt idx="5">
                        <c:v>4789</c:v>
                      </c:pt>
                      <c:pt idx="6">
                        <c:v>4842</c:v>
                      </c:pt>
                      <c:pt idx="7">
                        <c:v>4956</c:v>
                      </c:pt>
                    </c:numCache>
                  </c:numRef>
                </c:val>
                <c:smooth val="0"/>
                <c:extLst xmlns:c15="http://schemas.microsoft.com/office/drawing/2012/chart">
                  <c:ext xmlns:c16="http://schemas.microsoft.com/office/drawing/2014/chart" uri="{C3380CC4-5D6E-409C-BE32-E72D297353CC}">
                    <c16:uniqueId val="{00000002-8603-46BC-8FEC-CC04AE7EACC5}"/>
                  </c:ext>
                </c:extLst>
              </c15:ser>
            </c15:filteredLineSeries>
          </c:ext>
        </c:extLst>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solidFill>
            <a:schemeClr val="bg1">
              <a:lumMod val="85000"/>
            </a:schemeClr>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50" u="sng">
                <a:solidFill>
                  <a:sysClr val="windowText" lastClr="000000"/>
                </a:solidFill>
                <a:latin typeface="Arial" panose="020B0604020202020204" pitchFamily="34" charset="0"/>
                <a:cs typeface="Arial" panose="020B0604020202020204" pitchFamily="34" charset="0"/>
              </a:rPr>
              <a:t>Evolution des effectifs aux cycles primaire et secondaire </a:t>
            </a:r>
            <a:r>
              <a:rPr lang="en-US" sz="1050" b="0" i="0" u="sng" strike="noStrike" baseline="0">
                <a:solidFill>
                  <a:sysClr val="windowText" lastClr="000000"/>
                </a:solidFill>
                <a:effectLst/>
              </a:rPr>
              <a:t>par année scolaire </a:t>
            </a:r>
            <a:endParaRPr lang="en-US" sz="1050" u="sng">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'Graphs 15-10'!$A$2</c:f>
              <c:strCache>
                <c:ptCount val="1"/>
                <c:pt idx="0">
                  <c:v>Secondaire</c:v>
                </c:pt>
              </c:strCache>
            </c:strRef>
          </c:tx>
          <c:spPr>
            <a:ln w="28575" cap="rnd">
              <a:solidFill>
                <a:schemeClr val="dk1">
                  <a:tint val="88500"/>
                </a:schemeClr>
              </a:solidFill>
              <a:round/>
            </a:ln>
            <a:effectLst/>
          </c:spPr>
          <c:marker>
            <c:symbol val="diamond"/>
            <c:size val="8"/>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15-10'!$B$1:$I$1</c:f>
              <c:strCache>
                <c:ptCount val="8"/>
                <c:pt idx="0">
                  <c:v>2012-2013</c:v>
                </c:pt>
                <c:pt idx="1">
                  <c:v>2013-2014</c:v>
                </c:pt>
                <c:pt idx="2">
                  <c:v>2014-2015</c:v>
                </c:pt>
                <c:pt idx="3">
                  <c:v>2015-2016</c:v>
                </c:pt>
                <c:pt idx="4">
                  <c:v>2016-2017</c:v>
                </c:pt>
                <c:pt idx="5">
                  <c:v>2017-2018</c:v>
                </c:pt>
                <c:pt idx="6">
                  <c:v>2018-2019</c:v>
                </c:pt>
                <c:pt idx="7">
                  <c:v>2019-2020</c:v>
                </c:pt>
              </c:strCache>
            </c:strRef>
          </c:cat>
          <c:val>
            <c:numRef>
              <c:f>'Graphs 15-10'!$B$2:$I$2</c:f>
              <c:numCache>
                <c:formatCode>#,##0</c:formatCode>
                <c:ptCount val="8"/>
                <c:pt idx="0">
                  <c:v>5625</c:v>
                </c:pt>
                <c:pt idx="1">
                  <c:v>5761</c:v>
                </c:pt>
                <c:pt idx="2">
                  <c:v>5942</c:v>
                </c:pt>
                <c:pt idx="3">
                  <c:v>6190</c:v>
                </c:pt>
                <c:pt idx="4">
                  <c:v>6470</c:v>
                </c:pt>
                <c:pt idx="5">
                  <c:v>6736</c:v>
                </c:pt>
                <c:pt idx="6">
                  <c:v>6993</c:v>
                </c:pt>
                <c:pt idx="7">
                  <c:v>7331</c:v>
                </c:pt>
              </c:numCache>
            </c:numRef>
          </c:val>
          <c:smooth val="0"/>
          <c:extLst>
            <c:ext xmlns:c16="http://schemas.microsoft.com/office/drawing/2014/chart" uri="{C3380CC4-5D6E-409C-BE32-E72D297353CC}">
              <c16:uniqueId val="{00000000-B523-4F95-A19B-575AB6ADFC8C}"/>
            </c:ext>
          </c:extLst>
        </c:ser>
        <c:ser>
          <c:idx val="1"/>
          <c:order val="1"/>
          <c:tx>
            <c:strRef>
              <c:f>'Graphs 15-10'!$A$3</c:f>
              <c:strCache>
                <c:ptCount val="1"/>
                <c:pt idx="0">
                  <c:v> Primaire</c:v>
                </c:pt>
              </c:strCache>
            </c:strRef>
          </c:tx>
          <c:spPr>
            <a:ln w="28575" cap="rnd">
              <a:solidFill>
                <a:schemeClr val="dk1">
                  <a:tint val="55000"/>
                </a:schemeClr>
              </a:solidFill>
              <a:round/>
            </a:ln>
            <a:effectLst/>
          </c:spPr>
          <c:marker>
            <c:symbol val="circle"/>
            <c:size val="8"/>
            <c:spPr>
              <a:solidFill>
                <a:schemeClr val="dk1">
                  <a:tint val="55000"/>
                </a:schemeClr>
              </a:solidFill>
              <a:ln w="9525">
                <a:solidFill>
                  <a:schemeClr val="dk1">
                    <a:tint val="5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15-10'!$B$1:$I$1</c:f>
              <c:strCache>
                <c:ptCount val="8"/>
                <c:pt idx="0">
                  <c:v>2012-2013</c:v>
                </c:pt>
                <c:pt idx="1">
                  <c:v>2013-2014</c:v>
                </c:pt>
                <c:pt idx="2">
                  <c:v>2014-2015</c:v>
                </c:pt>
                <c:pt idx="3">
                  <c:v>2015-2016</c:v>
                </c:pt>
                <c:pt idx="4">
                  <c:v>2016-2017</c:v>
                </c:pt>
                <c:pt idx="5">
                  <c:v>2017-2018</c:v>
                </c:pt>
                <c:pt idx="6">
                  <c:v>2018-2019</c:v>
                </c:pt>
                <c:pt idx="7">
                  <c:v>2019-2020</c:v>
                </c:pt>
              </c:strCache>
            </c:strRef>
          </c:cat>
          <c:val>
            <c:numRef>
              <c:f>'Graphs 15-10'!$B$3:$I$3</c:f>
              <c:numCache>
                <c:formatCode>#,##0</c:formatCode>
                <c:ptCount val="8"/>
                <c:pt idx="0">
                  <c:v>3933</c:v>
                </c:pt>
                <c:pt idx="1">
                  <c:v>4116</c:v>
                </c:pt>
                <c:pt idx="2">
                  <c:v>4261</c:v>
                </c:pt>
                <c:pt idx="3">
                  <c:v>4458</c:v>
                </c:pt>
                <c:pt idx="4">
                  <c:v>4659</c:v>
                </c:pt>
                <c:pt idx="5">
                  <c:v>4789</c:v>
                </c:pt>
                <c:pt idx="6">
                  <c:v>4837</c:v>
                </c:pt>
                <c:pt idx="7">
                  <c:v>4956</c:v>
                </c:pt>
              </c:numCache>
            </c:numRef>
          </c:val>
          <c:smooth val="0"/>
          <c:extLst>
            <c:ext xmlns:c16="http://schemas.microsoft.com/office/drawing/2014/chart" uri="{C3380CC4-5D6E-409C-BE32-E72D297353CC}">
              <c16:uniqueId val="{00000001-B523-4F95-A19B-575AB6ADFC8C}"/>
            </c:ext>
          </c:extLst>
        </c:ser>
        <c:dLbls>
          <c:showLegendKey val="0"/>
          <c:showVal val="0"/>
          <c:showCatName val="0"/>
          <c:showSerName val="0"/>
          <c:showPercent val="0"/>
          <c:showBubbleSize val="0"/>
        </c:dLbls>
        <c:marker val="1"/>
        <c:smooth val="0"/>
        <c:axId val="503424768"/>
        <c:axId val="418599120"/>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3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0" u="sng">
                <a:latin typeface="Arial" panose="020B0604020202020204" pitchFamily="34" charset="0"/>
                <a:cs typeface="Arial" panose="020B0604020202020204" pitchFamily="34" charset="0"/>
              </a:rPr>
              <a:t>Evolution de la section EN</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011939056433672E-2"/>
          <c:y val="0.17430555555555555"/>
          <c:w val="0.91065824423439123"/>
          <c:h val="0.73906605424321958"/>
        </c:manualLayout>
      </c:layout>
      <c:lineChart>
        <c:grouping val="stacked"/>
        <c:varyColors val="0"/>
        <c:ser>
          <c:idx val="3"/>
          <c:order val="3"/>
          <c:tx>
            <c:strRef>
              <c:f>'évol EN'!$A$6</c:f>
              <c:strCache>
                <c:ptCount val="1"/>
                <c:pt idx="0">
                  <c:v>Total</c:v>
                </c:pt>
              </c:strCache>
            </c:strRef>
          </c:tx>
          <c:spPr>
            <a:ln w="28575" cap="rnd">
              <a:solidFill>
                <a:schemeClr val="dk1">
                  <a:tint val="98500"/>
                </a:schemeClr>
              </a:solidFill>
              <a:round/>
            </a:ln>
            <a:effectLst/>
          </c:spPr>
          <c:marker>
            <c:symbol val="circle"/>
            <c:size val="5"/>
            <c:spPr>
              <a:solidFill>
                <a:schemeClr val="dk1">
                  <a:tint val="98500"/>
                </a:schemeClr>
              </a:solidFill>
              <a:ln w="9525">
                <a:solidFill>
                  <a:schemeClr val="dk1">
                    <a:tint val="98500"/>
                  </a:schemeClr>
                </a:solidFill>
              </a:ln>
              <a:effectLst/>
            </c:spPr>
          </c:marker>
          <c:dLbls>
            <c:dLbl>
              <c:idx val="6"/>
              <c:layout>
                <c:manualLayout>
                  <c:x val="-2.2368042299071474E-2"/>
                  <c:y val="-6.56135170603675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6B6-4EE6-97F4-BDBDF8668A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'évol EN'!$B$2:$I$2</c:f>
              <c:strCache>
                <c:ptCount val="8"/>
                <c:pt idx="0">
                  <c:v>2012-2013</c:v>
                </c:pt>
                <c:pt idx="1">
                  <c:v>2013-2014</c:v>
                </c:pt>
                <c:pt idx="2">
                  <c:v>2014-2015</c:v>
                </c:pt>
                <c:pt idx="3">
                  <c:v>2015-2016</c:v>
                </c:pt>
                <c:pt idx="4">
                  <c:v>2016-2017</c:v>
                </c:pt>
                <c:pt idx="5">
                  <c:v>2017-2018</c:v>
                </c:pt>
                <c:pt idx="6">
                  <c:v>2018-2019</c:v>
                </c:pt>
                <c:pt idx="7">
                  <c:v>2019-2020</c:v>
                </c:pt>
              </c:strCache>
            </c:strRef>
          </c:cat>
          <c:val>
            <c:numRef>
              <c:f>'évol EN'!$B$6:$I$6</c:f>
              <c:numCache>
                <c:formatCode>#,##0</c:formatCode>
                <c:ptCount val="8"/>
                <c:pt idx="0">
                  <c:v>1768</c:v>
                </c:pt>
                <c:pt idx="1">
                  <c:v>1781</c:v>
                </c:pt>
                <c:pt idx="2">
                  <c:v>1815</c:v>
                </c:pt>
                <c:pt idx="3">
                  <c:v>1833</c:v>
                </c:pt>
                <c:pt idx="4">
                  <c:v>1836</c:v>
                </c:pt>
                <c:pt idx="5">
                  <c:v>1812</c:v>
                </c:pt>
                <c:pt idx="6">
                  <c:v>1755</c:v>
                </c:pt>
                <c:pt idx="7">
                  <c:v>1726</c:v>
                </c:pt>
              </c:numCache>
            </c:numRef>
          </c:val>
          <c:smooth val="0"/>
          <c:extLst>
            <c:ext xmlns:c16="http://schemas.microsoft.com/office/drawing/2014/chart" uri="{C3380CC4-5D6E-409C-BE32-E72D297353CC}">
              <c16:uniqueId val="{00000001-16B6-4EE6-97F4-BDBDF8668A4D}"/>
            </c:ext>
          </c:extLst>
        </c:ser>
        <c:dLbls>
          <c:dLblPos val="t"/>
          <c:showLegendKey val="0"/>
          <c:showVal val="1"/>
          <c:showCatName val="0"/>
          <c:showSerName val="0"/>
          <c:showPercent val="0"/>
          <c:showBubbleSize val="0"/>
        </c:dLbls>
        <c:marker val="1"/>
        <c:smooth val="0"/>
        <c:axId val="523741184"/>
        <c:axId val="523741512"/>
        <c:extLst>
          <c:ext xmlns:c15="http://schemas.microsoft.com/office/drawing/2012/chart" uri="{02D57815-91ED-43cb-92C2-25804820EDAC}">
            <c15:filteredLineSeries>
              <c15:ser>
                <c:idx val="0"/>
                <c:order val="0"/>
                <c:tx>
                  <c:strRef>
                    <c:extLst>
                      <c:ext uri="{02D57815-91ED-43cb-92C2-25804820EDAC}">
                        <c15:formulaRef>
                          <c15:sqref>'évol EN'!$A$3</c15:sqref>
                        </c15:formulaRef>
                      </c:ext>
                    </c:extLst>
                    <c:strCache>
                      <c:ptCount val="1"/>
                      <c:pt idx="0">
                        <c:v>M</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'évol EN'!$B$2:$I$2</c15:sqref>
                        </c15:formulaRef>
                      </c:ext>
                    </c:extLst>
                    <c:strCache>
                      <c:ptCount val="8"/>
                      <c:pt idx="0">
                        <c:v>2012-2013</c:v>
                      </c:pt>
                      <c:pt idx="1">
                        <c:v>2013-2014</c:v>
                      </c:pt>
                      <c:pt idx="2">
                        <c:v>2014-2015</c:v>
                      </c:pt>
                      <c:pt idx="3">
                        <c:v>2015-2016</c:v>
                      </c:pt>
                      <c:pt idx="4">
                        <c:v>2016-2017</c:v>
                      </c:pt>
                      <c:pt idx="5">
                        <c:v>2017-2018</c:v>
                      </c:pt>
                      <c:pt idx="6">
                        <c:v>2018-2019</c:v>
                      </c:pt>
                      <c:pt idx="7">
                        <c:v>2019-2020</c:v>
                      </c:pt>
                    </c:strCache>
                  </c:strRef>
                </c:cat>
                <c:val>
                  <c:numRef>
                    <c:extLst>
                      <c:ext uri="{02D57815-91ED-43cb-92C2-25804820EDAC}">
                        <c15:formulaRef>
                          <c15:sqref>'évol EN'!$B$3:$I$3</c15:sqref>
                        </c15:formulaRef>
                      </c:ext>
                    </c:extLst>
                    <c:numCache>
                      <c:formatCode>#,##0</c:formatCode>
                      <c:ptCount val="8"/>
                      <c:pt idx="0">
                        <c:v>122</c:v>
                      </c:pt>
                      <c:pt idx="1">
                        <c:v>139</c:v>
                      </c:pt>
                      <c:pt idx="2">
                        <c:v>183</c:v>
                      </c:pt>
                      <c:pt idx="3">
                        <c:v>185</c:v>
                      </c:pt>
                      <c:pt idx="4">
                        <c:v>177</c:v>
                      </c:pt>
                      <c:pt idx="5">
                        <c:v>154</c:v>
                      </c:pt>
                      <c:pt idx="6">
                        <c:v>120</c:v>
                      </c:pt>
                      <c:pt idx="7">
                        <c:v>114</c:v>
                      </c:pt>
                    </c:numCache>
                  </c:numRef>
                </c:val>
                <c:smooth val="0"/>
                <c:extLst>
                  <c:ext xmlns:c16="http://schemas.microsoft.com/office/drawing/2014/chart" uri="{C3380CC4-5D6E-409C-BE32-E72D297353CC}">
                    <c16:uniqueId val="{00000002-16B6-4EE6-97F4-BDBDF8668A4D}"/>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'évol EN'!$A$4</c15:sqref>
                        </c15:formulaRef>
                      </c:ext>
                    </c:extLst>
                    <c:strCache>
                      <c:ptCount val="1"/>
                      <c:pt idx="0">
                        <c:v>P</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'évol EN'!$B$2:$I$2</c15:sqref>
                        </c15:formulaRef>
                      </c:ext>
                    </c:extLst>
                    <c:strCache>
                      <c:ptCount val="8"/>
                      <c:pt idx="0">
                        <c:v>2012-2013</c:v>
                      </c:pt>
                      <c:pt idx="1">
                        <c:v>2013-2014</c:v>
                      </c:pt>
                      <c:pt idx="2">
                        <c:v>2014-2015</c:v>
                      </c:pt>
                      <c:pt idx="3">
                        <c:v>2015-2016</c:v>
                      </c:pt>
                      <c:pt idx="4">
                        <c:v>2016-2017</c:v>
                      </c:pt>
                      <c:pt idx="5">
                        <c:v>2017-2018</c:v>
                      </c:pt>
                      <c:pt idx="6">
                        <c:v>2018-2019</c:v>
                      </c:pt>
                      <c:pt idx="7">
                        <c:v>2019-2020</c:v>
                      </c:pt>
                    </c:strCache>
                  </c:strRef>
                </c:cat>
                <c:val>
                  <c:numRef>
                    <c:extLst xmlns:c15="http://schemas.microsoft.com/office/drawing/2012/chart">
                      <c:ext xmlns:c15="http://schemas.microsoft.com/office/drawing/2012/chart" uri="{02D57815-91ED-43cb-92C2-25804820EDAC}">
                        <c15:formulaRef>
                          <c15:sqref>'évol EN'!$B$4:$I$4</c15:sqref>
                        </c15:formulaRef>
                      </c:ext>
                    </c:extLst>
                    <c:numCache>
                      <c:formatCode>#,##0</c:formatCode>
                      <c:ptCount val="8"/>
                      <c:pt idx="0">
                        <c:v>584</c:v>
                      </c:pt>
                      <c:pt idx="1">
                        <c:v>583</c:v>
                      </c:pt>
                      <c:pt idx="2">
                        <c:v>594</c:v>
                      </c:pt>
                      <c:pt idx="3">
                        <c:v>601</c:v>
                      </c:pt>
                      <c:pt idx="4">
                        <c:v>639</c:v>
                      </c:pt>
                      <c:pt idx="5">
                        <c:v>620</c:v>
                      </c:pt>
                      <c:pt idx="6">
                        <c:v>611</c:v>
                      </c:pt>
                      <c:pt idx="7">
                        <c:v>595</c:v>
                      </c:pt>
                    </c:numCache>
                  </c:numRef>
                </c:val>
                <c:smooth val="0"/>
                <c:extLst xmlns:c15="http://schemas.microsoft.com/office/drawing/2012/chart">
                  <c:ext xmlns:c16="http://schemas.microsoft.com/office/drawing/2014/chart" uri="{C3380CC4-5D6E-409C-BE32-E72D297353CC}">
                    <c16:uniqueId val="{00000003-16B6-4EE6-97F4-BDBDF8668A4D}"/>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'évol EN'!$A$5</c15:sqref>
                        </c15:formulaRef>
                      </c:ext>
                    </c:extLst>
                    <c:strCache>
                      <c:ptCount val="1"/>
                      <c:pt idx="0">
                        <c:v>S</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'évol EN'!$B$2:$I$2</c15:sqref>
                        </c15:formulaRef>
                      </c:ext>
                    </c:extLst>
                    <c:strCache>
                      <c:ptCount val="8"/>
                      <c:pt idx="0">
                        <c:v>2012-2013</c:v>
                      </c:pt>
                      <c:pt idx="1">
                        <c:v>2013-2014</c:v>
                      </c:pt>
                      <c:pt idx="2">
                        <c:v>2014-2015</c:v>
                      </c:pt>
                      <c:pt idx="3">
                        <c:v>2015-2016</c:v>
                      </c:pt>
                      <c:pt idx="4">
                        <c:v>2016-2017</c:v>
                      </c:pt>
                      <c:pt idx="5">
                        <c:v>2017-2018</c:v>
                      </c:pt>
                      <c:pt idx="6">
                        <c:v>2018-2019</c:v>
                      </c:pt>
                      <c:pt idx="7">
                        <c:v>2019-2020</c:v>
                      </c:pt>
                    </c:strCache>
                  </c:strRef>
                </c:cat>
                <c:val>
                  <c:numRef>
                    <c:extLst xmlns:c15="http://schemas.microsoft.com/office/drawing/2012/chart">
                      <c:ext xmlns:c15="http://schemas.microsoft.com/office/drawing/2012/chart" uri="{02D57815-91ED-43cb-92C2-25804820EDAC}">
                        <c15:formulaRef>
                          <c15:sqref>'évol EN'!$B$5:$I$5</c15:sqref>
                        </c15:formulaRef>
                      </c:ext>
                    </c:extLst>
                    <c:numCache>
                      <c:formatCode>#,##0</c:formatCode>
                      <c:ptCount val="8"/>
                      <c:pt idx="0">
                        <c:v>1062</c:v>
                      </c:pt>
                      <c:pt idx="1">
                        <c:v>1059</c:v>
                      </c:pt>
                      <c:pt idx="2">
                        <c:v>1038</c:v>
                      </c:pt>
                      <c:pt idx="3">
                        <c:v>1047</c:v>
                      </c:pt>
                      <c:pt idx="4">
                        <c:v>1020</c:v>
                      </c:pt>
                      <c:pt idx="5">
                        <c:v>1038</c:v>
                      </c:pt>
                      <c:pt idx="6">
                        <c:v>1024</c:v>
                      </c:pt>
                      <c:pt idx="7">
                        <c:v>1017</c:v>
                      </c:pt>
                    </c:numCache>
                  </c:numRef>
                </c:val>
                <c:smooth val="0"/>
                <c:extLst xmlns:c15="http://schemas.microsoft.com/office/drawing/2012/chart">
                  <c:ext xmlns:c16="http://schemas.microsoft.com/office/drawing/2014/chart" uri="{C3380CC4-5D6E-409C-BE32-E72D297353CC}">
                    <c16:uniqueId val="{00000004-16B6-4EE6-97F4-BDBDF8668A4D}"/>
                  </c:ext>
                </c:extLst>
              </c15:ser>
            </c15:filteredLineSeries>
          </c:ext>
        </c:extLst>
      </c:lineChart>
      <c:catAx>
        <c:axId val="52374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3741512"/>
        <c:crosses val="autoZero"/>
        <c:auto val="1"/>
        <c:lblAlgn val="ctr"/>
        <c:lblOffset val="100"/>
        <c:noMultiLvlLbl val="0"/>
      </c:catAx>
      <c:valAx>
        <c:axId val="5237415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374118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Population scolaire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3"/>
          <c:order val="0"/>
          <c:spPr>
            <a:solidFill>
              <a:schemeClr val="bg1">
                <a:lumMod val="50000"/>
              </a:schemeClr>
            </a:solidFill>
            <a:ln>
              <a:noFill/>
            </a:ln>
            <a:effectLst/>
            <a:scene3d>
              <a:camera prst="orthographicFront"/>
              <a:lightRig rig="threePt" dir="t"/>
            </a:scene3d>
            <a:sp3d>
              <a:bevelT/>
            </a:sp3d>
          </c:spPr>
          <c:invertIfNegative val="0"/>
          <c:dPt>
            <c:idx val="4"/>
            <c:invertIfNegative val="0"/>
            <c:bubble3D val="0"/>
            <c:spPr>
              <a:solidFill>
                <a:schemeClr val="bg1">
                  <a:lumMod val="50000"/>
                </a:schemeClr>
              </a:solidFill>
              <a:ln>
                <a:solidFill>
                  <a:schemeClr val="bg1">
                    <a:lumMod val="50000"/>
                  </a:schemeClr>
                </a:solidFill>
              </a:ln>
              <a:effectLst/>
              <a:scene3d>
                <a:camera prst="orthographicFront"/>
                <a:lightRig rig="threePt" dir="t"/>
              </a:scene3d>
              <a:sp3d>
                <a:bevelT/>
              </a:sp3d>
            </c:spPr>
            <c:extLst>
              <c:ext xmlns:c16="http://schemas.microsoft.com/office/drawing/2014/chart" uri="{C3380CC4-5D6E-409C-BE32-E72D297353CC}">
                <c16:uniqueId val="{00000001-A3DB-4EE0-8864-57E31A3062A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LD 2020'!$B$1:$I$1</c:f>
              <c:strCache>
                <c:ptCount val="8"/>
                <c:pt idx="0">
                  <c:v>2012-2013</c:v>
                </c:pt>
                <c:pt idx="1">
                  <c:v>2013-2014</c:v>
                </c:pt>
                <c:pt idx="2">
                  <c:v>2014-2015</c:v>
                </c:pt>
                <c:pt idx="3">
                  <c:v>2015-2016</c:v>
                </c:pt>
                <c:pt idx="4">
                  <c:v>2016-2017</c:v>
                </c:pt>
                <c:pt idx="5">
                  <c:v>2017-2018</c:v>
                </c:pt>
                <c:pt idx="6">
                  <c:v>2018-2019</c:v>
                </c:pt>
                <c:pt idx="7">
                  <c:v>2019-2020</c:v>
                </c:pt>
              </c:strCache>
            </c:strRef>
          </c:cat>
          <c:val>
            <c:numRef>
              <c:f>'Graphs LD 2020'!$B$5:$I$5</c:f>
              <c:numCache>
                <c:formatCode>#,##0</c:formatCode>
                <c:ptCount val="8"/>
                <c:pt idx="0">
                  <c:v>10606</c:v>
                </c:pt>
                <c:pt idx="1">
                  <c:v>10977</c:v>
                </c:pt>
                <c:pt idx="2">
                  <c:v>11406</c:v>
                </c:pt>
                <c:pt idx="3">
                  <c:v>11885</c:v>
                </c:pt>
                <c:pt idx="4">
                  <c:v>12309</c:v>
                </c:pt>
                <c:pt idx="5">
                  <c:v>12691</c:v>
                </c:pt>
                <c:pt idx="6">
                  <c:v>12958</c:v>
                </c:pt>
                <c:pt idx="7">
                  <c:v>13430</c:v>
                </c:pt>
              </c:numCache>
            </c:numRef>
          </c:val>
          <c:extLst>
            <c:ext xmlns:c16="http://schemas.microsoft.com/office/drawing/2014/chart" uri="{C3380CC4-5D6E-409C-BE32-E72D297353CC}">
              <c16:uniqueId val="{00000002-A3DB-4EE0-8864-57E31A3062A2}"/>
            </c:ext>
          </c:extLst>
        </c:ser>
        <c:dLbls>
          <c:showLegendKey val="0"/>
          <c:showVal val="0"/>
          <c:showCatName val="0"/>
          <c:showSerName val="0"/>
          <c:showPercent val="0"/>
          <c:showBubbleSize val="0"/>
        </c:dLbls>
        <c:gapWidth val="120"/>
        <c:overlap val="-8"/>
        <c:axId val="503424768"/>
        <c:axId val="418599120"/>
      </c:barChart>
      <c:catAx>
        <c:axId val="50342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1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Evolution par année scolaire par cycle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1"/>
          <c:order val="0"/>
          <c:tx>
            <c:strRef>
              <c:f>'Graphs LD 2020'!$T$2</c:f>
              <c:strCache>
                <c:ptCount val="1"/>
                <c:pt idx="0">
                  <c:v>cycles maternel et primaire</c:v>
                </c:pt>
              </c:strCache>
            </c:strRef>
          </c:tx>
          <c:spPr>
            <a:ln w="28575" cap="rnd">
              <a:solidFill>
                <a:schemeClr val="dk1">
                  <a:tint val="55000"/>
                </a:schemeClr>
              </a:solidFill>
              <a:round/>
            </a:ln>
            <a:effectLst/>
          </c:spPr>
          <c:marker>
            <c:symbol val="circle"/>
            <c:size val="8"/>
            <c:spPr>
              <a:solidFill>
                <a:schemeClr val="dk1">
                  <a:tint val="55000"/>
                </a:schemeClr>
              </a:solidFill>
              <a:ln w="9525">
                <a:solidFill>
                  <a:schemeClr val="dk1">
                    <a:tint val="5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LD 2020'!$U$1:$AB$1</c:f>
              <c:strCache>
                <c:ptCount val="8"/>
                <c:pt idx="0">
                  <c:v>2012-2013</c:v>
                </c:pt>
                <c:pt idx="1">
                  <c:v>2013-2014</c:v>
                </c:pt>
                <c:pt idx="2">
                  <c:v>2014-2015</c:v>
                </c:pt>
                <c:pt idx="3">
                  <c:v>2015-2016</c:v>
                </c:pt>
                <c:pt idx="4">
                  <c:v>2016-2017</c:v>
                </c:pt>
                <c:pt idx="5">
                  <c:v>2017-2018</c:v>
                </c:pt>
                <c:pt idx="6">
                  <c:v>2018-2019</c:v>
                </c:pt>
                <c:pt idx="7">
                  <c:v>2019-2020</c:v>
                </c:pt>
              </c:strCache>
            </c:strRef>
          </c:cat>
          <c:val>
            <c:numRef>
              <c:f>'Graphs LD 2020'!$U$2:$AB$2</c:f>
              <c:numCache>
                <c:formatCode>General</c:formatCode>
                <c:ptCount val="8"/>
                <c:pt idx="0">
                  <c:v>4981</c:v>
                </c:pt>
                <c:pt idx="1">
                  <c:v>5216</c:v>
                </c:pt>
                <c:pt idx="2">
                  <c:v>5464</c:v>
                </c:pt>
                <c:pt idx="3">
                  <c:v>5695</c:v>
                </c:pt>
                <c:pt idx="4">
                  <c:v>5839</c:v>
                </c:pt>
                <c:pt idx="5">
                  <c:v>5955</c:v>
                </c:pt>
                <c:pt idx="6">
                  <c:v>5965</c:v>
                </c:pt>
                <c:pt idx="7">
                  <c:v>6099</c:v>
                </c:pt>
              </c:numCache>
            </c:numRef>
          </c:val>
          <c:smooth val="0"/>
          <c:extLst>
            <c:ext xmlns:c16="http://schemas.microsoft.com/office/drawing/2014/chart" uri="{C3380CC4-5D6E-409C-BE32-E72D297353CC}">
              <c16:uniqueId val="{00000000-F2B0-46EF-83D4-F474F113F9A1}"/>
            </c:ext>
          </c:extLst>
        </c:ser>
        <c:ser>
          <c:idx val="0"/>
          <c:order val="1"/>
          <c:tx>
            <c:strRef>
              <c:f>'Graphs LD 2020'!$T$3</c:f>
              <c:strCache>
                <c:ptCount val="1"/>
                <c:pt idx="0">
                  <c:v>cycle secondaire</c:v>
                </c:pt>
              </c:strCache>
            </c:strRef>
          </c:tx>
          <c:spPr>
            <a:ln w="28575" cap="rnd">
              <a:solidFill>
                <a:schemeClr val="dk1">
                  <a:tint val="88500"/>
                </a:schemeClr>
              </a:solidFill>
              <a:round/>
            </a:ln>
            <a:effectLst/>
          </c:spPr>
          <c:marker>
            <c:symbol val="diamond"/>
            <c:size val="8"/>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LD 2020'!$U$1:$AB$1</c:f>
              <c:strCache>
                <c:ptCount val="8"/>
                <c:pt idx="0">
                  <c:v>2012-2013</c:v>
                </c:pt>
                <c:pt idx="1">
                  <c:v>2013-2014</c:v>
                </c:pt>
                <c:pt idx="2">
                  <c:v>2014-2015</c:v>
                </c:pt>
                <c:pt idx="3">
                  <c:v>2015-2016</c:v>
                </c:pt>
                <c:pt idx="4">
                  <c:v>2016-2017</c:v>
                </c:pt>
                <c:pt idx="5">
                  <c:v>2017-2018</c:v>
                </c:pt>
                <c:pt idx="6">
                  <c:v>2018-2019</c:v>
                </c:pt>
                <c:pt idx="7">
                  <c:v>2019-2020</c:v>
                </c:pt>
              </c:strCache>
            </c:strRef>
          </c:cat>
          <c:val>
            <c:numRef>
              <c:f>'Graphs LD 2020'!$U$3:$AB$3</c:f>
              <c:numCache>
                <c:formatCode>#,##0</c:formatCode>
                <c:ptCount val="8"/>
                <c:pt idx="0" formatCode="General">
                  <c:v>5625</c:v>
                </c:pt>
                <c:pt idx="1">
                  <c:v>5761</c:v>
                </c:pt>
                <c:pt idx="2" formatCode="General">
                  <c:v>5942</c:v>
                </c:pt>
                <c:pt idx="3" formatCode="General">
                  <c:v>6190</c:v>
                </c:pt>
                <c:pt idx="4" formatCode="General">
                  <c:v>6470</c:v>
                </c:pt>
                <c:pt idx="5" formatCode="General">
                  <c:v>6736</c:v>
                </c:pt>
                <c:pt idx="6" formatCode="General">
                  <c:v>6993</c:v>
                </c:pt>
                <c:pt idx="7" formatCode="General">
                  <c:v>7331</c:v>
                </c:pt>
              </c:numCache>
            </c:numRef>
          </c:val>
          <c:smooth val="0"/>
          <c:extLst>
            <c:ext xmlns:c16="http://schemas.microsoft.com/office/drawing/2014/chart" uri="{C3380CC4-5D6E-409C-BE32-E72D297353CC}">
              <c16:uniqueId val="{00000001-F2B0-46EF-83D4-F474F113F9A1}"/>
            </c:ext>
          </c:extLst>
        </c:ser>
        <c:dLbls>
          <c:showLegendKey val="0"/>
          <c:showVal val="0"/>
          <c:showCatName val="0"/>
          <c:showSerName val="0"/>
          <c:showPercent val="0"/>
          <c:showBubbleSize val="0"/>
        </c:dLbls>
        <c:marker val="1"/>
        <c:smooth val="0"/>
        <c:axId val="503424768"/>
        <c:axId val="418599120"/>
        <c:extLst/>
      </c:lineChart>
      <c:catAx>
        <c:axId val="50342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8599120"/>
        <c:crosses val="autoZero"/>
        <c:auto val="1"/>
        <c:lblAlgn val="ctr"/>
        <c:lblOffset val="100"/>
        <c:noMultiLvlLbl val="0"/>
      </c:catAx>
      <c:valAx>
        <c:axId val="418599120"/>
        <c:scaling>
          <c:orientation val="minMax"/>
          <c:min val="45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3424768"/>
        <c:crosses val="autoZero"/>
        <c:crossBetween val="between"/>
      </c:valAx>
      <c:spPr>
        <a:noFill/>
        <a:ln>
          <a:noFill/>
        </a:ln>
        <a:effectLst/>
      </c:spPr>
    </c:plotArea>
    <c:legend>
      <c:legendPos val="b"/>
      <c:layout>
        <c:manualLayout>
          <c:xMode val="edge"/>
          <c:yMode val="edge"/>
          <c:x val="8.9408461346911786E-2"/>
          <c:y val="0.90286574050855106"/>
          <c:w val="0.8435308563528795"/>
          <c:h val="7.16565524850794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3"/>
          <c:order val="3"/>
          <c:tx>
            <c:strRef>
              <c:f>'Graphs LD 2020'!$A$5</c:f>
              <c:strCache>
                <c:ptCount val="1"/>
                <c:pt idx="0">
                  <c:v>TOTAL</c:v>
                </c:pt>
              </c:strCache>
            </c:strRef>
          </c:tx>
          <c:spPr>
            <a:ln w="28575" cap="rnd">
              <a:solidFill>
                <a:sysClr val="windowText" lastClr="000000"/>
              </a:solidFill>
              <a:round/>
            </a:ln>
            <a:effectLst/>
          </c:spPr>
          <c:marker>
            <c:symbol val="circle"/>
            <c:size val="9"/>
            <c:spPr>
              <a:solidFill>
                <a:schemeClr val="tx1"/>
              </a:solidFill>
              <a:ln w="9525">
                <a:solidFill>
                  <a:sysClr val="windowText" lastClr="000000"/>
                </a:solid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F3E4-4484-B6FF-B90FFBFFAA94}"/>
                </c:ext>
              </c:extLst>
            </c:dLbl>
            <c:dLbl>
              <c:idx val="1"/>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F3E4-4484-B6FF-B90FFBFFAA94}"/>
                </c:ext>
              </c:extLst>
            </c:dLbl>
            <c:dLbl>
              <c:idx val="2"/>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F3E4-4484-B6FF-B90FFBFFAA94}"/>
                </c:ext>
              </c:extLst>
            </c:dLbl>
            <c:dLbl>
              <c:idx val="3"/>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3-F3E4-4484-B6FF-B90FFBFFAA94}"/>
                </c:ext>
              </c:extLst>
            </c:dLbl>
            <c:dLbl>
              <c:idx val="4"/>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4-F3E4-4484-B6FF-B90FFBFFAA94}"/>
                </c:ext>
              </c:extLst>
            </c:dLbl>
            <c:dLbl>
              <c:idx val="5"/>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5-F3E4-4484-B6FF-B90FFBFFAA94}"/>
                </c:ext>
              </c:extLst>
            </c:dLbl>
            <c:dLbl>
              <c:idx val="6"/>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6-F3E4-4484-B6FF-B90FFBFFAA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 LD 2020'!$H$1:$N$1</c:f>
              <c:strCache>
                <c:ptCount val="7"/>
                <c:pt idx="0">
                  <c:v>2018-2019</c:v>
                </c:pt>
                <c:pt idx="1">
                  <c:v>2019-2020</c:v>
                </c:pt>
                <c:pt idx="2">
                  <c:v>2020-2021</c:v>
                </c:pt>
                <c:pt idx="3">
                  <c:v>2021-2022</c:v>
                </c:pt>
                <c:pt idx="4">
                  <c:v>2022-2023</c:v>
                </c:pt>
                <c:pt idx="5">
                  <c:v>2023-2024</c:v>
                </c:pt>
                <c:pt idx="6">
                  <c:v>2024-2025</c:v>
                </c:pt>
              </c:strCache>
            </c:strRef>
          </c:cat>
          <c:val>
            <c:numRef>
              <c:f>'Graphs LD 2020'!$H$5:$N$5</c:f>
              <c:numCache>
                <c:formatCode>#,##0</c:formatCode>
                <c:ptCount val="7"/>
                <c:pt idx="0">
                  <c:v>12958</c:v>
                </c:pt>
                <c:pt idx="1">
                  <c:v>13430</c:v>
                </c:pt>
                <c:pt idx="2" formatCode="General">
                  <c:v>13830</c:v>
                </c:pt>
                <c:pt idx="3" formatCode="General">
                  <c:v>14230</c:v>
                </c:pt>
                <c:pt idx="4" formatCode="General">
                  <c:v>14630</c:v>
                </c:pt>
                <c:pt idx="5" formatCode="General">
                  <c:v>15030</c:v>
                </c:pt>
                <c:pt idx="6" formatCode="General">
                  <c:v>15430</c:v>
                </c:pt>
              </c:numCache>
            </c:numRef>
          </c:val>
          <c:smooth val="0"/>
          <c:extLst>
            <c:ext xmlns:c16="http://schemas.microsoft.com/office/drawing/2014/chart" uri="{C3380CC4-5D6E-409C-BE32-E72D297353CC}">
              <c16:uniqueId val="{00000007-F3E4-4484-B6FF-B90FFBFFAA94}"/>
            </c:ext>
          </c:extLst>
        </c:ser>
        <c:ser>
          <c:idx val="4"/>
          <c:order val="4"/>
          <c:tx>
            <c:strRef>
              <c:f>'Graphs LD 2020'!$A$6</c:f>
              <c:strCache>
                <c:ptCount val="1"/>
                <c:pt idx="0">
                  <c:v>capacité théorique</c:v>
                </c:pt>
              </c:strCache>
            </c:strRef>
          </c:tx>
          <c:spPr>
            <a:ln w="28575" cap="rnd">
              <a:solidFill>
                <a:schemeClr val="tx1"/>
              </a:solidFill>
              <a:prstDash val="dash"/>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8-F3E4-4484-B6FF-B90FFBFFAA94}"/>
                </c:ext>
              </c:extLst>
            </c:dLbl>
            <c:dLbl>
              <c:idx val="1"/>
              <c:delete val="1"/>
              <c:extLst>
                <c:ext xmlns:c15="http://schemas.microsoft.com/office/drawing/2012/chart" uri="{CE6537A1-D6FC-4f65-9D91-7224C49458BB}"/>
                <c:ext xmlns:c16="http://schemas.microsoft.com/office/drawing/2014/chart" uri="{C3380CC4-5D6E-409C-BE32-E72D297353CC}">
                  <c16:uniqueId val="{00000009-F3E4-4484-B6FF-B90FFBFFAA94}"/>
                </c:ext>
              </c:extLst>
            </c:dLbl>
            <c:dLbl>
              <c:idx val="2"/>
              <c:delete val="1"/>
              <c:extLst>
                <c:ext xmlns:c15="http://schemas.microsoft.com/office/drawing/2012/chart" uri="{CE6537A1-D6FC-4f65-9D91-7224C49458BB}"/>
                <c:ext xmlns:c16="http://schemas.microsoft.com/office/drawing/2014/chart" uri="{C3380CC4-5D6E-409C-BE32-E72D297353CC}">
                  <c16:uniqueId val="{0000000A-F3E4-4484-B6FF-B90FFBFFAA94}"/>
                </c:ext>
              </c:extLst>
            </c:dLbl>
            <c:dLbl>
              <c:idx val="3"/>
              <c:delete val="1"/>
              <c:extLst>
                <c:ext xmlns:c15="http://schemas.microsoft.com/office/drawing/2012/chart" uri="{CE6537A1-D6FC-4f65-9D91-7224C49458BB}"/>
                <c:ext xmlns:c16="http://schemas.microsoft.com/office/drawing/2014/chart" uri="{C3380CC4-5D6E-409C-BE32-E72D297353CC}">
                  <c16:uniqueId val="{0000000B-F3E4-4484-B6FF-B90FFBFFAA94}"/>
                </c:ext>
              </c:extLst>
            </c:dLbl>
            <c:dLbl>
              <c:idx val="4"/>
              <c:delete val="1"/>
              <c:extLst>
                <c:ext xmlns:c15="http://schemas.microsoft.com/office/drawing/2012/chart" uri="{CE6537A1-D6FC-4f65-9D91-7224C49458BB}"/>
                <c:ext xmlns:c16="http://schemas.microsoft.com/office/drawing/2014/chart" uri="{C3380CC4-5D6E-409C-BE32-E72D297353CC}">
                  <c16:uniqueId val="{0000000C-F3E4-4484-B6FF-B90FFBFFAA94}"/>
                </c:ext>
              </c:extLst>
            </c:dLbl>
            <c:dLbl>
              <c:idx val="5"/>
              <c:delete val="1"/>
              <c:extLst>
                <c:ext xmlns:c15="http://schemas.microsoft.com/office/drawing/2012/chart" uri="{CE6537A1-D6FC-4f65-9D91-7224C49458BB}"/>
                <c:ext xmlns:c16="http://schemas.microsoft.com/office/drawing/2014/chart" uri="{C3380CC4-5D6E-409C-BE32-E72D297353CC}">
                  <c16:uniqueId val="{0000000D-F3E4-4484-B6FF-B90FFBFFAA94}"/>
                </c:ext>
              </c:extLst>
            </c:dLbl>
            <c:dLbl>
              <c:idx val="6"/>
              <c:layout>
                <c:manualLayout>
                  <c:x val="-2.5174825174825177E-2"/>
                  <c:y val="-6.253463108778069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F3E4-4484-B6FF-B90FFBFFAA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 LD 2020'!$H$1:$N$1</c:f>
              <c:strCache>
                <c:ptCount val="7"/>
                <c:pt idx="0">
                  <c:v>2018-2019</c:v>
                </c:pt>
                <c:pt idx="1">
                  <c:v>2019-2020</c:v>
                </c:pt>
                <c:pt idx="2">
                  <c:v>2020-2021</c:v>
                </c:pt>
                <c:pt idx="3">
                  <c:v>2021-2022</c:v>
                </c:pt>
                <c:pt idx="4">
                  <c:v>2022-2023</c:v>
                </c:pt>
                <c:pt idx="5">
                  <c:v>2023-2024</c:v>
                </c:pt>
                <c:pt idx="6">
                  <c:v>2024-2025</c:v>
                </c:pt>
              </c:strCache>
            </c:strRef>
          </c:cat>
          <c:val>
            <c:numRef>
              <c:f>'Graphs LD 2020'!$H$6:$N$6</c:f>
              <c:numCache>
                <c:formatCode>General</c:formatCode>
                <c:ptCount val="7"/>
                <c:pt idx="0">
                  <c:v>12400</c:v>
                </c:pt>
                <c:pt idx="1">
                  <c:v>12400</c:v>
                </c:pt>
                <c:pt idx="2">
                  <c:v>12400</c:v>
                </c:pt>
                <c:pt idx="3">
                  <c:v>12400</c:v>
                </c:pt>
                <c:pt idx="4">
                  <c:v>12400</c:v>
                </c:pt>
                <c:pt idx="5">
                  <c:v>12400</c:v>
                </c:pt>
                <c:pt idx="6">
                  <c:v>12400</c:v>
                </c:pt>
              </c:numCache>
            </c:numRef>
          </c:val>
          <c:smooth val="0"/>
          <c:extLst>
            <c:ext xmlns:c16="http://schemas.microsoft.com/office/drawing/2014/chart" uri="{C3380CC4-5D6E-409C-BE32-E72D297353CC}">
              <c16:uniqueId val="{0000000F-F3E4-4484-B6FF-B90FFBFFAA94}"/>
            </c:ext>
          </c:extLst>
        </c:ser>
        <c:dLbls>
          <c:showLegendKey val="0"/>
          <c:showVal val="0"/>
          <c:showCatName val="0"/>
          <c:showSerName val="0"/>
          <c:showPercent val="0"/>
          <c:showBubbleSize val="0"/>
        </c:dLbls>
        <c:marker val="1"/>
        <c:smooth val="0"/>
        <c:axId val="538670256"/>
        <c:axId val="538673864"/>
        <c:extLst>
          <c:ext xmlns:c15="http://schemas.microsoft.com/office/drawing/2012/chart" uri="{02D57815-91ED-43cb-92C2-25804820EDAC}">
            <c15:filteredLineSeries>
              <c15:ser>
                <c:idx val="0"/>
                <c:order val="0"/>
                <c:tx>
                  <c:strRef>
                    <c:extLst>
                      <c:ext uri="{02D57815-91ED-43cb-92C2-25804820EDAC}">
                        <c15:formulaRef>
                          <c15:sqref>'Graphs 15-10'!$A$4</c15:sqref>
                        </c15:formulaRef>
                      </c:ext>
                    </c:extLst>
                    <c:strCache>
                      <c:ptCount val="1"/>
                      <c:pt idx="0">
                        <c:v> Maternel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'Graphs 15-10'!$H$1:$N$1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c:ext uri="{02D57815-91ED-43cb-92C2-25804820EDAC}">
                        <c15:formulaRef>
                          <c15:sqref>Graphiques!#REF!</c15:sqref>
                        </c15:formulaRef>
                      </c:ext>
                    </c:extLst>
                  </c:numRef>
                </c:val>
                <c:smooth val="0"/>
                <c:extLst>
                  <c:ext xmlns:c16="http://schemas.microsoft.com/office/drawing/2014/chart" uri="{C3380CC4-5D6E-409C-BE32-E72D297353CC}">
                    <c16:uniqueId val="{00000010-F3E4-4484-B6FF-B90FFBFFAA94}"/>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'Graphs LD 2020'!$A$3</c15:sqref>
                        </c15:formulaRef>
                      </c:ext>
                    </c:extLst>
                    <c:strCache>
                      <c:ptCount val="1"/>
                      <c:pt idx="0">
                        <c:v> Primaire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'Graphs LD 2020'!$H$1:$N$1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xmlns:c15="http://schemas.microsoft.com/office/drawing/2012/chart">
                      <c:ext xmlns:c15="http://schemas.microsoft.com/office/drawing/2012/chart" uri="{02D57815-91ED-43cb-92C2-25804820EDAC}">
                        <c15:formulaRef>
                          <c15:sqref>'Graphs LD 2020'!$H$3:$N$3</c15:sqref>
                        </c15:formulaRef>
                      </c:ext>
                    </c:extLst>
                    <c:numCache>
                      <c:formatCode>General</c:formatCode>
                      <c:ptCount val="7"/>
                      <c:pt idx="0">
                        <c:v>4842</c:v>
                      </c:pt>
                      <c:pt idx="1">
                        <c:v>4956</c:v>
                      </c:pt>
                    </c:numCache>
                  </c:numRef>
                </c:val>
                <c:smooth val="0"/>
                <c:extLst xmlns:c15="http://schemas.microsoft.com/office/drawing/2012/chart">
                  <c:ext xmlns:c16="http://schemas.microsoft.com/office/drawing/2014/chart" uri="{C3380CC4-5D6E-409C-BE32-E72D297353CC}">
                    <c16:uniqueId val="{00000011-F3E4-4484-B6FF-B90FFBFFAA94}"/>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'Graphs LD 2020'!$A$2</c15:sqref>
                        </c15:formulaRef>
                      </c:ext>
                    </c:extLst>
                    <c:strCache>
                      <c:ptCount val="1"/>
                      <c:pt idx="0">
                        <c:v>Secondaire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'Graphs LD 2020'!$H$1:$N$1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xmlns:c15="http://schemas.microsoft.com/office/drawing/2012/chart">
                      <c:ext xmlns:c15="http://schemas.microsoft.com/office/drawing/2012/chart" uri="{02D57815-91ED-43cb-92C2-25804820EDAC}">
                        <c15:formulaRef>
                          <c15:sqref>'Graphs LD 2020'!$N$4</c15:sqref>
                        </c15:formulaRef>
                      </c:ext>
                    </c:extLst>
                    <c:numCache>
                      <c:formatCode>General</c:formatCode>
                      <c:ptCount val="1"/>
                    </c:numCache>
                  </c:numRef>
                </c:val>
                <c:smooth val="0"/>
                <c:extLst xmlns:c15="http://schemas.microsoft.com/office/drawing/2012/chart">
                  <c:ext xmlns:c16="http://schemas.microsoft.com/office/drawing/2014/chart" uri="{C3380CC4-5D6E-409C-BE32-E72D297353CC}">
                    <c16:uniqueId val="{00000012-F3E4-4484-B6FF-B90FFBFFAA94}"/>
                  </c:ext>
                </c:extLst>
              </c15:ser>
            </c15:filteredLineSeries>
          </c:ext>
        </c:extLst>
      </c:lineChart>
      <c:catAx>
        <c:axId val="538670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8673864"/>
        <c:crosses val="autoZero"/>
        <c:auto val="1"/>
        <c:lblAlgn val="ctr"/>
        <c:lblOffset val="100"/>
        <c:noMultiLvlLbl val="0"/>
      </c:catAx>
      <c:valAx>
        <c:axId val="538673864"/>
        <c:scaling>
          <c:orientation val="minMax"/>
          <c:min val="12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38670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5512-609C-4A98-AE61-85D7040F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3244</TotalTime>
  <Pages>33</Pages>
  <Words>9030</Words>
  <Characters>51477</Characters>
  <Application>Microsoft Office Word</Application>
  <DocSecurity>0</DocSecurity>
  <PresentationFormat>Microsoft Word 11.0</PresentationFormat>
  <Lines>428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60387</CharactersWithSpaces>
  <SharedDoc>false</SharedDoc>
  <HLinks>
    <vt:vector size="6" baseType="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MASSON Sophie</dc:creator>
  <cp:keywords>EL4</cp:keywords>
  <cp:lastModifiedBy>CHANG Evelyne (OSG)</cp:lastModifiedBy>
  <cp:revision>464</cp:revision>
  <cp:lastPrinted>2019-11-21T18:53:00Z</cp:lastPrinted>
  <dcterms:created xsi:type="dcterms:W3CDTF">2017-10-23T16:18:00Z</dcterms:created>
  <dcterms:modified xsi:type="dcterms:W3CDTF">2019-11-27T16:03:00Z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