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F6" w:rsidRPr="007F2672" w:rsidRDefault="004814F6">
      <w:pPr>
        <w:pStyle w:val="References"/>
        <w:rPr>
          <w:lang w:val="en-GB"/>
        </w:rPr>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F2672">
        <w:trPr>
          <w:trHeight w:val="1440"/>
        </w:trPr>
        <w:tc>
          <w:tcPr>
            <w:tcW w:w="5103" w:type="dxa"/>
          </w:tcPr>
          <w:p w:rsidR="005C0ACF" w:rsidRPr="007F2672" w:rsidRDefault="000E2B94" w:rsidP="00C77DE1">
            <w:pPr>
              <w:jc w:val="left"/>
              <w:rPr>
                <w:lang w:val="en-GB"/>
              </w:rPr>
            </w:pPr>
            <w:bookmarkStart w:id="0" w:name="WorDocTitle"/>
            <w:r w:rsidRPr="007F2672">
              <w:rPr>
                <w:noProof/>
                <w:lang w:val="fr-BE" w:eastAsia="fr-BE"/>
              </w:rPr>
              <w:drawing>
                <wp:inline distT="0" distB="0" distL="0" distR="0" wp14:anchorId="4E09F9FB" wp14:editId="6FC7DEFC">
                  <wp:extent cx="2385060" cy="1021080"/>
                  <wp:effectExtent l="0" t="0" r="0" b="7620"/>
                  <wp:docPr id="2" name="Picture 2" descr="C:\Users\helene.matundu_luzol\AppData\Local\Microsoft\Windows\Temporary Internet Files\Content.Outlook\8MKC54EL\Logo Schola Europaea - pour documents (2).jpg"/>
                  <wp:cNvGraphicFramePr/>
                  <a:graphic xmlns:a="http://schemas.openxmlformats.org/drawingml/2006/main">
                    <a:graphicData uri="http://schemas.openxmlformats.org/drawingml/2006/picture">
                      <pic:pic xmlns:pic="http://schemas.openxmlformats.org/drawingml/2006/picture">
                        <pic:nvPicPr>
                          <pic:cNvPr id="1" name="Picture 1" descr="C:\Users\helene.matundu_luzol\AppData\Local\Microsoft\Windows\Temporary Internet Files\Content.Outlook\8MKC54EL\Logo Schola Europaea - pour documents (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Pr>
          <w:p w:rsidR="000E2B94" w:rsidRPr="007F2672" w:rsidRDefault="000E2B94" w:rsidP="000E2B94">
            <w:pPr>
              <w:pStyle w:val="ZCom"/>
              <w:rPr>
                <w:b/>
                <w:color w:val="233E90"/>
                <w:lang w:val="en-GB"/>
              </w:rPr>
            </w:pPr>
          </w:p>
          <w:p w:rsidR="000E2B94" w:rsidRPr="007F2672" w:rsidRDefault="000E2B94" w:rsidP="000E2B94">
            <w:pPr>
              <w:pStyle w:val="ZCom"/>
              <w:rPr>
                <w:b/>
                <w:color w:val="233E90"/>
                <w:lang w:val="en-GB"/>
              </w:rPr>
            </w:pPr>
            <w:r w:rsidRPr="007F2672">
              <w:rPr>
                <w:b/>
                <w:bCs/>
                <w:color w:val="233E90"/>
                <w:lang w:val="en-GB"/>
              </w:rPr>
              <w:t>Schola Europaea</w:t>
            </w:r>
          </w:p>
          <w:p w:rsidR="000E2B94" w:rsidRPr="007F2672" w:rsidRDefault="000E2B94" w:rsidP="000E2B94">
            <w:pPr>
              <w:rPr>
                <w:color w:val="233E90"/>
                <w:lang w:val="en-GB"/>
              </w:rPr>
            </w:pPr>
          </w:p>
          <w:p w:rsidR="000E2B94" w:rsidRPr="007F2672" w:rsidRDefault="00D01B3E" w:rsidP="000E2B94">
            <w:pPr>
              <w:pStyle w:val="ZDGName"/>
              <w:rPr>
                <w:color w:val="233E90"/>
                <w:lang w:val="en-GB"/>
              </w:rPr>
            </w:pPr>
            <w:r w:rsidRPr="007F2672">
              <w:rPr>
                <w:color w:val="233E90"/>
                <w:lang w:val="en-GB"/>
              </w:rPr>
              <w:t>Office of the Secretary-General</w:t>
            </w:r>
          </w:p>
          <w:p w:rsidR="000E2B94" w:rsidRPr="007F2672" w:rsidRDefault="000E2B94" w:rsidP="000E2B94">
            <w:pPr>
              <w:pStyle w:val="ZDGName"/>
              <w:rPr>
                <w:color w:val="233E90"/>
                <w:lang w:val="en-GB"/>
              </w:rPr>
            </w:pPr>
          </w:p>
          <w:p w:rsidR="000E2B94" w:rsidRPr="007F2672" w:rsidRDefault="00D01B3E" w:rsidP="000E2B94">
            <w:pPr>
              <w:pStyle w:val="ZDGName"/>
              <w:rPr>
                <w:lang w:val="en-GB"/>
              </w:rPr>
            </w:pPr>
            <w:r w:rsidRPr="007F2672">
              <w:rPr>
                <w:color w:val="233E90"/>
                <w:lang w:val="en-GB"/>
              </w:rPr>
              <w:t>General Secretariat</w:t>
            </w:r>
          </w:p>
          <w:p w:rsidR="00DC5808" w:rsidRPr="007F2672" w:rsidRDefault="00DC5808" w:rsidP="007B5C0D">
            <w:pPr>
              <w:pStyle w:val="ZDGName"/>
              <w:rPr>
                <w:color w:val="0000FF"/>
                <w:lang w:val="en-GB"/>
              </w:rPr>
            </w:pPr>
          </w:p>
        </w:tc>
      </w:tr>
    </w:tbl>
    <w:p w:rsidR="005C0ACF" w:rsidRPr="00EC220B" w:rsidRDefault="005C0ACF" w:rsidP="005C0ACF">
      <w:pPr>
        <w:pStyle w:val="References"/>
        <w:spacing w:before="0"/>
        <w:rPr>
          <w:szCs w:val="22"/>
          <w:lang w:val="fr-BE"/>
        </w:rPr>
      </w:pPr>
      <w:r w:rsidRPr="00EC220B">
        <w:rPr>
          <w:bCs/>
          <w:szCs w:val="22"/>
          <w:lang w:val="fr-BE"/>
        </w:rPr>
        <w:t>R</w:t>
      </w:r>
      <w:r w:rsidR="00D01B3E" w:rsidRPr="00EC220B">
        <w:rPr>
          <w:bCs/>
          <w:szCs w:val="22"/>
          <w:lang w:val="fr-BE"/>
        </w:rPr>
        <w:t>ef.</w:t>
      </w:r>
      <w:r w:rsidR="008A1FD6" w:rsidRPr="00EC220B">
        <w:rPr>
          <w:bCs/>
          <w:szCs w:val="22"/>
          <w:lang w:val="fr-BE"/>
        </w:rPr>
        <w:t>: 2019-04-D-5</w:t>
      </w:r>
      <w:r w:rsidRPr="00EC220B">
        <w:rPr>
          <w:bCs/>
          <w:szCs w:val="22"/>
          <w:lang w:val="fr-BE"/>
        </w:rPr>
        <w:t>-</w:t>
      </w:r>
      <w:r w:rsidR="00D01B3E" w:rsidRPr="00EC220B">
        <w:rPr>
          <w:bCs/>
          <w:szCs w:val="22"/>
          <w:lang w:val="fr-BE"/>
        </w:rPr>
        <w:t>en</w:t>
      </w:r>
      <w:r w:rsidRPr="00EC220B">
        <w:rPr>
          <w:bCs/>
          <w:szCs w:val="22"/>
          <w:lang w:val="fr-BE"/>
        </w:rPr>
        <w:t>-1</w:t>
      </w:r>
    </w:p>
    <w:p w:rsidR="005C0ACF" w:rsidRPr="00EC220B" w:rsidRDefault="008A1FD6" w:rsidP="005C0ACF">
      <w:pPr>
        <w:pStyle w:val="References"/>
        <w:spacing w:before="0"/>
        <w:rPr>
          <w:szCs w:val="22"/>
          <w:lang w:val="fr-BE"/>
        </w:rPr>
      </w:pPr>
      <w:r w:rsidRPr="00EC220B">
        <w:rPr>
          <w:bCs/>
          <w:szCs w:val="22"/>
          <w:lang w:val="fr-BE"/>
        </w:rPr>
        <w:t>Original</w:t>
      </w:r>
      <w:r w:rsidR="00D01B3E" w:rsidRPr="00EC220B">
        <w:rPr>
          <w:bCs/>
          <w:szCs w:val="22"/>
          <w:lang w:val="fr-BE"/>
        </w:rPr>
        <w:t>: FR</w:t>
      </w:r>
    </w:p>
    <w:p w:rsidR="009E59C4" w:rsidRPr="00EC220B" w:rsidRDefault="009E59C4" w:rsidP="005C0ACF">
      <w:pPr>
        <w:pStyle w:val="References"/>
        <w:spacing w:before="0"/>
        <w:rPr>
          <w:szCs w:val="22"/>
          <w:lang w:val="fr-BE"/>
        </w:rPr>
      </w:pPr>
    </w:p>
    <w:p w:rsidR="009E59C4" w:rsidRPr="00EC220B" w:rsidRDefault="009E59C4" w:rsidP="005C0ACF">
      <w:pPr>
        <w:pStyle w:val="References"/>
        <w:spacing w:before="0"/>
        <w:rPr>
          <w:szCs w:val="22"/>
          <w:lang w:val="fr-BE"/>
        </w:rPr>
      </w:pPr>
    </w:p>
    <w:p w:rsidR="009E59C4" w:rsidRPr="00EC220B" w:rsidRDefault="00D01B3E" w:rsidP="005C0ACF">
      <w:pPr>
        <w:pStyle w:val="References"/>
        <w:spacing w:before="0"/>
        <w:rPr>
          <w:szCs w:val="22"/>
          <w:lang w:val="fr-BE"/>
        </w:rPr>
      </w:pPr>
      <w:r w:rsidRPr="00EC220B">
        <w:rPr>
          <w:bCs/>
          <w:szCs w:val="22"/>
          <w:lang w:val="fr-BE"/>
        </w:rPr>
        <w:t xml:space="preserve">ORAL </w:t>
      </w:r>
      <w:r w:rsidR="009E59C4" w:rsidRPr="00EC220B">
        <w:rPr>
          <w:bCs/>
          <w:szCs w:val="22"/>
          <w:lang w:val="fr-BE"/>
        </w:rPr>
        <w:t>COMMUNICATION</w:t>
      </w:r>
    </w:p>
    <w:p w:rsidR="005C0ACF" w:rsidRPr="007F2672" w:rsidRDefault="00C01EE3" w:rsidP="00FA2EC0">
      <w:pPr>
        <w:pStyle w:val="DocumentTitle"/>
        <w:spacing w:before="3120"/>
        <w:jc w:val="both"/>
        <w:rPr>
          <w:color w:val="003399"/>
          <w:lang w:val="en-GB"/>
        </w:rPr>
      </w:pPr>
      <w:r w:rsidRPr="007F2672">
        <w:rPr>
          <w:bCs/>
          <w:color w:val="003399"/>
          <w:lang w:val="en-GB"/>
        </w:rPr>
        <w:t xml:space="preserve">Situation </w:t>
      </w:r>
      <w:r w:rsidR="00D01B3E" w:rsidRPr="007F2672">
        <w:rPr>
          <w:bCs/>
          <w:color w:val="003399"/>
          <w:lang w:val="en-GB"/>
        </w:rPr>
        <w:t>of the European Schools in Brussels</w:t>
      </w:r>
    </w:p>
    <w:p w:rsidR="00C16BBD" w:rsidRPr="007F2672" w:rsidRDefault="00D01B3E" w:rsidP="00C16BBD">
      <w:pPr>
        <w:spacing w:before="0" w:after="720"/>
        <w:rPr>
          <w:rFonts w:eastAsia="Times"/>
          <w:b/>
          <w:lang w:val="en-GB"/>
        </w:rPr>
      </w:pPr>
      <w:r w:rsidRPr="007F2672">
        <w:rPr>
          <w:rFonts w:eastAsia="Times"/>
          <w:b/>
          <w:lang w:val="en-GB"/>
        </w:rPr>
        <w:t>Board of Governors of the European Schools</w:t>
      </w:r>
      <w:r w:rsidR="00C16BBD" w:rsidRPr="007F2672">
        <w:rPr>
          <w:rFonts w:eastAsia="Times"/>
          <w:b/>
          <w:lang w:val="en-GB"/>
        </w:rPr>
        <w:t xml:space="preserve"> </w:t>
      </w:r>
    </w:p>
    <w:p w:rsidR="00C16BBD" w:rsidRPr="007F2672" w:rsidRDefault="00D01B3E" w:rsidP="00C16BBD">
      <w:pPr>
        <w:pBdr>
          <w:bottom w:val="single" w:sz="4" w:space="1" w:color="auto"/>
        </w:pBdr>
        <w:spacing w:after="1000"/>
        <w:rPr>
          <w:rFonts w:eastAsia="Times"/>
          <w:lang w:val="en-GB"/>
        </w:rPr>
      </w:pPr>
      <w:r w:rsidRPr="007F2672">
        <w:rPr>
          <w:rFonts w:eastAsia="Times"/>
          <w:lang w:val="en-GB"/>
        </w:rPr>
        <w:t>Meeting from</w:t>
      </w:r>
      <w:r w:rsidR="00C16BBD" w:rsidRPr="007F2672">
        <w:rPr>
          <w:rFonts w:eastAsia="Times"/>
          <w:lang w:val="en-GB"/>
        </w:rPr>
        <w:t xml:space="preserve"> 9</w:t>
      </w:r>
      <w:r w:rsidRPr="007F2672">
        <w:rPr>
          <w:rFonts w:eastAsia="Times"/>
          <w:lang w:val="en-GB"/>
        </w:rPr>
        <w:t xml:space="preserve"> to 12 April </w:t>
      </w:r>
      <w:r w:rsidR="00C16BBD" w:rsidRPr="007F2672">
        <w:rPr>
          <w:rFonts w:eastAsia="Times"/>
          <w:lang w:val="en-GB"/>
        </w:rPr>
        <w:t>2019 – Ath</w:t>
      </w:r>
      <w:r w:rsidRPr="007F2672">
        <w:rPr>
          <w:rFonts w:eastAsia="Times"/>
          <w:lang w:val="en-GB"/>
        </w:rPr>
        <w:t>ens</w:t>
      </w:r>
      <w:r w:rsidR="00C16BBD" w:rsidRPr="007F2672">
        <w:rPr>
          <w:rFonts w:eastAsia="Times"/>
          <w:lang w:val="en-GB"/>
        </w:rPr>
        <w:t xml:space="preserve"> </w:t>
      </w:r>
    </w:p>
    <w:p w:rsidR="00007F79" w:rsidRPr="007F2672" w:rsidRDefault="005C0ACF" w:rsidP="007D2759">
      <w:pPr>
        <w:tabs>
          <w:tab w:val="left" w:pos="284"/>
        </w:tabs>
        <w:spacing w:before="0" w:after="240"/>
        <w:rPr>
          <w:lang w:val="en-GB"/>
        </w:rPr>
      </w:pPr>
      <w:r w:rsidRPr="007F2672">
        <w:rPr>
          <w:lang w:val="en-GB"/>
        </w:rPr>
        <w:br w:type="page"/>
      </w:r>
      <w:bookmarkEnd w:id="0"/>
    </w:p>
    <w:p w:rsidR="00007F79" w:rsidRPr="007F2672" w:rsidRDefault="00D01B3E" w:rsidP="00C01EE3">
      <w:pPr>
        <w:pStyle w:val="ListParagraph"/>
        <w:numPr>
          <w:ilvl w:val="0"/>
          <w:numId w:val="49"/>
        </w:numPr>
        <w:tabs>
          <w:tab w:val="left" w:pos="284"/>
        </w:tabs>
        <w:spacing w:before="0" w:after="240"/>
        <w:rPr>
          <w:b/>
          <w:lang w:val="en-GB"/>
        </w:rPr>
      </w:pPr>
      <w:r w:rsidRPr="007F2672">
        <w:rPr>
          <w:b/>
          <w:bCs/>
          <w:lang w:val="en-GB"/>
        </w:rPr>
        <w:t>BACKGROUND</w:t>
      </w:r>
    </w:p>
    <w:p w:rsidR="00C102F9" w:rsidRPr="007F2672" w:rsidRDefault="00C102F9" w:rsidP="00C102F9">
      <w:pPr>
        <w:tabs>
          <w:tab w:val="left" w:pos="284"/>
        </w:tabs>
        <w:spacing w:before="0" w:after="240"/>
        <w:rPr>
          <w:lang w:val="en-GB"/>
        </w:rPr>
      </w:pPr>
      <w:r w:rsidRPr="007F2672">
        <w:rPr>
          <w:lang w:val="en-GB"/>
        </w:rPr>
        <w:t>In 2010, by written procedure, the Board of Governors approved the setting-up of a fifth European School in Brussels and requested the Belgian Government to make the necessary arrangements for a school with</w:t>
      </w:r>
      <w:r w:rsidR="00B5353B">
        <w:rPr>
          <w:lang w:val="en-GB"/>
        </w:rPr>
        <w:t xml:space="preserve"> </w:t>
      </w:r>
      <w:r w:rsidRPr="007F2672">
        <w:rPr>
          <w:lang w:val="en-GB"/>
        </w:rPr>
        <w:t xml:space="preserve">capacity </w:t>
      </w:r>
      <w:r w:rsidR="00B5353B">
        <w:rPr>
          <w:lang w:val="en-GB"/>
        </w:rPr>
        <w:t xml:space="preserve">for </w:t>
      </w:r>
      <w:r w:rsidRPr="007F2672">
        <w:rPr>
          <w:lang w:val="en-GB"/>
        </w:rPr>
        <w:t>2500 pupils to be made available in September 2015, requesting the European Commission to keep the Budgetary Authorities (Council and European Parliament) informed of this proposal.</w:t>
      </w:r>
    </w:p>
    <w:p w:rsidR="00C102F9" w:rsidRPr="007F2672" w:rsidRDefault="00C102F9" w:rsidP="00C102F9">
      <w:pPr>
        <w:tabs>
          <w:tab w:val="left" w:pos="284"/>
        </w:tabs>
        <w:spacing w:before="0" w:after="240"/>
        <w:rPr>
          <w:lang w:val="en-GB"/>
        </w:rPr>
      </w:pPr>
      <w:r w:rsidRPr="007F2672">
        <w:rPr>
          <w:lang w:val="en-GB"/>
        </w:rPr>
        <w:t xml:space="preserve">On 18 December 2015, the Council of Ministers of Belgium’s Federal Government agreed to make a fifth European School available by 2019-2020, with the temporary Berkendael site continuing to operate until the new school opens. </w:t>
      </w:r>
    </w:p>
    <w:p w:rsidR="00C102F9" w:rsidRPr="007F2672" w:rsidRDefault="00C102F9" w:rsidP="00C102F9">
      <w:pPr>
        <w:tabs>
          <w:tab w:val="left" w:pos="284"/>
        </w:tabs>
        <w:spacing w:before="0" w:after="240"/>
        <w:rPr>
          <w:lang w:val="en-GB"/>
        </w:rPr>
      </w:pPr>
      <w:r w:rsidRPr="007F2672">
        <w:rPr>
          <w:lang w:val="en-GB"/>
        </w:rPr>
        <w:t>At its meeting of 1-3 December 2015, the Board of Governors approved temporary use of the  Berkendael site as an extension to the European School, Brussels I, pending opening of the European School, Brussels V.</w:t>
      </w:r>
    </w:p>
    <w:p w:rsidR="00007F79" w:rsidRPr="007F2672" w:rsidRDefault="00C102F9" w:rsidP="00007F79">
      <w:pPr>
        <w:tabs>
          <w:tab w:val="left" w:pos="284"/>
        </w:tabs>
        <w:spacing w:before="0" w:after="240"/>
        <w:rPr>
          <w:lang w:val="en-GB"/>
        </w:rPr>
      </w:pPr>
      <w:r w:rsidRPr="007F2672">
        <w:rPr>
          <w:lang w:val="en-GB"/>
        </w:rPr>
        <w:t xml:space="preserve">The Berkendael site’s intake consists of French language section pupils and of Latvian and Slovakian language section pupils, the creation of the latter two sections in the nursery and primary cycles also having been approved by the Board of Governors at its December 2015 meeting. </w:t>
      </w:r>
      <w:r w:rsidRPr="007F2672">
        <w:rPr>
          <w:rFonts w:cs="Arial"/>
          <w:szCs w:val="22"/>
          <w:lang w:val="en-GB"/>
        </w:rPr>
        <w:t>The</w:t>
      </w:r>
      <w:r w:rsidR="00D8167D" w:rsidRPr="007F2672">
        <w:rPr>
          <w:rFonts w:cs="Arial"/>
          <w:szCs w:val="22"/>
          <w:lang w:val="en-GB"/>
        </w:rPr>
        <w:t xml:space="preserve"> site </w:t>
      </w:r>
      <w:r w:rsidRPr="007F2672">
        <w:rPr>
          <w:rFonts w:cs="Arial"/>
          <w:szCs w:val="22"/>
          <w:lang w:val="en-GB"/>
        </w:rPr>
        <w:t xml:space="preserve">also accommodates a growing number of satellite classes. </w:t>
      </w:r>
      <w:r w:rsidR="00007F79" w:rsidRPr="007F2672">
        <w:rPr>
          <w:rFonts w:cs="Arial"/>
          <w:szCs w:val="22"/>
          <w:lang w:val="en-GB"/>
        </w:rPr>
        <w:t xml:space="preserve"> </w:t>
      </w:r>
    </w:p>
    <w:p w:rsidR="00545C86" w:rsidRPr="007F2672" w:rsidRDefault="00545C86" w:rsidP="00F44036">
      <w:pPr>
        <w:spacing w:before="0" w:after="240"/>
        <w:rPr>
          <w:b/>
          <w:lang w:val="en-GB"/>
        </w:rPr>
      </w:pPr>
      <w:r w:rsidRPr="007F2672">
        <w:rPr>
          <w:b/>
          <w:bCs/>
          <w:sz w:val="24"/>
          <w:szCs w:val="24"/>
          <w:lang w:val="en-GB"/>
        </w:rPr>
        <w:t xml:space="preserve">II. </w:t>
      </w:r>
      <w:r w:rsidR="00C102F9" w:rsidRPr="007F2672">
        <w:rPr>
          <w:b/>
          <w:bCs/>
          <w:sz w:val="24"/>
          <w:szCs w:val="24"/>
          <w:lang w:val="en-GB"/>
        </w:rPr>
        <w:t xml:space="preserve">The infrastructure and the </w:t>
      </w:r>
      <w:r w:rsidR="00C102F9" w:rsidRPr="007F2672">
        <w:rPr>
          <w:b/>
          <w:bCs/>
          <w:sz w:val="24"/>
          <w:szCs w:val="24"/>
          <w:u w:val="single"/>
          <w:lang w:val="en-GB"/>
        </w:rPr>
        <w:t xml:space="preserve">current pupil population of the Brussels Schools </w:t>
      </w:r>
      <w:r w:rsidRPr="007F2672">
        <w:rPr>
          <w:b/>
          <w:bCs/>
          <w:sz w:val="24"/>
          <w:szCs w:val="24"/>
          <w:u w:val="single"/>
          <w:lang w:val="en-GB"/>
        </w:rPr>
        <w:t xml:space="preserve"> </w:t>
      </w:r>
    </w:p>
    <w:p w:rsidR="00C102F9" w:rsidRPr="007F2672" w:rsidRDefault="00C102F9" w:rsidP="00F44036">
      <w:pPr>
        <w:spacing w:before="0" w:after="0"/>
        <w:rPr>
          <w:lang w:val="en-GB"/>
        </w:rPr>
      </w:pPr>
      <w:r w:rsidRPr="007F2672">
        <w:rPr>
          <w:lang w:val="en-GB"/>
        </w:rPr>
        <w:t>There are currently four European Schools (ES) in Brussels: the ES, Brussels I, the ES, Brussels II, the ES, Brussels III and the ES, Brussels IV, in addition to which there is the Berkendael temporary site as an extension to the ES, Brussels I.  </w:t>
      </w:r>
    </w:p>
    <w:p w:rsidR="00C102F9" w:rsidRPr="007F2672" w:rsidRDefault="00C102F9" w:rsidP="00F44036">
      <w:pPr>
        <w:spacing w:before="0" w:after="0"/>
        <w:rPr>
          <w:lang w:val="en-GB"/>
        </w:rPr>
      </w:pPr>
      <w:r w:rsidRPr="007F2672">
        <w:rPr>
          <w:lang w:val="en-GB"/>
        </w:rPr>
        <w:t>For some years now, the total pupil population in Brussels has been regularly increasing, at a rate of around 400 pupils per year; this year, for the first time, the increase is less than 300 pupils.</w:t>
      </w:r>
    </w:p>
    <w:p w:rsidR="00C102F9" w:rsidRPr="007F2672" w:rsidRDefault="00C102F9" w:rsidP="00F44036">
      <w:pPr>
        <w:tabs>
          <w:tab w:val="left" w:pos="284"/>
        </w:tabs>
        <w:spacing w:before="240" w:after="0"/>
        <w:rPr>
          <w:szCs w:val="22"/>
          <w:lang w:val="en-GB"/>
        </w:rPr>
      </w:pPr>
      <w:r w:rsidRPr="007F2672">
        <w:rPr>
          <w:szCs w:val="22"/>
          <w:lang w:val="en-GB"/>
        </w:rPr>
        <w:t xml:space="preserve">It can thus be seen that on 15 October 2018, the pupil population of the Brussels European Schools is continuing to grow, even though this increase is lower than in previous years, as attested by the following data: </w:t>
      </w:r>
    </w:p>
    <w:p w:rsidR="00C102F9" w:rsidRPr="007F2672" w:rsidRDefault="00C102F9" w:rsidP="00F44036">
      <w:pPr>
        <w:tabs>
          <w:tab w:val="left" w:pos="284"/>
        </w:tabs>
        <w:spacing w:before="240" w:after="0"/>
        <w:rPr>
          <w:szCs w:val="22"/>
          <w:lang w:val="en-GB"/>
        </w:rPr>
      </w:pPr>
      <w:r w:rsidRPr="007F2672">
        <w:rPr>
          <w:noProof/>
          <w:lang w:val="fr-BE" w:eastAsia="fr-BE"/>
        </w:rPr>
        <w:drawing>
          <wp:inline distT="0" distB="0" distL="0" distR="0" wp14:anchorId="2803D2A6" wp14:editId="35B4F396">
            <wp:extent cx="5760720" cy="631939"/>
            <wp:effectExtent l="0" t="0" r="0" b="0"/>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1939"/>
                    </a:xfrm>
                    <a:prstGeom prst="rect">
                      <a:avLst/>
                    </a:prstGeom>
                    <a:noFill/>
                    <a:ln>
                      <a:noFill/>
                    </a:ln>
                  </pic:spPr>
                </pic:pic>
              </a:graphicData>
            </a:graphic>
          </wp:inline>
        </w:drawing>
      </w:r>
    </w:p>
    <w:p w:rsidR="00C102F9" w:rsidRPr="007F2672" w:rsidRDefault="00C102F9" w:rsidP="00F44036">
      <w:pPr>
        <w:tabs>
          <w:tab w:val="left" w:pos="284"/>
        </w:tabs>
        <w:spacing w:before="0" w:after="0"/>
        <w:rPr>
          <w:color w:val="FF0000"/>
          <w:sz w:val="20"/>
          <w:lang w:val="en-GB"/>
        </w:rPr>
      </w:pPr>
    </w:p>
    <w:p w:rsidR="00C102F9" w:rsidRPr="007F2672" w:rsidRDefault="00C102F9" w:rsidP="00F44036">
      <w:pPr>
        <w:tabs>
          <w:tab w:val="left" w:pos="284"/>
        </w:tabs>
        <w:spacing w:before="0"/>
        <w:rPr>
          <w:rFonts w:cs="Arial"/>
          <w:szCs w:val="22"/>
          <w:lang w:val="en-GB"/>
        </w:rPr>
      </w:pPr>
      <w:r w:rsidRPr="007F2672">
        <w:rPr>
          <w:rFonts w:cs="Arial"/>
          <w:szCs w:val="22"/>
          <w:lang w:val="en-GB"/>
        </w:rPr>
        <w:t xml:space="preserve">This overall situation also needs to be taken into consideration in relation to the theoretical capacity of each school and their respective pupil numbers on 15 October 2018, appearing below:  </w:t>
      </w:r>
    </w:p>
    <w:p w:rsidR="00C102F9" w:rsidRPr="007F2672" w:rsidRDefault="00C102F9" w:rsidP="00F44036">
      <w:pPr>
        <w:tabs>
          <w:tab w:val="left" w:pos="284"/>
        </w:tabs>
        <w:spacing w:before="0"/>
        <w:rPr>
          <w:color w:val="FF0000"/>
          <w:sz w:val="20"/>
          <w:lang w:val="en-GB"/>
        </w:rPr>
      </w:pPr>
      <w:r w:rsidRPr="007F2672">
        <w:rPr>
          <w:szCs w:val="22"/>
          <w:lang w:val="en-GB"/>
        </w:rPr>
        <w:t xml:space="preserve"> </w:t>
      </w:r>
      <w:r w:rsidRPr="007F2672">
        <w:rPr>
          <w:noProof/>
          <w:lang w:val="fr-BE" w:eastAsia="fr-BE"/>
        </w:rPr>
        <w:drawing>
          <wp:inline distT="0" distB="0" distL="0" distR="0" wp14:anchorId="79F18DB1" wp14:editId="42D5B517">
            <wp:extent cx="5495925" cy="1652621"/>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0875" cy="1654109"/>
                    </a:xfrm>
                    <a:prstGeom prst="rect">
                      <a:avLst/>
                    </a:prstGeom>
                    <a:noFill/>
                    <a:ln>
                      <a:noFill/>
                    </a:ln>
                  </pic:spPr>
                </pic:pic>
              </a:graphicData>
            </a:graphic>
          </wp:inline>
        </w:drawing>
      </w:r>
      <w:r w:rsidRPr="007F2672">
        <w:rPr>
          <w:szCs w:val="22"/>
          <w:lang w:val="en-GB"/>
        </w:rPr>
        <w:br/>
        <w:t xml:space="preserve"> </w:t>
      </w:r>
      <w:r w:rsidRPr="007F2672">
        <w:rPr>
          <w:szCs w:val="22"/>
          <w:lang w:val="en-GB"/>
        </w:rPr>
        <w:tab/>
      </w:r>
      <w:r w:rsidRPr="007F2672">
        <w:rPr>
          <w:szCs w:val="22"/>
          <w:lang w:val="en-GB"/>
        </w:rPr>
        <w:tab/>
      </w:r>
      <w:r w:rsidRPr="007F2672">
        <w:rPr>
          <w:szCs w:val="22"/>
          <w:lang w:val="en-GB"/>
        </w:rPr>
        <w:tab/>
      </w:r>
    </w:p>
    <w:p w:rsidR="00545C86" w:rsidRPr="007F2672" w:rsidRDefault="00897DEE" w:rsidP="00F44036">
      <w:pPr>
        <w:tabs>
          <w:tab w:val="left" w:pos="284"/>
        </w:tabs>
        <w:rPr>
          <w:rFonts w:cs="Arial"/>
          <w:szCs w:val="22"/>
          <w:lang w:val="en-GB"/>
        </w:rPr>
      </w:pPr>
      <w:r w:rsidRPr="007F2672">
        <w:rPr>
          <w:rFonts w:cs="Arial"/>
          <w:szCs w:val="22"/>
          <w:lang w:val="en-GB"/>
        </w:rPr>
        <w:t>Details of the</w:t>
      </w:r>
      <w:r w:rsidR="005B4D32" w:rsidRPr="007F2672">
        <w:rPr>
          <w:rFonts w:cs="Arial"/>
          <w:szCs w:val="22"/>
          <w:lang w:val="en-GB"/>
        </w:rPr>
        <w:t xml:space="preserve"> </w:t>
      </w:r>
      <w:r w:rsidR="00D8167D" w:rsidRPr="007F2672">
        <w:rPr>
          <w:rFonts w:cs="Arial"/>
          <w:szCs w:val="22"/>
          <w:lang w:val="en-GB"/>
        </w:rPr>
        <w:t>situation</w:t>
      </w:r>
      <w:r w:rsidR="00545C86" w:rsidRPr="007F2672">
        <w:rPr>
          <w:rFonts w:cs="Arial"/>
          <w:szCs w:val="22"/>
          <w:lang w:val="en-GB"/>
        </w:rPr>
        <w:t xml:space="preserve"> </w:t>
      </w:r>
      <w:r w:rsidRPr="007F2672">
        <w:rPr>
          <w:rFonts w:cs="Arial"/>
          <w:szCs w:val="22"/>
          <w:lang w:val="en-GB"/>
        </w:rPr>
        <w:t>of the different Schools was already given in December</w:t>
      </w:r>
      <w:r w:rsidR="005B4D32" w:rsidRPr="007F2672">
        <w:rPr>
          <w:rFonts w:cs="Arial"/>
          <w:szCs w:val="22"/>
          <w:lang w:val="en-GB"/>
        </w:rPr>
        <w:t xml:space="preserve"> (</w:t>
      </w:r>
      <w:r w:rsidR="005B4D32" w:rsidRPr="007F2672">
        <w:rPr>
          <w:bCs/>
          <w:szCs w:val="22"/>
          <w:lang w:val="en-GB"/>
        </w:rPr>
        <w:t>2018-11-D-31).</w:t>
      </w:r>
      <w:r w:rsidR="00545C86" w:rsidRPr="007F2672">
        <w:rPr>
          <w:rFonts w:cs="Arial"/>
          <w:szCs w:val="22"/>
          <w:lang w:val="en-GB"/>
        </w:rPr>
        <w:t xml:space="preserve"> </w:t>
      </w:r>
    </w:p>
    <w:p w:rsidR="00145756" w:rsidRPr="007F2672" w:rsidRDefault="00897DEE" w:rsidP="00F44036">
      <w:pPr>
        <w:spacing w:before="0" w:after="0"/>
        <w:rPr>
          <w:lang w:val="en-GB"/>
        </w:rPr>
      </w:pPr>
      <w:r w:rsidRPr="007F2672">
        <w:rPr>
          <w:lang w:val="en-GB"/>
        </w:rPr>
        <w:t>It should be noted that on 15 October 2018, the</w:t>
      </w:r>
      <w:r w:rsidR="00545C86" w:rsidRPr="007F2672">
        <w:rPr>
          <w:lang w:val="en-GB"/>
        </w:rPr>
        <w:t xml:space="preserve"> population </w:t>
      </w:r>
      <w:r w:rsidRPr="007F2672">
        <w:rPr>
          <w:lang w:val="en-GB"/>
        </w:rPr>
        <w:t>of the Brussels European Schools already exceeded by more than 550 pupils the total capacity of the sites available</w:t>
      </w:r>
      <w:r w:rsidR="00545C86" w:rsidRPr="007F2672">
        <w:rPr>
          <w:lang w:val="en-GB"/>
        </w:rPr>
        <w:t xml:space="preserve">. </w:t>
      </w:r>
      <w:r w:rsidRPr="007F2672">
        <w:rPr>
          <w:lang w:val="en-GB"/>
        </w:rPr>
        <w:t>This</w:t>
      </w:r>
      <w:r w:rsidR="00545C86" w:rsidRPr="007F2672">
        <w:rPr>
          <w:lang w:val="en-GB"/>
        </w:rPr>
        <w:t xml:space="preserve"> situation </w:t>
      </w:r>
      <w:r w:rsidRPr="007F2672">
        <w:rPr>
          <w:lang w:val="en-GB"/>
        </w:rPr>
        <w:t xml:space="preserve">is really not ideal, especially at a time when a great deal of attention is being paid to </w:t>
      </w:r>
      <w:r w:rsidR="00B5353B">
        <w:rPr>
          <w:lang w:val="en-GB"/>
        </w:rPr>
        <w:t xml:space="preserve">the </w:t>
      </w:r>
      <w:r w:rsidRPr="007F2672">
        <w:rPr>
          <w:lang w:val="en-GB"/>
        </w:rPr>
        <w:t xml:space="preserve">safety and security of those Schools’ sites. </w:t>
      </w:r>
    </w:p>
    <w:p w:rsidR="00545C86" w:rsidRPr="007F2672" w:rsidRDefault="005B4D32" w:rsidP="00F44036">
      <w:pPr>
        <w:rPr>
          <w:lang w:val="en-GB"/>
        </w:rPr>
      </w:pPr>
      <w:r w:rsidRPr="007F2672">
        <w:rPr>
          <w:lang w:val="en-GB"/>
        </w:rPr>
        <w:t>I</w:t>
      </w:r>
      <w:r w:rsidR="00897DEE" w:rsidRPr="007F2672">
        <w:rPr>
          <w:lang w:val="en-GB"/>
        </w:rPr>
        <w:t xml:space="preserve">t remains absolutely essential to have additional infrastructure available as soon as possible. </w:t>
      </w:r>
      <w:r w:rsidR="00545C86" w:rsidRPr="007F2672">
        <w:rPr>
          <w:lang w:val="en-GB"/>
        </w:rPr>
        <w:t xml:space="preserve">  </w:t>
      </w:r>
    </w:p>
    <w:p w:rsidR="00545C86" w:rsidRPr="007F2672" w:rsidRDefault="00545C86" w:rsidP="00F44036">
      <w:pPr>
        <w:tabs>
          <w:tab w:val="left" w:pos="284"/>
        </w:tabs>
        <w:rPr>
          <w:i/>
          <w:szCs w:val="22"/>
          <w:lang w:val="en-GB"/>
        </w:rPr>
      </w:pPr>
    </w:p>
    <w:p w:rsidR="00145756" w:rsidRPr="007F2672" w:rsidRDefault="00145756" w:rsidP="00F44036">
      <w:pPr>
        <w:spacing w:before="0" w:after="240"/>
        <w:rPr>
          <w:b/>
          <w:lang w:val="en-GB"/>
        </w:rPr>
      </w:pPr>
      <w:r w:rsidRPr="007F2672">
        <w:rPr>
          <w:b/>
          <w:bCs/>
          <w:sz w:val="24"/>
          <w:szCs w:val="24"/>
          <w:lang w:val="en-GB"/>
        </w:rPr>
        <w:t xml:space="preserve">III. </w:t>
      </w:r>
      <w:r w:rsidR="00897DEE" w:rsidRPr="007F2672">
        <w:rPr>
          <w:b/>
          <w:bCs/>
          <w:sz w:val="24"/>
          <w:szCs w:val="24"/>
          <w:lang w:val="en-GB"/>
        </w:rPr>
        <w:t xml:space="preserve">Communications from the Belgian Authorities on the making available of a fifth European School in Brussels </w:t>
      </w:r>
    </w:p>
    <w:p w:rsidR="00145756" w:rsidRPr="007F2672" w:rsidRDefault="00376E95" w:rsidP="00F44036">
      <w:pPr>
        <w:tabs>
          <w:tab w:val="left" w:pos="284"/>
        </w:tabs>
        <w:rPr>
          <w:szCs w:val="22"/>
          <w:lang w:val="en-GB"/>
        </w:rPr>
      </w:pPr>
      <w:r w:rsidRPr="007F2672">
        <w:rPr>
          <w:szCs w:val="22"/>
          <w:lang w:val="en-GB"/>
        </w:rPr>
        <w:t>As a reminder</w:t>
      </w:r>
      <w:r w:rsidR="00067B67" w:rsidRPr="007F2672">
        <w:rPr>
          <w:szCs w:val="22"/>
          <w:lang w:val="en-GB"/>
        </w:rPr>
        <w:t xml:space="preserve">, </w:t>
      </w:r>
      <w:r w:rsidRPr="007F2672">
        <w:rPr>
          <w:szCs w:val="22"/>
          <w:lang w:val="en-GB"/>
        </w:rPr>
        <w:t>at its last meeting in December 2018, the Board of Governors was informed that the making available of a fifth European School would be a minimum of five years behind schedule in relation to the undertaking given by the Council of Ministers of the Belgian Federal Government, which was to make such a school available to the system by September</w:t>
      </w:r>
      <w:r w:rsidR="00067B67" w:rsidRPr="007F2672">
        <w:rPr>
          <w:szCs w:val="22"/>
          <w:lang w:val="en-GB"/>
        </w:rPr>
        <w:t xml:space="preserve"> </w:t>
      </w:r>
      <w:r w:rsidR="00145756" w:rsidRPr="007F2672">
        <w:rPr>
          <w:szCs w:val="22"/>
          <w:lang w:val="en-GB"/>
        </w:rPr>
        <w:t>2019</w:t>
      </w:r>
      <w:r w:rsidR="00D8167D" w:rsidRPr="007F2672">
        <w:rPr>
          <w:szCs w:val="22"/>
          <w:lang w:val="en-GB"/>
        </w:rPr>
        <w:t xml:space="preserve"> </w:t>
      </w:r>
      <w:r w:rsidR="00D8167D" w:rsidRPr="007F2672">
        <w:rPr>
          <w:rFonts w:cs="Arial"/>
          <w:szCs w:val="22"/>
          <w:lang w:val="en-GB"/>
        </w:rPr>
        <w:t>(</w:t>
      </w:r>
      <w:r w:rsidR="00D8167D" w:rsidRPr="007F2672">
        <w:rPr>
          <w:bCs/>
          <w:szCs w:val="22"/>
          <w:lang w:val="en-GB"/>
        </w:rPr>
        <w:t>2018-11-D-31)</w:t>
      </w:r>
      <w:r w:rsidR="00145756" w:rsidRPr="007F2672">
        <w:rPr>
          <w:szCs w:val="22"/>
          <w:lang w:val="en-GB"/>
        </w:rPr>
        <w:t>.</w:t>
      </w:r>
    </w:p>
    <w:p w:rsidR="00E74F34" w:rsidRPr="007F2672" w:rsidRDefault="00376E95" w:rsidP="00F44036">
      <w:pPr>
        <w:tabs>
          <w:tab w:val="left" w:pos="284"/>
        </w:tabs>
        <w:rPr>
          <w:szCs w:val="22"/>
          <w:lang w:val="en-GB"/>
        </w:rPr>
      </w:pPr>
      <w:r w:rsidRPr="007F2672">
        <w:rPr>
          <w:szCs w:val="22"/>
          <w:lang w:val="en-GB"/>
        </w:rPr>
        <w:t>As regards the location of the fifth School, it was confirmed that at its meeting of 5 October and on a proposal from the Ministry of Defence, the Council of Ministers of the</w:t>
      </w:r>
      <w:r w:rsidR="00F44036" w:rsidRPr="007F2672">
        <w:rPr>
          <w:szCs w:val="22"/>
          <w:lang w:val="en-GB"/>
        </w:rPr>
        <w:t xml:space="preserve"> Belgian Federal Government approved a note providing for assignment of a 4-hectare plot of land on the site of NATO’s former headquarters for the construction of a fifth European School. </w:t>
      </w:r>
      <w:r w:rsidRPr="007F2672">
        <w:rPr>
          <w:szCs w:val="22"/>
          <w:lang w:val="en-GB"/>
        </w:rPr>
        <w:t xml:space="preserve"> </w:t>
      </w:r>
    </w:p>
    <w:p w:rsidR="00067B67" w:rsidRPr="007F2672" w:rsidRDefault="00F44036" w:rsidP="00F44036">
      <w:pPr>
        <w:tabs>
          <w:tab w:val="left" w:pos="284"/>
        </w:tabs>
        <w:rPr>
          <w:szCs w:val="22"/>
          <w:lang w:val="en-GB"/>
        </w:rPr>
      </w:pPr>
      <w:r w:rsidRPr="007F2672">
        <w:rPr>
          <w:szCs w:val="22"/>
          <w:lang w:val="en-GB"/>
        </w:rPr>
        <w:t>On a proposal from the Minister charged with the</w:t>
      </w:r>
      <w:r w:rsidR="00067B67" w:rsidRPr="007F2672">
        <w:rPr>
          <w:szCs w:val="22"/>
          <w:lang w:val="en-GB"/>
        </w:rPr>
        <w:t xml:space="preserve"> </w:t>
      </w:r>
      <w:r w:rsidR="00067B67" w:rsidRPr="007F2672">
        <w:rPr>
          <w:i/>
          <w:szCs w:val="22"/>
          <w:lang w:val="en-GB"/>
        </w:rPr>
        <w:t>Régie des Bâtiments</w:t>
      </w:r>
      <w:r w:rsidRPr="007F2672">
        <w:rPr>
          <w:szCs w:val="22"/>
          <w:lang w:val="en-GB"/>
        </w:rPr>
        <w:t xml:space="preserve"> (</w:t>
      </w:r>
      <w:r w:rsidRPr="007F2672">
        <w:rPr>
          <w:i/>
          <w:szCs w:val="22"/>
          <w:lang w:val="en-GB"/>
        </w:rPr>
        <w:t>RdB</w:t>
      </w:r>
      <w:r w:rsidRPr="007F2672">
        <w:rPr>
          <w:szCs w:val="22"/>
          <w:lang w:val="en-GB"/>
        </w:rPr>
        <w:t>) (Belgian Public Buildings Authority),</w:t>
      </w:r>
      <w:r w:rsidR="00067B67" w:rsidRPr="007F2672">
        <w:rPr>
          <w:szCs w:val="22"/>
          <w:lang w:val="en-GB"/>
        </w:rPr>
        <w:t xml:space="preserve"> </w:t>
      </w:r>
      <w:r w:rsidRPr="007F2672">
        <w:rPr>
          <w:szCs w:val="22"/>
          <w:lang w:val="en-GB"/>
        </w:rPr>
        <w:t>the Council of Ministers would have to approve:</w:t>
      </w:r>
    </w:p>
    <w:p w:rsidR="00067B67" w:rsidRPr="007F2672" w:rsidRDefault="00067B67" w:rsidP="00F44036">
      <w:pPr>
        <w:tabs>
          <w:tab w:val="left" w:pos="284"/>
        </w:tabs>
        <w:rPr>
          <w:szCs w:val="22"/>
          <w:lang w:val="en-GB"/>
        </w:rPr>
      </w:pPr>
      <w:r w:rsidRPr="007F2672">
        <w:rPr>
          <w:szCs w:val="22"/>
          <w:lang w:val="en-GB"/>
        </w:rPr>
        <w:t xml:space="preserve">– </w:t>
      </w:r>
      <w:r w:rsidR="00F772CF" w:rsidRPr="007F2672">
        <w:rPr>
          <w:szCs w:val="22"/>
          <w:lang w:val="en-GB"/>
        </w:rPr>
        <w:t>the</w:t>
      </w:r>
      <w:r w:rsidRPr="007F2672">
        <w:rPr>
          <w:szCs w:val="22"/>
          <w:lang w:val="en-GB"/>
        </w:rPr>
        <w:t xml:space="preserve"> </w:t>
      </w:r>
      <w:r w:rsidR="00F772CF" w:rsidRPr="007F2672">
        <w:rPr>
          <w:szCs w:val="22"/>
          <w:lang w:val="en-GB"/>
        </w:rPr>
        <w:t xml:space="preserve">planned </w:t>
      </w:r>
      <w:r w:rsidRPr="007F2672">
        <w:rPr>
          <w:szCs w:val="22"/>
          <w:lang w:val="en-GB"/>
        </w:rPr>
        <w:t xml:space="preserve">construction </w:t>
      </w:r>
      <w:r w:rsidR="00A94CAB" w:rsidRPr="007F2672">
        <w:rPr>
          <w:szCs w:val="22"/>
          <w:lang w:val="en-GB"/>
        </w:rPr>
        <w:t>of a fifth European School on the aforementioned plot of land;</w:t>
      </w:r>
    </w:p>
    <w:p w:rsidR="00067B67" w:rsidRPr="007F2672" w:rsidRDefault="00067B67" w:rsidP="00F44036">
      <w:pPr>
        <w:tabs>
          <w:tab w:val="left" w:pos="284"/>
        </w:tabs>
        <w:rPr>
          <w:szCs w:val="22"/>
          <w:lang w:val="en-GB"/>
        </w:rPr>
      </w:pPr>
      <w:r w:rsidRPr="007F2672">
        <w:rPr>
          <w:szCs w:val="22"/>
          <w:lang w:val="en-GB"/>
        </w:rPr>
        <w:t xml:space="preserve">– </w:t>
      </w:r>
      <w:r w:rsidR="00A94CAB" w:rsidRPr="007F2672">
        <w:rPr>
          <w:szCs w:val="22"/>
          <w:lang w:val="en-GB"/>
        </w:rPr>
        <w:t xml:space="preserve">the making available to the European Schools on a definitive basis of the </w:t>
      </w:r>
      <w:r w:rsidRPr="007F2672">
        <w:rPr>
          <w:szCs w:val="22"/>
          <w:lang w:val="en-GB"/>
        </w:rPr>
        <w:t xml:space="preserve">Berkendael </w:t>
      </w:r>
      <w:r w:rsidR="00A94CAB" w:rsidRPr="007F2672">
        <w:rPr>
          <w:szCs w:val="22"/>
          <w:lang w:val="en-GB"/>
        </w:rPr>
        <w:t>site;</w:t>
      </w:r>
    </w:p>
    <w:p w:rsidR="00067B67" w:rsidRPr="007F2672" w:rsidRDefault="00067B67" w:rsidP="00F44036">
      <w:pPr>
        <w:tabs>
          <w:tab w:val="left" w:pos="284"/>
        </w:tabs>
        <w:rPr>
          <w:szCs w:val="22"/>
          <w:lang w:val="en-GB"/>
        </w:rPr>
      </w:pPr>
      <w:r w:rsidRPr="007F2672">
        <w:rPr>
          <w:szCs w:val="22"/>
          <w:lang w:val="en-GB"/>
        </w:rPr>
        <w:t xml:space="preserve">– </w:t>
      </w:r>
      <w:r w:rsidR="00A94CAB" w:rsidRPr="007F2672">
        <w:rPr>
          <w:szCs w:val="22"/>
          <w:lang w:val="en-GB"/>
        </w:rPr>
        <w:t xml:space="preserve">the </w:t>
      </w:r>
      <w:r w:rsidR="00B5353B">
        <w:rPr>
          <w:szCs w:val="22"/>
          <w:lang w:val="en-GB"/>
        </w:rPr>
        <w:t>M</w:t>
      </w:r>
      <w:r w:rsidR="00A94CAB" w:rsidRPr="007F2672">
        <w:rPr>
          <w:szCs w:val="22"/>
          <w:lang w:val="en-GB"/>
        </w:rPr>
        <w:t xml:space="preserve">emorandum of </w:t>
      </w:r>
      <w:r w:rsidR="00B5353B">
        <w:rPr>
          <w:szCs w:val="22"/>
          <w:lang w:val="en-GB"/>
        </w:rPr>
        <w:t>Un</w:t>
      </w:r>
      <w:r w:rsidR="00A94CAB" w:rsidRPr="007F2672">
        <w:rPr>
          <w:szCs w:val="22"/>
          <w:lang w:val="en-GB"/>
        </w:rPr>
        <w:t>derstanding between Commissioner</w:t>
      </w:r>
      <w:r w:rsidRPr="007F2672">
        <w:rPr>
          <w:szCs w:val="22"/>
          <w:lang w:val="en-GB"/>
        </w:rPr>
        <w:t xml:space="preserve"> Oettinger </w:t>
      </w:r>
      <w:r w:rsidR="00A94CAB" w:rsidRPr="007F2672">
        <w:rPr>
          <w:szCs w:val="22"/>
          <w:lang w:val="en-GB"/>
        </w:rPr>
        <w:t>and the Belgian Minister, Mr Geens</w:t>
      </w:r>
      <w:r w:rsidRPr="007F2672">
        <w:rPr>
          <w:szCs w:val="22"/>
          <w:lang w:val="en-GB"/>
        </w:rPr>
        <w:t>;</w:t>
      </w:r>
    </w:p>
    <w:p w:rsidR="00067B67" w:rsidRPr="007F2672" w:rsidRDefault="00067B67" w:rsidP="00F44036">
      <w:pPr>
        <w:tabs>
          <w:tab w:val="left" w:pos="284"/>
        </w:tabs>
        <w:rPr>
          <w:szCs w:val="22"/>
          <w:lang w:val="en-GB"/>
        </w:rPr>
      </w:pPr>
      <w:r w:rsidRPr="007F2672">
        <w:rPr>
          <w:szCs w:val="22"/>
          <w:lang w:val="en-GB"/>
        </w:rPr>
        <w:t xml:space="preserve">– </w:t>
      </w:r>
      <w:r w:rsidR="00A94CAB" w:rsidRPr="007F2672">
        <w:rPr>
          <w:szCs w:val="22"/>
          <w:lang w:val="en-GB"/>
        </w:rPr>
        <w:t xml:space="preserve">the implementation of a temporary solution pending construction of the fifth European School. </w:t>
      </w:r>
      <w:r w:rsidRPr="007F2672">
        <w:rPr>
          <w:szCs w:val="22"/>
          <w:lang w:val="en-GB"/>
        </w:rPr>
        <w:t xml:space="preserve"> </w:t>
      </w:r>
    </w:p>
    <w:p w:rsidR="00E74F34" w:rsidRPr="007F2672" w:rsidRDefault="000C3E8B" w:rsidP="00F44036">
      <w:pPr>
        <w:tabs>
          <w:tab w:val="left" w:pos="284"/>
        </w:tabs>
        <w:rPr>
          <w:szCs w:val="22"/>
          <w:lang w:val="en-GB"/>
        </w:rPr>
      </w:pPr>
      <w:r w:rsidRPr="007F2672">
        <w:rPr>
          <w:szCs w:val="22"/>
          <w:lang w:val="en-GB"/>
        </w:rPr>
        <w:t>As far as the temporary solution is concerned, in December, only one possibility ha</w:t>
      </w:r>
      <w:r w:rsidR="00B5353B">
        <w:rPr>
          <w:szCs w:val="22"/>
          <w:lang w:val="en-GB"/>
        </w:rPr>
        <w:t>d</w:t>
      </w:r>
      <w:r w:rsidRPr="007F2672">
        <w:rPr>
          <w:szCs w:val="22"/>
          <w:lang w:val="en-GB"/>
        </w:rPr>
        <w:t xml:space="preserve"> been proposed, namely the ‘</w:t>
      </w:r>
      <w:r w:rsidR="00B5353B" w:rsidRPr="00B5353B">
        <w:rPr>
          <w:i/>
          <w:szCs w:val="22"/>
          <w:lang w:val="en-GB"/>
        </w:rPr>
        <w:t xml:space="preserve">La </w:t>
      </w:r>
      <w:r w:rsidR="003808E0" w:rsidRPr="00B5353B">
        <w:rPr>
          <w:i/>
          <w:szCs w:val="22"/>
          <w:lang w:val="en-GB"/>
        </w:rPr>
        <w:t>T</w:t>
      </w:r>
      <w:r w:rsidR="003808E0" w:rsidRPr="007F2672">
        <w:rPr>
          <w:i/>
          <w:szCs w:val="22"/>
          <w:lang w:val="en-GB"/>
        </w:rPr>
        <w:t>résorerie</w:t>
      </w:r>
      <w:r w:rsidRPr="007F2672">
        <w:rPr>
          <w:szCs w:val="22"/>
          <w:lang w:val="en-GB"/>
        </w:rPr>
        <w:t>’</w:t>
      </w:r>
      <w:r w:rsidR="003808E0" w:rsidRPr="007F2672">
        <w:rPr>
          <w:szCs w:val="22"/>
          <w:lang w:val="en-GB"/>
        </w:rPr>
        <w:t xml:space="preserve"> </w:t>
      </w:r>
      <w:r w:rsidRPr="007F2672">
        <w:rPr>
          <w:szCs w:val="22"/>
          <w:lang w:val="en-GB"/>
        </w:rPr>
        <w:t xml:space="preserve">(‘Finances’) building </w:t>
      </w:r>
      <w:r w:rsidR="003808E0" w:rsidRPr="007F2672">
        <w:rPr>
          <w:szCs w:val="22"/>
          <w:lang w:val="en-GB"/>
        </w:rPr>
        <w:t>(</w:t>
      </w:r>
      <w:r w:rsidR="00B5353B">
        <w:rPr>
          <w:szCs w:val="22"/>
          <w:lang w:val="en-GB"/>
        </w:rPr>
        <w:t>R</w:t>
      </w:r>
      <w:r w:rsidR="003808E0" w:rsidRPr="007F2672">
        <w:rPr>
          <w:szCs w:val="22"/>
          <w:lang w:val="en-GB"/>
        </w:rPr>
        <w:t xml:space="preserve">ue du Commerce), </w:t>
      </w:r>
      <w:r w:rsidRPr="007F2672">
        <w:rPr>
          <w:szCs w:val="22"/>
          <w:lang w:val="en-GB"/>
        </w:rPr>
        <w:t>currently being rented by the</w:t>
      </w:r>
      <w:r w:rsidR="003808E0" w:rsidRPr="007F2672">
        <w:rPr>
          <w:szCs w:val="22"/>
          <w:lang w:val="en-GB"/>
        </w:rPr>
        <w:t xml:space="preserve"> </w:t>
      </w:r>
      <w:r w:rsidR="003808E0" w:rsidRPr="007F2672">
        <w:rPr>
          <w:i/>
          <w:szCs w:val="22"/>
          <w:lang w:val="en-GB"/>
        </w:rPr>
        <w:t>Régie des Bâtiments</w:t>
      </w:r>
      <w:r w:rsidR="003808E0" w:rsidRPr="007F2672">
        <w:rPr>
          <w:szCs w:val="22"/>
          <w:lang w:val="en-GB"/>
        </w:rPr>
        <w:t xml:space="preserve"> </w:t>
      </w:r>
      <w:r w:rsidRPr="007F2672">
        <w:rPr>
          <w:szCs w:val="22"/>
          <w:lang w:val="en-GB"/>
        </w:rPr>
        <w:t>until</w:t>
      </w:r>
      <w:r w:rsidR="003808E0" w:rsidRPr="007F2672">
        <w:rPr>
          <w:szCs w:val="22"/>
          <w:lang w:val="en-GB"/>
        </w:rPr>
        <w:t xml:space="preserve"> 2027 </w:t>
      </w:r>
      <w:r w:rsidRPr="007F2672">
        <w:rPr>
          <w:szCs w:val="22"/>
          <w:lang w:val="en-GB"/>
        </w:rPr>
        <w:t xml:space="preserve">and conveniently located in relation to the European </w:t>
      </w:r>
      <w:r w:rsidR="003808E0" w:rsidRPr="007F2672">
        <w:rPr>
          <w:szCs w:val="22"/>
          <w:lang w:val="en-GB"/>
        </w:rPr>
        <w:t xml:space="preserve"> institutions. </w:t>
      </w:r>
      <w:r w:rsidRPr="007F2672">
        <w:rPr>
          <w:szCs w:val="22"/>
          <w:lang w:val="en-GB"/>
        </w:rPr>
        <w:t xml:space="preserve">Given that this building currently houses offices, the possibility of converting it into a school had been studied and a change of intended use would be necessary.  </w:t>
      </w:r>
      <w:r w:rsidR="003808E0" w:rsidRPr="007F2672">
        <w:rPr>
          <w:szCs w:val="22"/>
          <w:lang w:val="en-GB"/>
        </w:rPr>
        <w:t xml:space="preserve"> </w:t>
      </w:r>
      <w:r w:rsidRPr="007F2672">
        <w:rPr>
          <w:szCs w:val="22"/>
          <w:lang w:val="en-GB"/>
        </w:rPr>
        <w:t xml:space="preserve">That building would be made available by June 2020 at the latest.  The conversion work on the building to enable the European Schools to organise teaching there would have been completed by that date. The objective was to be able to use the building in question as from the beginning of the school year on 1 September </w:t>
      </w:r>
      <w:r w:rsidR="00E74F34" w:rsidRPr="007F2672">
        <w:rPr>
          <w:szCs w:val="22"/>
          <w:lang w:val="en-GB"/>
        </w:rPr>
        <w:t>2020.</w:t>
      </w:r>
    </w:p>
    <w:p w:rsidR="007D0C69" w:rsidRPr="007F2672" w:rsidRDefault="000C3E8B" w:rsidP="00F44036">
      <w:pPr>
        <w:tabs>
          <w:tab w:val="left" w:pos="284"/>
        </w:tabs>
        <w:rPr>
          <w:szCs w:val="22"/>
          <w:lang w:val="en-GB"/>
        </w:rPr>
      </w:pPr>
      <w:r w:rsidRPr="007F2672">
        <w:rPr>
          <w:szCs w:val="22"/>
          <w:lang w:val="en-GB"/>
        </w:rPr>
        <w:t xml:space="preserve">In response to a query from the Secretary-General, the </w:t>
      </w:r>
      <w:r w:rsidR="007D0C69" w:rsidRPr="007F2672">
        <w:rPr>
          <w:i/>
          <w:szCs w:val="22"/>
          <w:lang w:val="en-GB"/>
        </w:rPr>
        <w:t>Régie des Bâtiments</w:t>
      </w:r>
      <w:r w:rsidR="007D0C69" w:rsidRPr="007F2672">
        <w:rPr>
          <w:szCs w:val="22"/>
          <w:lang w:val="en-GB"/>
        </w:rPr>
        <w:t xml:space="preserve"> </w:t>
      </w:r>
      <w:r w:rsidRPr="007F2672">
        <w:rPr>
          <w:szCs w:val="22"/>
          <w:lang w:val="en-GB"/>
        </w:rPr>
        <w:t xml:space="preserve">had said at the time that the idea of erecting prefabricated buildings on the </w:t>
      </w:r>
      <w:r w:rsidR="007F2672" w:rsidRPr="007F2672">
        <w:rPr>
          <w:szCs w:val="22"/>
          <w:lang w:val="en-GB"/>
        </w:rPr>
        <w:t xml:space="preserve">piece of land where the fifth School was expected to be built was not feasible, for at least two reasons: </w:t>
      </w:r>
    </w:p>
    <w:p w:rsidR="007D0C69" w:rsidRPr="007F2672" w:rsidRDefault="007F2672" w:rsidP="00F44036">
      <w:pPr>
        <w:pStyle w:val="ListParagraph"/>
        <w:numPr>
          <w:ilvl w:val="0"/>
          <w:numId w:val="22"/>
        </w:numPr>
        <w:tabs>
          <w:tab w:val="left" w:pos="284"/>
        </w:tabs>
        <w:rPr>
          <w:szCs w:val="22"/>
          <w:lang w:val="en-GB"/>
        </w:rPr>
      </w:pPr>
      <w:r w:rsidRPr="007F2672">
        <w:rPr>
          <w:szCs w:val="22"/>
          <w:lang w:val="en-GB"/>
        </w:rPr>
        <w:t>The cost of</w:t>
      </w:r>
      <w:r w:rsidR="007D0C69" w:rsidRPr="007F2672">
        <w:rPr>
          <w:szCs w:val="22"/>
          <w:lang w:val="en-GB"/>
        </w:rPr>
        <w:t xml:space="preserve"> construction </w:t>
      </w:r>
      <w:r w:rsidRPr="007F2672">
        <w:rPr>
          <w:szCs w:val="22"/>
          <w:lang w:val="en-GB"/>
        </w:rPr>
        <w:t xml:space="preserve">of a prefabricated school was the same as that of a school proper. </w:t>
      </w:r>
    </w:p>
    <w:p w:rsidR="007D0C69" w:rsidRPr="007F2672" w:rsidRDefault="007F2672" w:rsidP="00F44036">
      <w:pPr>
        <w:pStyle w:val="ListParagraph"/>
        <w:numPr>
          <w:ilvl w:val="0"/>
          <w:numId w:val="22"/>
        </w:numPr>
        <w:tabs>
          <w:tab w:val="left" w:pos="284"/>
        </w:tabs>
        <w:rPr>
          <w:szCs w:val="22"/>
          <w:lang w:val="en-GB"/>
        </w:rPr>
      </w:pPr>
      <w:r w:rsidRPr="007F2672">
        <w:rPr>
          <w:szCs w:val="22"/>
          <w:lang w:val="en-GB"/>
        </w:rPr>
        <w:t xml:space="preserve">It would take at least three years to make these temporary buildings available. </w:t>
      </w:r>
      <w:r w:rsidR="007D0C69" w:rsidRPr="007F2672">
        <w:rPr>
          <w:szCs w:val="22"/>
          <w:lang w:val="en-GB"/>
        </w:rPr>
        <w:t xml:space="preserve"> </w:t>
      </w:r>
    </w:p>
    <w:p w:rsidR="007B3B8F" w:rsidRPr="007F2672" w:rsidRDefault="007B3B8F" w:rsidP="00F44036">
      <w:pPr>
        <w:rPr>
          <w:lang w:val="en-GB"/>
        </w:rPr>
      </w:pPr>
      <w:r w:rsidRPr="007F2672">
        <w:rPr>
          <w:lang w:val="en-GB"/>
        </w:rPr>
        <w:t xml:space="preserve">During two </w:t>
      </w:r>
      <w:r w:rsidR="00F418FD" w:rsidRPr="007F2672">
        <w:rPr>
          <w:lang w:val="en-GB"/>
        </w:rPr>
        <w:t>recent</w:t>
      </w:r>
      <w:r w:rsidRPr="007F2672">
        <w:rPr>
          <w:lang w:val="en-GB"/>
        </w:rPr>
        <w:t xml:space="preserve"> meetings of the </w:t>
      </w:r>
      <w:r w:rsidR="00897DEE" w:rsidRPr="007F2672">
        <w:rPr>
          <w:lang w:val="en-GB"/>
        </w:rPr>
        <w:t xml:space="preserve">Brussels </w:t>
      </w:r>
      <w:r w:rsidRPr="007F2672">
        <w:rPr>
          <w:lang w:val="en-GB"/>
        </w:rPr>
        <w:t xml:space="preserve">Steering Committee organised in March, the Representatives of the </w:t>
      </w:r>
      <w:r w:rsidRPr="007F2672">
        <w:rPr>
          <w:i/>
          <w:lang w:val="en-GB"/>
        </w:rPr>
        <w:t>RdB</w:t>
      </w:r>
      <w:r w:rsidR="00F44036" w:rsidRPr="007F2672">
        <w:rPr>
          <w:lang w:val="en-GB"/>
        </w:rPr>
        <w:t xml:space="preserve"> </w:t>
      </w:r>
      <w:r w:rsidRPr="007F2672">
        <w:rPr>
          <w:lang w:val="en-GB"/>
        </w:rPr>
        <w:t>pointed out that the expected date of availability of the temporary site at the ‘Finances’ building location (September 2020) might not be respected</w:t>
      </w:r>
      <w:r w:rsidR="00D8167D" w:rsidRPr="007F2672">
        <w:rPr>
          <w:lang w:val="en-GB"/>
        </w:rPr>
        <w:t>,</w:t>
      </w:r>
      <w:r w:rsidRPr="007F2672">
        <w:rPr>
          <w:lang w:val="en-GB"/>
        </w:rPr>
        <w:t xml:space="preserve"> should a decision by the Council of Ministers of the Belgian Federal Government not have been taken by the end of April 2019. Moreover, the building’s landlord has requested reassurances regarding the possibility of the building’s reverting to its current intended use at the end of its transitional use by the European Schools. The Regional authorities, which are in charge of issuing permits, have refused to give the landlord a guarantee  that the building’s intended use could revert to ‘offices’ after its temporary use as a school has ended. Although the </w:t>
      </w:r>
      <w:r w:rsidRPr="007F2672">
        <w:rPr>
          <w:i/>
          <w:lang w:val="en-GB"/>
        </w:rPr>
        <w:t>RdB</w:t>
      </w:r>
      <w:r w:rsidRPr="007F2672">
        <w:rPr>
          <w:lang w:val="en-GB"/>
        </w:rPr>
        <w:t xml:space="preserve"> will continue negotiations with the Brussels-Capital Region and the landlord, there is a real risk of failing to obtain the ‘Finances’ building for the temporary site.</w:t>
      </w:r>
    </w:p>
    <w:p w:rsidR="007B3B8F" w:rsidRPr="007F2672" w:rsidRDefault="007B3B8F" w:rsidP="00F44036">
      <w:pPr>
        <w:rPr>
          <w:lang w:val="en-GB"/>
        </w:rPr>
      </w:pPr>
      <w:r w:rsidRPr="007F2672">
        <w:rPr>
          <w:lang w:val="en-GB"/>
        </w:rPr>
        <w:t xml:space="preserve">So, the </w:t>
      </w:r>
      <w:r w:rsidRPr="007F2672">
        <w:rPr>
          <w:i/>
          <w:lang w:val="en-GB"/>
        </w:rPr>
        <w:t>RdB</w:t>
      </w:r>
      <w:r w:rsidRPr="007F2672">
        <w:rPr>
          <w:lang w:val="en-GB"/>
        </w:rPr>
        <w:t>, without a clear political mandate, have inquired into the possibility of having a temporary site on a piece of land on the former NATO site. It was confirmed by the Defence Ministry, the owner of the land, that it would be feasible to use a well-located piece of land.</w:t>
      </w:r>
      <w:r w:rsidR="00D8167D" w:rsidRPr="007F2672">
        <w:rPr>
          <w:lang w:val="en-GB"/>
        </w:rPr>
        <w:t xml:space="preserve"> </w:t>
      </w:r>
      <w:r w:rsidRPr="007F2672">
        <w:rPr>
          <w:lang w:val="en-GB"/>
        </w:rPr>
        <w:t>The</w:t>
      </w:r>
      <w:r w:rsidRPr="007F2672">
        <w:rPr>
          <w:i/>
          <w:lang w:val="en-GB"/>
        </w:rPr>
        <w:t xml:space="preserve"> RdB</w:t>
      </w:r>
      <w:r w:rsidRPr="007F2672">
        <w:rPr>
          <w:lang w:val="en-GB"/>
        </w:rPr>
        <w:t xml:space="preserve"> Management has started exploring this avenue, in parallel with the ‘Finances’ building one. </w:t>
      </w:r>
    </w:p>
    <w:p w:rsidR="007B3B8F" w:rsidRPr="007F2672" w:rsidRDefault="007B3B8F" w:rsidP="00F44036">
      <w:pPr>
        <w:rPr>
          <w:lang w:val="en-GB"/>
        </w:rPr>
      </w:pPr>
      <w:r w:rsidRPr="007F2672">
        <w:rPr>
          <w:lang w:val="en-GB"/>
        </w:rPr>
        <w:t>The proposal is to build a temporary school using prefabricated units</w:t>
      </w:r>
      <w:r w:rsidR="00D8167D" w:rsidRPr="007F2672">
        <w:rPr>
          <w:lang w:val="en-GB"/>
        </w:rPr>
        <w:t>,</w:t>
      </w:r>
      <w:r w:rsidRPr="007F2672">
        <w:rPr>
          <w:lang w:val="en-GB"/>
        </w:rPr>
        <w:t xml:space="preserve"> on part of the old NATO premises. This is also to be the site of the </w:t>
      </w:r>
      <w:r w:rsidR="00897DEE" w:rsidRPr="007F2672">
        <w:rPr>
          <w:lang w:val="en-GB"/>
        </w:rPr>
        <w:t>fifth</w:t>
      </w:r>
      <w:r w:rsidRPr="007F2672">
        <w:rPr>
          <w:lang w:val="en-GB"/>
        </w:rPr>
        <w:t xml:space="preserve"> European School</w:t>
      </w:r>
      <w:r w:rsidR="00D8167D" w:rsidRPr="007F2672">
        <w:rPr>
          <w:lang w:val="en-GB"/>
        </w:rPr>
        <w:t xml:space="preserve"> (EEB5)</w:t>
      </w:r>
      <w:r w:rsidRPr="007F2672">
        <w:rPr>
          <w:lang w:val="en-GB"/>
        </w:rPr>
        <w:t xml:space="preserve">, </w:t>
      </w:r>
      <w:r w:rsidR="00897DEE" w:rsidRPr="007F2672">
        <w:rPr>
          <w:lang w:val="en-GB"/>
        </w:rPr>
        <w:t>meaning that</w:t>
      </w:r>
      <w:r w:rsidRPr="007F2672">
        <w:rPr>
          <w:lang w:val="en-GB"/>
        </w:rPr>
        <w:t xml:space="preserve"> this is an ideal location as pupils</w:t>
      </w:r>
      <w:r w:rsidR="00D8167D" w:rsidRPr="007F2672">
        <w:rPr>
          <w:lang w:val="en-GB"/>
        </w:rPr>
        <w:t xml:space="preserve"> could</w:t>
      </w:r>
      <w:r w:rsidRPr="007F2672">
        <w:rPr>
          <w:lang w:val="en-GB"/>
        </w:rPr>
        <w:t xml:space="preserve"> </w:t>
      </w:r>
      <w:r w:rsidR="00D8167D" w:rsidRPr="007F2672">
        <w:rPr>
          <w:lang w:val="en-GB"/>
        </w:rPr>
        <w:t xml:space="preserve">eventually </w:t>
      </w:r>
      <w:r w:rsidRPr="007F2672">
        <w:rPr>
          <w:lang w:val="en-GB"/>
        </w:rPr>
        <w:t xml:space="preserve">transfer easily from the prefabricated units to </w:t>
      </w:r>
      <w:r w:rsidR="00D8167D" w:rsidRPr="007F2672">
        <w:rPr>
          <w:lang w:val="en-GB"/>
        </w:rPr>
        <w:t>EEB5,</w:t>
      </w:r>
      <w:r w:rsidRPr="007F2672">
        <w:rPr>
          <w:lang w:val="en-GB"/>
        </w:rPr>
        <w:t xml:space="preserve"> once construction is complete. </w:t>
      </w:r>
      <w:r w:rsidR="00897DEE" w:rsidRPr="007F2672">
        <w:rPr>
          <w:lang w:val="en-GB"/>
        </w:rPr>
        <w:t xml:space="preserve">The </w:t>
      </w:r>
      <w:r w:rsidRPr="007F2672">
        <w:rPr>
          <w:i/>
          <w:lang w:val="en-GB"/>
        </w:rPr>
        <w:t xml:space="preserve">RdB </w:t>
      </w:r>
      <w:r w:rsidR="00FC54F7" w:rsidRPr="007F2672">
        <w:rPr>
          <w:lang w:val="en-GB"/>
        </w:rPr>
        <w:t xml:space="preserve">has </w:t>
      </w:r>
      <w:r w:rsidRPr="007F2672">
        <w:rPr>
          <w:lang w:val="en-GB"/>
        </w:rPr>
        <w:t>informed</w:t>
      </w:r>
      <w:r w:rsidR="00FC54F7" w:rsidRPr="007F2672">
        <w:rPr>
          <w:lang w:val="en-GB"/>
        </w:rPr>
        <w:t xml:space="preserve"> us</w:t>
      </w:r>
      <w:r w:rsidRPr="007F2672">
        <w:rPr>
          <w:lang w:val="en-GB"/>
        </w:rPr>
        <w:t xml:space="preserve"> that although there are existing prefabricated units on that land, they are not suitable for conversion into a school, so </w:t>
      </w:r>
      <w:r w:rsidR="00FC54F7" w:rsidRPr="007F2672">
        <w:rPr>
          <w:lang w:val="en-GB"/>
        </w:rPr>
        <w:t xml:space="preserve">they </w:t>
      </w:r>
      <w:r w:rsidRPr="007F2672">
        <w:rPr>
          <w:lang w:val="en-GB"/>
        </w:rPr>
        <w:t>will be completely removed and replaced by a structure purpose</w:t>
      </w:r>
      <w:r w:rsidR="00FC54F7" w:rsidRPr="007F2672">
        <w:rPr>
          <w:lang w:val="en-GB"/>
        </w:rPr>
        <w:t>-</w:t>
      </w:r>
      <w:r w:rsidRPr="007F2672">
        <w:rPr>
          <w:lang w:val="en-GB"/>
        </w:rPr>
        <w:t>built for schooling.  </w:t>
      </w:r>
    </w:p>
    <w:p w:rsidR="007B3B8F" w:rsidRPr="007F2672" w:rsidRDefault="007B3B8F" w:rsidP="00F44036">
      <w:pPr>
        <w:rPr>
          <w:lang w:val="en-GB"/>
        </w:rPr>
      </w:pPr>
      <w:r w:rsidRPr="007F2672">
        <w:rPr>
          <w:lang w:val="en-GB"/>
        </w:rPr>
        <w:t xml:space="preserve">The </w:t>
      </w:r>
      <w:r w:rsidR="00FC54F7" w:rsidRPr="007F2672">
        <w:rPr>
          <w:lang w:val="en-GB"/>
        </w:rPr>
        <w:t>S</w:t>
      </w:r>
      <w:r w:rsidRPr="007F2672">
        <w:rPr>
          <w:lang w:val="en-GB"/>
        </w:rPr>
        <w:t xml:space="preserve">teering </w:t>
      </w:r>
      <w:r w:rsidR="00FC54F7" w:rsidRPr="007F2672">
        <w:rPr>
          <w:lang w:val="en-GB"/>
        </w:rPr>
        <w:t>C</w:t>
      </w:r>
      <w:r w:rsidRPr="007F2672">
        <w:rPr>
          <w:lang w:val="en-GB"/>
        </w:rPr>
        <w:t xml:space="preserve">ommittee welcomed this proposal and agreed to accept it. It was felt to be a better solution than the Rue du Commerce site, because it can be built to meet all the requirements of a school and could act as the kernel from which the </w:t>
      </w:r>
      <w:r w:rsidR="00FC54F7" w:rsidRPr="007F2672">
        <w:rPr>
          <w:lang w:val="en-GB"/>
        </w:rPr>
        <w:t>fif</w:t>
      </w:r>
      <w:r w:rsidRPr="007F2672">
        <w:rPr>
          <w:lang w:val="en-GB"/>
        </w:rPr>
        <w:t xml:space="preserve">th school can grow and develop. It is also easily accessible by school bus transport, since according to the </w:t>
      </w:r>
      <w:r w:rsidRPr="007F2672">
        <w:rPr>
          <w:i/>
          <w:lang w:val="en-GB"/>
        </w:rPr>
        <w:t>RdB</w:t>
      </w:r>
      <w:r w:rsidRPr="007F2672">
        <w:rPr>
          <w:lang w:val="en-GB"/>
        </w:rPr>
        <w:t xml:space="preserve">, the piece of land is large enough to accommodate a bus park. According to </w:t>
      </w:r>
      <w:r w:rsidR="00FC54F7" w:rsidRPr="007F2672">
        <w:rPr>
          <w:lang w:val="en-GB"/>
        </w:rPr>
        <w:t xml:space="preserve">the </w:t>
      </w:r>
      <w:r w:rsidRPr="007F2672">
        <w:rPr>
          <w:i/>
          <w:lang w:val="en-GB"/>
        </w:rPr>
        <w:t>RdB</w:t>
      </w:r>
      <w:r w:rsidRPr="007F2672">
        <w:rPr>
          <w:lang w:val="en-GB"/>
        </w:rPr>
        <w:t xml:space="preserve">, NATO sports facilities could be made available to pupils, so that there would be no need to build sport facilities. The Steering </w:t>
      </w:r>
      <w:r w:rsidR="00FC54F7" w:rsidRPr="007F2672">
        <w:rPr>
          <w:lang w:val="en-GB"/>
        </w:rPr>
        <w:t>Committee</w:t>
      </w:r>
      <w:r w:rsidRPr="007F2672">
        <w:rPr>
          <w:lang w:val="en-GB"/>
        </w:rPr>
        <w:t xml:space="preserve"> agreed that the NATO temporary site would be more suitable to accommodate Nursery and Primary level pupils. </w:t>
      </w:r>
    </w:p>
    <w:p w:rsidR="007B3B8F" w:rsidRPr="007F2672" w:rsidRDefault="007B3B8F" w:rsidP="00F44036">
      <w:pPr>
        <w:rPr>
          <w:lang w:val="en-GB"/>
        </w:rPr>
      </w:pPr>
      <w:r w:rsidRPr="007F2672">
        <w:rPr>
          <w:lang w:val="en-GB"/>
        </w:rPr>
        <w:t xml:space="preserve">The </w:t>
      </w:r>
      <w:r w:rsidRPr="007F2672">
        <w:rPr>
          <w:i/>
          <w:lang w:val="en-GB"/>
        </w:rPr>
        <w:t>RdB</w:t>
      </w:r>
      <w:r w:rsidRPr="007F2672">
        <w:rPr>
          <w:lang w:val="en-GB"/>
        </w:rPr>
        <w:t xml:space="preserve"> </w:t>
      </w:r>
      <w:r w:rsidR="00FC54F7" w:rsidRPr="007F2672">
        <w:rPr>
          <w:lang w:val="en-GB"/>
        </w:rPr>
        <w:t>did, however, issue</w:t>
      </w:r>
      <w:r w:rsidRPr="007F2672">
        <w:rPr>
          <w:lang w:val="en-GB"/>
        </w:rPr>
        <w:t xml:space="preserve"> </w:t>
      </w:r>
      <w:r w:rsidR="00FC54F7" w:rsidRPr="007F2672">
        <w:rPr>
          <w:lang w:val="en-GB"/>
        </w:rPr>
        <w:t>a</w:t>
      </w:r>
      <w:r w:rsidRPr="007F2672">
        <w:rPr>
          <w:lang w:val="en-GB"/>
        </w:rPr>
        <w:t xml:space="preserve"> caveat; the site will not be ready until September 2021 and  will, like Rue d</w:t>
      </w:r>
      <w:r w:rsidR="00B5353B">
        <w:rPr>
          <w:lang w:val="en-GB"/>
        </w:rPr>
        <w:t>u</w:t>
      </w:r>
      <w:r w:rsidRPr="007F2672">
        <w:rPr>
          <w:lang w:val="en-GB"/>
        </w:rPr>
        <w:t xml:space="preserve"> Commerce, be for a total population of 1000 pupils. The  2020 horizon for a temporary site is already critical for enrolments; 2021 would merely exacerbate the situation.</w:t>
      </w:r>
    </w:p>
    <w:p w:rsidR="007B3B8F" w:rsidRPr="007F2672" w:rsidRDefault="007B3B8F" w:rsidP="00F44036">
      <w:pPr>
        <w:rPr>
          <w:lang w:val="en-GB"/>
        </w:rPr>
      </w:pPr>
      <w:r w:rsidRPr="007F2672">
        <w:rPr>
          <w:lang w:val="en-GB"/>
        </w:rPr>
        <w:t xml:space="preserve">So the </w:t>
      </w:r>
      <w:r w:rsidR="00FC54F7" w:rsidRPr="007F2672">
        <w:rPr>
          <w:lang w:val="en-GB"/>
        </w:rPr>
        <w:t>S</w:t>
      </w:r>
      <w:r w:rsidRPr="007F2672">
        <w:rPr>
          <w:lang w:val="en-GB"/>
        </w:rPr>
        <w:t xml:space="preserve">teering </w:t>
      </w:r>
      <w:r w:rsidR="00FC54F7" w:rsidRPr="007F2672">
        <w:rPr>
          <w:lang w:val="en-GB"/>
        </w:rPr>
        <w:t>C</w:t>
      </w:r>
      <w:r w:rsidRPr="007F2672">
        <w:rPr>
          <w:lang w:val="en-GB"/>
        </w:rPr>
        <w:t xml:space="preserve">ommittee recommended that the capacity </w:t>
      </w:r>
      <w:r w:rsidR="00FC54F7" w:rsidRPr="007F2672">
        <w:rPr>
          <w:lang w:val="en-GB"/>
        </w:rPr>
        <w:t>be</w:t>
      </w:r>
      <w:r w:rsidRPr="007F2672">
        <w:rPr>
          <w:lang w:val="en-GB"/>
        </w:rPr>
        <w:t xml:space="preserve"> increased to 1500 pupils. </w:t>
      </w:r>
    </w:p>
    <w:p w:rsidR="007B3B8F" w:rsidRPr="007F2672" w:rsidRDefault="007B3B8F" w:rsidP="00F44036">
      <w:pPr>
        <w:rPr>
          <w:lang w:val="en-GB"/>
        </w:rPr>
      </w:pPr>
      <w:r w:rsidRPr="007F2672">
        <w:rPr>
          <w:lang w:val="en-GB"/>
        </w:rPr>
        <w:t xml:space="preserve">Each year there is a need for </w:t>
      </w:r>
      <w:r w:rsidR="00B73FC9" w:rsidRPr="007F2672">
        <w:rPr>
          <w:lang w:val="en-GB"/>
        </w:rPr>
        <w:t xml:space="preserve">some </w:t>
      </w:r>
      <w:r w:rsidRPr="007F2672">
        <w:rPr>
          <w:lang w:val="en-GB"/>
        </w:rPr>
        <w:t xml:space="preserve">300 additional places in the Brussels </w:t>
      </w:r>
      <w:r w:rsidR="00FC54F7" w:rsidRPr="007F2672">
        <w:rPr>
          <w:lang w:val="en-GB"/>
        </w:rPr>
        <w:t>S</w:t>
      </w:r>
      <w:r w:rsidRPr="007F2672">
        <w:rPr>
          <w:lang w:val="en-GB"/>
        </w:rPr>
        <w:t xml:space="preserve">chools, so by 2026, when </w:t>
      </w:r>
      <w:r w:rsidR="00B73FC9" w:rsidRPr="007F2672">
        <w:rPr>
          <w:lang w:val="en-GB"/>
        </w:rPr>
        <w:t>EEB5</w:t>
      </w:r>
      <w:r w:rsidRPr="007F2672">
        <w:rPr>
          <w:lang w:val="en-GB"/>
        </w:rPr>
        <w:t xml:space="preserve"> is now scheduled to open, there will most probably be 2100 additional pupils</w:t>
      </w:r>
      <w:r w:rsidR="00376E95" w:rsidRPr="007F2672">
        <w:rPr>
          <w:lang w:val="en-GB"/>
        </w:rPr>
        <w:t xml:space="preserve">. </w:t>
      </w:r>
      <w:r w:rsidRPr="007F2672">
        <w:rPr>
          <w:lang w:val="en-GB"/>
        </w:rPr>
        <w:t xml:space="preserve">Some 500 pupils can still be </w:t>
      </w:r>
      <w:r w:rsidR="00FC54F7" w:rsidRPr="007F2672">
        <w:rPr>
          <w:lang w:val="en-GB"/>
        </w:rPr>
        <w:t>enrolled</w:t>
      </w:r>
      <w:r w:rsidRPr="007F2672">
        <w:rPr>
          <w:lang w:val="en-GB"/>
        </w:rPr>
        <w:t xml:space="preserve"> at Berkendael, if the </w:t>
      </w:r>
      <w:r w:rsidR="00FC54F7" w:rsidRPr="007F2672">
        <w:rPr>
          <w:lang w:val="en-GB"/>
        </w:rPr>
        <w:t>‘</w:t>
      </w:r>
      <w:r w:rsidRPr="007F2672">
        <w:rPr>
          <w:lang w:val="en-GB"/>
        </w:rPr>
        <w:t>Halsdorf</w:t>
      </w:r>
      <w:r w:rsidR="00FC54F7" w:rsidRPr="007F2672">
        <w:rPr>
          <w:lang w:val="en-GB"/>
        </w:rPr>
        <w:t>’</w:t>
      </w:r>
      <w:r w:rsidRPr="007F2672">
        <w:rPr>
          <w:lang w:val="en-GB"/>
        </w:rPr>
        <w:t xml:space="preserve"> building (with a capacity </w:t>
      </w:r>
      <w:r w:rsidR="007F2672" w:rsidRPr="007F2672">
        <w:rPr>
          <w:lang w:val="en-GB"/>
        </w:rPr>
        <w:t>of around</w:t>
      </w:r>
      <w:r w:rsidRPr="007F2672">
        <w:rPr>
          <w:lang w:val="en-GB"/>
        </w:rPr>
        <w:t xml:space="preserve"> 120-150 pupil</w:t>
      </w:r>
      <w:r w:rsidR="00B73FC9" w:rsidRPr="007F2672">
        <w:rPr>
          <w:lang w:val="en-GB"/>
        </w:rPr>
        <w:t>s) could be used;</w:t>
      </w:r>
      <w:r w:rsidRPr="007F2672">
        <w:rPr>
          <w:lang w:val="en-GB"/>
        </w:rPr>
        <w:t xml:space="preserve"> there is no space for the re</w:t>
      </w:r>
      <w:r w:rsidR="00FC54F7" w:rsidRPr="007F2672">
        <w:rPr>
          <w:lang w:val="en-GB"/>
        </w:rPr>
        <w:t>mainder</w:t>
      </w:r>
      <w:r w:rsidR="00B73FC9" w:rsidRPr="007F2672">
        <w:rPr>
          <w:lang w:val="en-GB"/>
        </w:rPr>
        <w:t>,</w:t>
      </w:r>
      <w:r w:rsidRPr="007F2672">
        <w:rPr>
          <w:lang w:val="en-GB"/>
        </w:rPr>
        <w:t xml:space="preserve"> unless additional capacity is provided. </w:t>
      </w:r>
    </w:p>
    <w:p w:rsidR="007B3B8F" w:rsidRPr="007F2672" w:rsidRDefault="007B3B8F" w:rsidP="00F44036">
      <w:pPr>
        <w:rPr>
          <w:lang w:val="en-GB"/>
        </w:rPr>
      </w:pPr>
      <w:r w:rsidRPr="007F2672">
        <w:rPr>
          <w:lang w:val="en-GB"/>
        </w:rPr>
        <w:t xml:space="preserve">I have also been requested to </w:t>
      </w:r>
      <w:r w:rsidR="00D90A7D" w:rsidRPr="007F2672">
        <w:rPr>
          <w:lang w:val="en-GB"/>
        </w:rPr>
        <w:t>provide</w:t>
      </w:r>
      <w:r w:rsidRPr="007F2672">
        <w:rPr>
          <w:lang w:val="en-GB"/>
        </w:rPr>
        <w:t xml:space="preserve"> a set of requirements for the facilities needed for a Primary and Nursery school on the NATO site.</w:t>
      </w:r>
    </w:p>
    <w:p w:rsidR="00D90A7D" w:rsidRPr="007F2672" w:rsidRDefault="00D90A7D" w:rsidP="00F44036">
      <w:pPr>
        <w:rPr>
          <w:lang w:val="en-GB"/>
        </w:rPr>
      </w:pPr>
      <w:r w:rsidRPr="007F2672">
        <w:rPr>
          <w:lang w:val="en-GB"/>
        </w:rPr>
        <w:t xml:space="preserve">The </w:t>
      </w:r>
      <w:r w:rsidRPr="007F2672">
        <w:rPr>
          <w:i/>
          <w:lang w:val="en-GB"/>
        </w:rPr>
        <w:t>RdB</w:t>
      </w:r>
      <w:r w:rsidRPr="007F2672">
        <w:rPr>
          <w:lang w:val="en-GB"/>
        </w:rPr>
        <w:t xml:space="preserve"> also announced that the date for the making available of the EEB5 had now become September 2026, since a decision could not be taken by the Council of Ministers by the end of March 2019.</w:t>
      </w:r>
    </w:p>
    <w:p w:rsidR="007B3B8F" w:rsidRPr="007F2672" w:rsidRDefault="00FC54F7" w:rsidP="00F44036">
      <w:pPr>
        <w:rPr>
          <w:lang w:val="en-GB"/>
        </w:rPr>
      </w:pPr>
      <w:r w:rsidRPr="007F2672">
        <w:rPr>
          <w:lang w:val="en-GB"/>
        </w:rPr>
        <w:t xml:space="preserve">The Steering </w:t>
      </w:r>
      <w:r w:rsidR="00376E95" w:rsidRPr="007F2672">
        <w:rPr>
          <w:lang w:val="en-GB"/>
        </w:rPr>
        <w:t xml:space="preserve">Committee </w:t>
      </w:r>
      <w:r w:rsidRPr="007F2672">
        <w:rPr>
          <w:lang w:val="en-GB"/>
        </w:rPr>
        <w:t xml:space="preserve"> regrets that in six months (from the 5 October 2018 decision of the Council of Ministers on the EEB5’s location), it has not been possible for any real steps forward to be taken and that even the date for the EEB5 has been deferred by two years (from September 2024 to 2026).</w:t>
      </w:r>
    </w:p>
    <w:p w:rsidR="007B3B8F" w:rsidRPr="007F2672" w:rsidRDefault="007B3B8F" w:rsidP="00F44036">
      <w:pPr>
        <w:rPr>
          <w:lang w:val="en-GB"/>
        </w:rPr>
      </w:pPr>
      <w:r w:rsidRPr="007F2672">
        <w:rPr>
          <w:lang w:val="en-GB"/>
        </w:rPr>
        <w:t xml:space="preserve">The </w:t>
      </w:r>
      <w:r w:rsidRPr="007F2672">
        <w:rPr>
          <w:i/>
          <w:lang w:val="en-GB"/>
        </w:rPr>
        <w:t xml:space="preserve">RdB </w:t>
      </w:r>
      <w:r w:rsidRPr="007F2672">
        <w:rPr>
          <w:lang w:val="en-GB"/>
        </w:rPr>
        <w:t xml:space="preserve"> now </w:t>
      </w:r>
      <w:r w:rsidR="00FC54F7" w:rsidRPr="007F2672">
        <w:rPr>
          <w:lang w:val="en-GB"/>
        </w:rPr>
        <w:t xml:space="preserve">has </w:t>
      </w:r>
      <w:r w:rsidRPr="007F2672">
        <w:rPr>
          <w:lang w:val="en-GB"/>
        </w:rPr>
        <w:t xml:space="preserve">to produce a detailed analysis of the two options (the ‘Finances’  and the ‘NATO’ temporary sites) by the end of March 2019, for the use of its internal hierarchy. </w:t>
      </w:r>
    </w:p>
    <w:p w:rsidR="00FC54F7" w:rsidRPr="007F2672" w:rsidRDefault="00FC54F7" w:rsidP="00F44036">
      <w:pPr>
        <w:rPr>
          <w:lang w:val="en-GB"/>
        </w:rPr>
      </w:pPr>
      <w:r w:rsidRPr="007F2672">
        <w:rPr>
          <w:lang w:val="en-GB"/>
        </w:rPr>
        <w:t xml:space="preserve">Reassurance has been given by the </w:t>
      </w:r>
      <w:r w:rsidRPr="007F2672">
        <w:rPr>
          <w:i/>
          <w:lang w:val="en-GB"/>
        </w:rPr>
        <w:t>RdB</w:t>
      </w:r>
      <w:r w:rsidRPr="007F2672">
        <w:rPr>
          <w:lang w:val="en-GB"/>
        </w:rPr>
        <w:t xml:space="preserve"> that the temporary site will be accessible to the disabled. </w:t>
      </w:r>
    </w:p>
    <w:p w:rsidR="007B3B8F" w:rsidRPr="007F2672" w:rsidRDefault="007B3B8F" w:rsidP="00F44036">
      <w:pPr>
        <w:rPr>
          <w:lang w:val="en-GB"/>
        </w:rPr>
      </w:pPr>
      <w:r w:rsidRPr="007F2672">
        <w:rPr>
          <w:lang w:val="en-GB"/>
        </w:rPr>
        <w:t>The Council of Ministers of the Belgian Federal Government had already decided (October 2018) that the fifth school would be located on a piece of land on the former NATO site. A technical study on the EEB5 must follow, together with one on the making available of a temporary site and another on the definitive use of Berkendael: all have yet to be officially validated.</w:t>
      </w:r>
    </w:p>
    <w:p w:rsidR="007B3B8F" w:rsidRPr="007F2672" w:rsidRDefault="007B3B8F" w:rsidP="00F44036">
      <w:pPr>
        <w:rPr>
          <w:lang w:val="en-GB"/>
        </w:rPr>
      </w:pPr>
      <w:r w:rsidRPr="007F2672">
        <w:rPr>
          <w:lang w:val="en-GB"/>
        </w:rPr>
        <w:t xml:space="preserve">The </w:t>
      </w:r>
      <w:r w:rsidRPr="007F2672">
        <w:rPr>
          <w:i/>
          <w:lang w:val="en-GB"/>
        </w:rPr>
        <w:t>RdB</w:t>
      </w:r>
      <w:r w:rsidRPr="007F2672">
        <w:rPr>
          <w:lang w:val="en-GB"/>
        </w:rPr>
        <w:t xml:space="preserve"> indicated that these issues are closely linked with the October 2018 Council of Ministers’ decision and should be presented together to the Council of Ministers. </w:t>
      </w:r>
    </w:p>
    <w:p w:rsidR="007B3B8F" w:rsidRPr="007F2672" w:rsidRDefault="007B3B8F" w:rsidP="00F44036">
      <w:pPr>
        <w:rPr>
          <w:lang w:val="en-GB"/>
        </w:rPr>
      </w:pPr>
      <w:r w:rsidRPr="007F2672">
        <w:rPr>
          <w:lang w:val="en-GB"/>
        </w:rPr>
        <w:t xml:space="preserve">Should the present ‘caretaker’ Government unfortunately not take a decision, we will need to wait for a new Government to be in place, which may lead to further delays for the temporary site, even beyond 2021. </w:t>
      </w:r>
    </w:p>
    <w:p w:rsidR="002651CD" w:rsidRPr="007F2672" w:rsidRDefault="007F2672" w:rsidP="00F44036">
      <w:pPr>
        <w:rPr>
          <w:lang w:val="en-GB"/>
        </w:rPr>
      </w:pPr>
      <w:r w:rsidRPr="007F2672">
        <w:rPr>
          <w:lang w:val="en-GB"/>
        </w:rPr>
        <w:t xml:space="preserve">For the record, </w:t>
      </w:r>
      <w:r>
        <w:rPr>
          <w:lang w:val="en-GB"/>
        </w:rPr>
        <w:t>a table is to be found below</w:t>
      </w:r>
      <w:r w:rsidR="002651CD" w:rsidRPr="007F2672">
        <w:rPr>
          <w:lang w:val="en-GB"/>
        </w:rPr>
        <w:t>:</w:t>
      </w:r>
    </w:p>
    <w:p w:rsidR="002651CD" w:rsidRPr="007F2672" w:rsidRDefault="002651CD" w:rsidP="00F44036">
      <w:pPr>
        <w:rPr>
          <w:b/>
          <w:u w:val="single"/>
          <w:lang w:val="en-GB"/>
        </w:rPr>
      </w:pPr>
      <w:r w:rsidRPr="007F2672">
        <w:rPr>
          <w:b/>
          <w:u w:val="single"/>
          <w:lang w:val="en-GB"/>
        </w:rPr>
        <w:t>P</w:t>
      </w:r>
      <w:r w:rsidR="007F2672">
        <w:rPr>
          <w:b/>
          <w:u w:val="single"/>
          <w:lang w:val="en-GB"/>
        </w:rPr>
        <w:t>upil population on</w:t>
      </w:r>
      <w:r w:rsidRPr="007F2672">
        <w:rPr>
          <w:b/>
          <w:u w:val="single"/>
          <w:lang w:val="en-GB"/>
        </w:rPr>
        <w:t xml:space="preserve"> 15 </w:t>
      </w:r>
      <w:r w:rsidR="007F2672">
        <w:rPr>
          <w:b/>
          <w:u w:val="single"/>
          <w:lang w:val="en-GB"/>
        </w:rPr>
        <w:t>October</w:t>
      </w:r>
      <w:r w:rsidRPr="007F2672">
        <w:rPr>
          <w:b/>
          <w:u w:val="single"/>
          <w:lang w:val="en-GB"/>
        </w:rPr>
        <w:t xml:space="preserve"> 2018 // </w:t>
      </w:r>
      <w:r w:rsidR="007F2672">
        <w:rPr>
          <w:b/>
          <w:u w:val="single"/>
          <w:lang w:val="en-GB"/>
        </w:rPr>
        <w:t>Theoretical capacity</w:t>
      </w:r>
    </w:p>
    <w:p w:rsidR="002651CD" w:rsidRPr="007F2672" w:rsidRDefault="002651CD" w:rsidP="00F44036">
      <w:pPr>
        <w:rPr>
          <w:lang w:val="en-GB"/>
        </w:rPr>
      </w:pPr>
    </w:p>
    <w:tbl>
      <w:tblPr>
        <w:tblW w:w="3817" w:type="dxa"/>
        <w:tblLook w:val="04A0" w:firstRow="1" w:lastRow="0" w:firstColumn="1" w:lastColumn="0" w:noHBand="0" w:noVBand="1"/>
      </w:tblPr>
      <w:tblGrid>
        <w:gridCol w:w="1237"/>
        <w:gridCol w:w="1020"/>
        <w:gridCol w:w="1560"/>
      </w:tblGrid>
      <w:tr w:rsidR="002651CD" w:rsidRPr="007F2672" w:rsidTr="00694292">
        <w:trPr>
          <w:trHeight w:val="300"/>
        </w:trPr>
        <w:tc>
          <w:tcPr>
            <w:tcW w:w="1237" w:type="dxa"/>
            <w:vMerge w:val="restart"/>
            <w:tcBorders>
              <w:top w:val="nil"/>
              <w:left w:val="nil"/>
              <w:bottom w:val="nil"/>
              <w:right w:val="single" w:sz="4" w:space="0" w:color="auto"/>
            </w:tcBorders>
            <w:shd w:val="clear" w:color="000000" w:fill="FFFFFF"/>
            <w:vAlign w:val="center"/>
            <w:hideMark/>
          </w:tcPr>
          <w:p w:rsidR="002651CD" w:rsidRPr="007F2672" w:rsidRDefault="002651CD" w:rsidP="00F44036">
            <w:pPr>
              <w:spacing w:after="0"/>
              <w:rPr>
                <w:rFonts w:cs="Arial"/>
                <w:color w:val="000000"/>
                <w:lang w:val="en-GB"/>
              </w:rPr>
            </w:pPr>
            <w:r w:rsidRPr="007F2672">
              <w:rPr>
                <w:rFonts w:cs="Arial"/>
                <w:color w:val="000000"/>
                <w:lang w:val="en-GB"/>
              </w:rPr>
              <w:t> </w:t>
            </w:r>
          </w:p>
        </w:tc>
        <w:tc>
          <w:tcPr>
            <w:tcW w:w="1020" w:type="dxa"/>
            <w:tcBorders>
              <w:top w:val="single" w:sz="4" w:space="0" w:color="auto"/>
              <w:left w:val="single" w:sz="4" w:space="0" w:color="auto"/>
              <w:bottom w:val="nil"/>
              <w:right w:val="single" w:sz="4" w:space="0" w:color="auto"/>
            </w:tcBorders>
            <w:shd w:val="clear" w:color="000000" w:fill="F2F2F2"/>
            <w:vAlign w:val="center"/>
            <w:hideMark/>
          </w:tcPr>
          <w:p w:rsidR="002651CD" w:rsidRPr="007F2672" w:rsidRDefault="007F2672" w:rsidP="00F44036">
            <w:pPr>
              <w:spacing w:after="0"/>
              <w:jc w:val="center"/>
              <w:rPr>
                <w:rFonts w:cs="Arial"/>
                <w:color w:val="000000"/>
                <w:sz w:val="20"/>
                <w:lang w:val="en-GB"/>
              </w:rPr>
            </w:pPr>
            <w:r>
              <w:rPr>
                <w:rFonts w:cs="Arial"/>
                <w:color w:val="000000"/>
                <w:sz w:val="20"/>
                <w:lang w:val="en-GB"/>
              </w:rPr>
              <w:t>Pupil numbers</w:t>
            </w:r>
          </w:p>
        </w:tc>
        <w:tc>
          <w:tcPr>
            <w:tcW w:w="1560" w:type="dxa"/>
            <w:tcBorders>
              <w:top w:val="single" w:sz="4" w:space="0" w:color="auto"/>
              <w:left w:val="nil"/>
              <w:bottom w:val="nil"/>
              <w:right w:val="single" w:sz="4" w:space="0" w:color="auto"/>
            </w:tcBorders>
            <w:shd w:val="clear" w:color="000000" w:fill="D9D9D9"/>
            <w:vAlign w:val="center"/>
            <w:hideMark/>
          </w:tcPr>
          <w:p w:rsidR="002651CD" w:rsidRPr="007F2672" w:rsidRDefault="007F2672" w:rsidP="00F44036">
            <w:pPr>
              <w:spacing w:after="0"/>
              <w:jc w:val="center"/>
              <w:rPr>
                <w:rFonts w:cs="Arial"/>
                <w:b/>
                <w:bCs/>
                <w:color w:val="000000"/>
                <w:sz w:val="20"/>
                <w:lang w:val="en-GB"/>
              </w:rPr>
            </w:pPr>
            <w:r>
              <w:rPr>
                <w:rFonts w:cs="Arial"/>
                <w:b/>
                <w:bCs/>
                <w:color w:val="000000"/>
                <w:sz w:val="20"/>
                <w:lang w:val="en-GB"/>
              </w:rPr>
              <w:t>Theoretical capacity</w:t>
            </w:r>
          </w:p>
        </w:tc>
      </w:tr>
      <w:tr w:rsidR="002651CD" w:rsidRPr="007F2672" w:rsidTr="00694292">
        <w:trPr>
          <w:trHeight w:val="300"/>
        </w:trPr>
        <w:tc>
          <w:tcPr>
            <w:tcW w:w="1237" w:type="dxa"/>
            <w:vMerge/>
            <w:tcBorders>
              <w:top w:val="nil"/>
              <w:left w:val="nil"/>
              <w:bottom w:val="nil"/>
              <w:right w:val="single" w:sz="4" w:space="0" w:color="auto"/>
            </w:tcBorders>
            <w:vAlign w:val="center"/>
            <w:hideMark/>
          </w:tcPr>
          <w:p w:rsidR="002651CD" w:rsidRPr="007F2672" w:rsidRDefault="002651CD" w:rsidP="00F44036">
            <w:pPr>
              <w:spacing w:after="0"/>
              <w:rPr>
                <w:rFonts w:cs="Arial"/>
                <w:color w:val="000000"/>
                <w:lang w:val="en-GB"/>
              </w:rPr>
            </w:pPr>
          </w:p>
        </w:tc>
        <w:tc>
          <w:tcPr>
            <w:tcW w:w="1020" w:type="dxa"/>
            <w:tcBorders>
              <w:top w:val="nil"/>
              <w:left w:val="single" w:sz="4" w:space="0" w:color="auto"/>
              <w:bottom w:val="single" w:sz="4" w:space="0" w:color="auto"/>
              <w:right w:val="single" w:sz="4" w:space="0" w:color="auto"/>
            </w:tcBorders>
            <w:shd w:val="clear" w:color="000000" w:fill="F2F2F2"/>
            <w:vAlign w:val="center"/>
            <w:hideMark/>
          </w:tcPr>
          <w:p w:rsidR="002651CD" w:rsidRPr="007F2672" w:rsidRDefault="002651CD" w:rsidP="00F44036">
            <w:pPr>
              <w:spacing w:after="0"/>
              <w:jc w:val="center"/>
              <w:rPr>
                <w:rFonts w:cs="Arial"/>
                <w:color w:val="000000"/>
                <w:sz w:val="20"/>
                <w:lang w:val="en-GB"/>
              </w:rPr>
            </w:pPr>
            <w:r w:rsidRPr="007F2672">
              <w:rPr>
                <w:rFonts w:cs="Arial"/>
                <w:color w:val="000000"/>
                <w:sz w:val="20"/>
                <w:lang w:val="en-GB"/>
              </w:rPr>
              <w:t>2018</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7F2672">
            <w:pPr>
              <w:spacing w:after="0"/>
              <w:rPr>
                <w:rFonts w:cs="Arial"/>
                <w:b/>
                <w:bCs/>
                <w:color w:val="000000"/>
                <w:sz w:val="20"/>
                <w:lang w:val="en-GB"/>
              </w:rPr>
            </w:pPr>
          </w:p>
        </w:tc>
      </w:tr>
      <w:tr w:rsidR="002651CD" w:rsidRPr="007F2672" w:rsidTr="00694292">
        <w:trPr>
          <w:trHeight w:val="300"/>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1CD" w:rsidRPr="007F2672" w:rsidRDefault="002651CD" w:rsidP="00F44036">
            <w:pPr>
              <w:spacing w:after="0"/>
              <w:rPr>
                <w:rFonts w:cs="Arial"/>
                <w:b/>
                <w:bCs/>
                <w:color w:val="000000"/>
                <w:sz w:val="18"/>
                <w:szCs w:val="18"/>
                <w:lang w:val="en-GB"/>
              </w:rPr>
            </w:pPr>
            <w:r w:rsidRPr="007F2672">
              <w:rPr>
                <w:rFonts w:cs="Arial"/>
                <w:b/>
                <w:bCs/>
                <w:color w:val="000000"/>
                <w:sz w:val="18"/>
                <w:szCs w:val="18"/>
                <w:lang w:val="en-GB"/>
              </w:rPr>
              <w:t>EEB1-UCC</w:t>
            </w:r>
          </w:p>
        </w:tc>
        <w:tc>
          <w:tcPr>
            <w:tcW w:w="1020" w:type="dxa"/>
            <w:tcBorders>
              <w:top w:val="nil"/>
              <w:left w:val="nil"/>
              <w:bottom w:val="single" w:sz="4" w:space="0" w:color="auto"/>
              <w:right w:val="single" w:sz="4" w:space="0" w:color="auto"/>
            </w:tcBorders>
            <w:shd w:val="clear" w:color="auto" w:fill="auto"/>
            <w:vAlign w:val="center"/>
            <w:hideMark/>
          </w:tcPr>
          <w:p w:rsidR="002651CD" w:rsidRPr="007F2672" w:rsidRDefault="002651CD" w:rsidP="00F44036">
            <w:pPr>
              <w:spacing w:after="0"/>
              <w:jc w:val="center"/>
              <w:rPr>
                <w:rFonts w:cs="Arial"/>
                <w:b/>
                <w:bCs/>
                <w:sz w:val="20"/>
                <w:lang w:val="en-GB"/>
              </w:rPr>
            </w:pPr>
            <w:r w:rsidRPr="007F2672">
              <w:rPr>
                <w:rFonts w:cs="Arial"/>
                <w:b/>
                <w:bCs/>
                <w:sz w:val="20"/>
                <w:lang w:val="en-GB"/>
              </w:rPr>
              <w:t>3 390</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jc w:val="center"/>
              <w:rPr>
                <w:rFonts w:cs="Arial"/>
                <w:b/>
                <w:bCs/>
                <w:color w:val="000000"/>
                <w:sz w:val="20"/>
                <w:lang w:val="en-GB"/>
              </w:rPr>
            </w:pPr>
            <w:r w:rsidRPr="007F2672">
              <w:rPr>
                <w:rFonts w:cs="Arial"/>
                <w:b/>
                <w:bCs/>
                <w:color w:val="000000"/>
                <w:sz w:val="20"/>
                <w:lang w:val="en-GB"/>
              </w:rPr>
              <w:t>3 100</w:t>
            </w:r>
          </w:p>
        </w:tc>
      </w:tr>
      <w:tr w:rsidR="002651CD" w:rsidRPr="007F2672" w:rsidTr="00694292">
        <w:trPr>
          <w:trHeight w:val="300"/>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2651CD" w:rsidRPr="007F2672" w:rsidRDefault="002651CD" w:rsidP="00F44036">
            <w:pPr>
              <w:spacing w:after="0"/>
              <w:rPr>
                <w:rFonts w:cs="Arial"/>
                <w:b/>
                <w:bCs/>
                <w:color w:val="000000"/>
                <w:sz w:val="18"/>
                <w:szCs w:val="18"/>
                <w:lang w:val="en-GB"/>
              </w:rPr>
            </w:pPr>
            <w:r w:rsidRPr="007F2672">
              <w:rPr>
                <w:rFonts w:cs="Arial"/>
                <w:b/>
                <w:bCs/>
                <w:color w:val="000000"/>
                <w:sz w:val="18"/>
                <w:szCs w:val="18"/>
                <w:lang w:val="en-GB"/>
              </w:rPr>
              <w:t>EEB1-BK</w:t>
            </w:r>
          </w:p>
        </w:tc>
        <w:tc>
          <w:tcPr>
            <w:tcW w:w="1020" w:type="dxa"/>
            <w:tcBorders>
              <w:top w:val="nil"/>
              <w:left w:val="nil"/>
              <w:bottom w:val="single" w:sz="4" w:space="0" w:color="auto"/>
              <w:right w:val="single" w:sz="4" w:space="0" w:color="auto"/>
            </w:tcBorders>
            <w:shd w:val="clear" w:color="auto" w:fill="auto"/>
            <w:vAlign w:val="center"/>
            <w:hideMark/>
          </w:tcPr>
          <w:p w:rsidR="002651CD" w:rsidRPr="007F2672" w:rsidRDefault="002651CD" w:rsidP="00F44036">
            <w:pPr>
              <w:spacing w:after="0"/>
              <w:jc w:val="center"/>
              <w:rPr>
                <w:rFonts w:cs="Arial"/>
                <w:color w:val="000000"/>
                <w:sz w:val="20"/>
                <w:lang w:val="en-GB"/>
              </w:rPr>
            </w:pPr>
            <w:r w:rsidRPr="007F2672">
              <w:rPr>
                <w:rFonts w:cs="Arial"/>
                <w:color w:val="000000"/>
                <w:sz w:val="20"/>
                <w:lang w:val="en-GB"/>
              </w:rPr>
              <w:t>559</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jc w:val="center"/>
              <w:rPr>
                <w:rFonts w:cs="Arial"/>
                <w:b/>
                <w:bCs/>
                <w:color w:val="000000"/>
                <w:sz w:val="20"/>
                <w:lang w:val="en-GB"/>
              </w:rPr>
            </w:pPr>
            <w:r w:rsidRPr="007F2672">
              <w:rPr>
                <w:rFonts w:cs="Arial"/>
                <w:b/>
                <w:bCs/>
                <w:color w:val="000000"/>
                <w:sz w:val="20"/>
                <w:lang w:val="en-GB"/>
              </w:rPr>
              <w:t>1 000</w:t>
            </w:r>
          </w:p>
        </w:tc>
      </w:tr>
      <w:tr w:rsidR="002651CD" w:rsidRPr="007F2672" w:rsidTr="00694292">
        <w:trPr>
          <w:trHeight w:val="300"/>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2651CD" w:rsidRPr="007F2672" w:rsidRDefault="002651CD" w:rsidP="00F44036">
            <w:pPr>
              <w:spacing w:after="0"/>
              <w:rPr>
                <w:rFonts w:cs="Arial"/>
                <w:b/>
                <w:bCs/>
                <w:color w:val="000000"/>
                <w:sz w:val="18"/>
                <w:szCs w:val="18"/>
                <w:lang w:val="en-GB"/>
              </w:rPr>
            </w:pPr>
            <w:r w:rsidRPr="007F2672">
              <w:rPr>
                <w:rFonts w:cs="Arial"/>
                <w:b/>
                <w:bCs/>
                <w:color w:val="000000"/>
                <w:sz w:val="18"/>
                <w:szCs w:val="18"/>
                <w:lang w:val="en-GB"/>
              </w:rPr>
              <w:t>EEB2</w:t>
            </w:r>
          </w:p>
        </w:tc>
        <w:tc>
          <w:tcPr>
            <w:tcW w:w="1020" w:type="dxa"/>
            <w:tcBorders>
              <w:top w:val="nil"/>
              <w:left w:val="nil"/>
              <w:bottom w:val="single" w:sz="4" w:space="0" w:color="auto"/>
              <w:right w:val="single" w:sz="4" w:space="0" w:color="auto"/>
            </w:tcBorders>
            <w:shd w:val="clear" w:color="auto" w:fill="auto"/>
            <w:vAlign w:val="center"/>
            <w:hideMark/>
          </w:tcPr>
          <w:p w:rsidR="002651CD" w:rsidRPr="007F2672" w:rsidRDefault="002651CD" w:rsidP="00F44036">
            <w:pPr>
              <w:spacing w:after="0"/>
              <w:jc w:val="center"/>
              <w:rPr>
                <w:rFonts w:cs="Arial"/>
                <w:b/>
                <w:bCs/>
                <w:sz w:val="20"/>
                <w:lang w:val="en-GB"/>
              </w:rPr>
            </w:pPr>
            <w:r w:rsidRPr="007F2672">
              <w:rPr>
                <w:rFonts w:cs="Arial"/>
                <w:b/>
                <w:bCs/>
                <w:sz w:val="20"/>
                <w:lang w:val="en-GB"/>
              </w:rPr>
              <w:t>3 075</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jc w:val="center"/>
              <w:rPr>
                <w:rFonts w:cs="Arial"/>
                <w:b/>
                <w:bCs/>
                <w:color w:val="000000"/>
                <w:sz w:val="20"/>
                <w:lang w:val="en-GB"/>
              </w:rPr>
            </w:pPr>
            <w:r w:rsidRPr="007F2672">
              <w:rPr>
                <w:rFonts w:cs="Arial"/>
                <w:b/>
                <w:bCs/>
                <w:color w:val="000000"/>
                <w:sz w:val="20"/>
                <w:lang w:val="en-GB"/>
              </w:rPr>
              <w:t>2 850</w:t>
            </w:r>
          </w:p>
        </w:tc>
      </w:tr>
      <w:tr w:rsidR="002651CD" w:rsidRPr="007F2672" w:rsidTr="00694292">
        <w:trPr>
          <w:trHeight w:val="300"/>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2651CD" w:rsidRPr="007F2672" w:rsidRDefault="002651CD" w:rsidP="00F44036">
            <w:pPr>
              <w:spacing w:after="0"/>
              <w:rPr>
                <w:rFonts w:cs="Arial"/>
                <w:b/>
                <w:bCs/>
                <w:color w:val="000000"/>
                <w:sz w:val="18"/>
                <w:szCs w:val="18"/>
                <w:lang w:val="en-GB"/>
              </w:rPr>
            </w:pPr>
            <w:r w:rsidRPr="007F2672">
              <w:rPr>
                <w:rFonts w:cs="Arial"/>
                <w:b/>
                <w:bCs/>
                <w:color w:val="000000"/>
                <w:sz w:val="18"/>
                <w:szCs w:val="18"/>
                <w:lang w:val="en-GB"/>
              </w:rPr>
              <w:t>EEB3</w:t>
            </w:r>
          </w:p>
        </w:tc>
        <w:tc>
          <w:tcPr>
            <w:tcW w:w="1020" w:type="dxa"/>
            <w:tcBorders>
              <w:top w:val="nil"/>
              <w:left w:val="nil"/>
              <w:bottom w:val="single" w:sz="4" w:space="0" w:color="auto"/>
              <w:right w:val="single" w:sz="4" w:space="0" w:color="auto"/>
            </w:tcBorders>
            <w:shd w:val="clear" w:color="auto" w:fill="auto"/>
            <w:vAlign w:val="center"/>
            <w:hideMark/>
          </w:tcPr>
          <w:p w:rsidR="002651CD" w:rsidRPr="007F2672" w:rsidRDefault="002651CD" w:rsidP="00F44036">
            <w:pPr>
              <w:spacing w:after="0"/>
              <w:jc w:val="center"/>
              <w:rPr>
                <w:rFonts w:cs="Arial"/>
                <w:b/>
                <w:bCs/>
                <w:sz w:val="20"/>
                <w:lang w:val="en-GB"/>
              </w:rPr>
            </w:pPr>
            <w:r w:rsidRPr="007F2672">
              <w:rPr>
                <w:rFonts w:cs="Arial"/>
                <w:b/>
                <w:bCs/>
                <w:sz w:val="20"/>
                <w:lang w:val="en-GB"/>
              </w:rPr>
              <w:t>3 099</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jc w:val="center"/>
              <w:rPr>
                <w:rFonts w:cs="Arial"/>
                <w:b/>
                <w:bCs/>
                <w:color w:val="000000"/>
                <w:sz w:val="20"/>
                <w:lang w:val="en-GB"/>
              </w:rPr>
            </w:pPr>
            <w:r w:rsidRPr="007F2672">
              <w:rPr>
                <w:rFonts w:cs="Arial"/>
                <w:b/>
                <w:bCs/>
                <w:color w:val="000000"/>
                <w:sz w:val="20"/>
                <w:lang w:val="en-GB"/>
              </w:rPr>
              <w:t>2 650</w:t>
            </w:r>
          </w:p>
        </w:tc>
      </w:tr>
      <w:tr w:rsidR="002651CD" w:rsidRPr="007F2672" w:rsidTr="00694292">
        <w:trPr>
          <w:trHeight w:val="300"/>
        </w:trPr>
        <w:tc>
          <w:tcPr>
            <w:tcW w:w="1237" w:type="dxa"/>
            <w:tcBorders>
              <w:top w:val="nil"/>
              <w:left w:val="single" w:sz="4" w:space="0" w:color="auto"/>
              <w:bottom w:val="single" w:sz="4" w:space="0" w:color="auto"/>
              <w:right w:val="single" w:sz="4" w:space="0" w:color="auto"/>
            </w:tcBorders>
            <w:shd w:val="clear" w:color="auto" w:fill="auto"/>
            <w:vAlign w:val="center"/>
            <w:hideMark/>
          </w:tcPr>
          <w:p w:rsidR="002651CD" w:rsidRPr="007F2672" w:rsidRDefault="002651CD" w:rsidP="00F44036">
            <w:pPr>
              <w:spacing w:after="0"/>
              <w:rPr>
                <w:rFonts w:cs="Arial"/>
                <w:b/>
                <w:bCs/>
                <w:color w:val="000000"/>
                <w:sz w:val="18"/>
                <w:szCs w:val="18"/>
                <w:lang w:val="en-GB"/>
              </w:rPr>
            </w:pPr>
            <w:r w:rsidRPr="007F2672">
              <w:rPr>
                <w:rFonts w:cs="Arial"/>
                <w:b/>
                <w:bCs/>
                <w:color w:val="000000"/>
                <w:sz w:val="18"/>
                <w:szCs w:val="18"/>
                <w:lang w:val="en-GB"/>
              </w:rPr>
              <w:t>EEB4</w:t>
            </w:r>
          </w:p>
        </w:tc>
        <w:tc>
          <w:tcPr>
            <w:tcW w:w="1020" w:type="dxa"/>
            <w:tcBorders>
              <w:top w:val="nil"/>
              <w:left w:val="nil"/>
              <w:bottom w:val="single" w:sz="4" w:space="0" w:color="auto"/>
              <w:right w:val="single" w:sz="4" w:space="0" w:color="auto"/>
            </w:tcBorders>
            <w:shd w:val="clear" w:color="auto" w:fill="auto"/>
            <w:vAlign w:val="center"/>
            <w:hideMark/>
          </w:tcPr>
          <w:p w:rsidR="002651CD" w:rsidRPr="007F2672" w:rsidRDefault="002651CD" w:rsidP="00F44036">
            <w:pPr>
              <w:spacing w:after="0"/>
              <w:jc w:val="center"/>
              <w:rPr>
                <w:rFonts w:cs="Arial"/>
                <w:b/>
                <w:bCs/>
                <w:sz w:val="20"/>
                <w:lang w:val="en-GB"/>
              </w:rPr>
            </w:pPr>
            <w:r w:rsidRPr="007F2672">
              <w:rPr>
                <w:rFonts w:cs="Arial"/>
                <w:b/>
                <w:bCs/>
                <w:sz w:val="20"/>
                <w:lang w:val="en-GB"/>
              </w:rPr>
              <w:t>2 835</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jc w:val="center"/>
              <w:rPr>
                <w:rFonts w:cs="Arial"/>
                <w:b/>
                <w:bCs/>
                <w:color w:val="000000"/>
                <w:sz w:val="20"/>
                <w:lang w:val="en-GB"/>
              </w:rPr>
            </w:pPr>
            <w:r w:rsidRPr="007F2672">
              <w:rPr>
                <w:rFonts w:cs="Arial"/>
                <w:b/>
                <w:bCs/>
                <w:color w:val="000000"/>
                <w:sz w:val="20"/>
                <w:lang w:val="en-GB"/>
              </w:rPr>
              <w:t>2 800</w:t>
            </w:r>
          </w:p>
        </w:tc>
      </w:tr>
      <w:tr w:rsidR="002651CD" w:rsidRPr="007F2672" w:rsidTr="00694292">
        <w:trPr>
          <w:trHeight w:val="300"/>
        </w:trPr>
        <w:tc>
          <w:tcPr>
            <w:tcW w:w="1237" w:type="dxa"/>
            <w:tcBorders>
              <w:top w:val="nil"/>
              <w:left w:val="single" w:sz="4" w:space="0" w:color="auto"/>
              <w:bottom w:val="single" w:sz="4" w:space="0" w:color="auto"/>
              <w:right w:val="single" w:sz="4" w:space="0" w:color="auto"/>
            </w:tcBorders>
            <w:shd w:val="clear" w:color="000000" w:fill="F2F2F2"/>
            <w:vAlign w:val="center"/>
            <w:hideMark/>
          </w:tcPr>
          <w:p w:rsidR="002651CD" w:rsidRPr="007F2672" w:rsidRDefault="002651CD" w:rsidP="00F44036">
            <w:pPr>
              <w:spacing w:after="0"/>
              <w:rPr>
                <w:rFonts w:cs="Arial"/>
                <w:b/>
                <w:bCs/>
                <w:color w:val="000000"/>
                <w:sz w:val="20"/>
                <w:lang w:val="en-GB"/>
              </w:rPr>
            </w:pPr>
            <w:r w:rsidRPr="007F2672">
              <w:rPr>
                <w:rFonts w:cs="Arial"/>
                <w:b/>
                <w:bCs/>
                <w:color w:val="000000"/>
                <w:sz w:val="20"/>
                <w:lang w:val="en-GB"/>
              </w:rPr>
              <w:t>Total</w:t>
            </w:r>
          </w:p>
        </w:tc>
        <w:tc>
          <w:tcPr>
            <w:tcW w:w="1020" w:type="dxa"/>
            <w:tcBorders>
              <w:top w:val="nil"/>
              <w:left w:val="nil"/>
              <w:bottom w:val="single" w:sz="4" w:space="0" w:color="auto"/>
              <w:right w:val="single" w:sz="4" w:space="0" w:color="auto"/>
            </w:tcBorders>
            <w:shd w:val="clear" w:color="000000" w:fill="F2F2F2"/>
            <w:vAlign w:val="center"/>
            <w:hideMark/>
          </w:tcPr>
          <w:p w:rsidR="002651CD" w:rsidRPr="007F2672" w:rsidRDefault="002651CD" w:rsidP="00F44036">
            <w:pPr>
              <w:spacing w:after="0"/>
              <w:rPr>
                <w:rFonts w:cs="Arial"/>
                <w:b/>
                <w:bCs/>
                <w:color w:val="000000"/>
                <w:sz w:val="20"/>
                <w:lang w:val="en-GB"/>
              </w:rPr>
            </w:pPr>
            <w:r w:rsidRPr="007F2672">
              <w:rPr>
                <w:rFonts w:cs="Arial"/>
                <w:b/>
                <w:bCs/>
                <w:color w:val="000000"/>
                <w:sz w:val="20"/>
                <w:lang w:val="en-GB"/>
              </w:rPr>
              <w:t xml:space="preserve"> 12 958</w:t>
            </w:r>
          </w:p>
        </w:tc>
        <w:tc>
          <w:tcPr>
            <w:tcW w:w="1560" w:type="dxa"/>
            <w:tcBorders>
              <w:top w:val="nil"/>
              <w:left w:val="nil"/>
              <w:bottom w:val="single" w:sz="4" w:space="0" w:color="auto"/>
              <w:right w:val="single" w:sz="4" w:space="0" w:color="auto"/>
            </w:tcBorders>
            <w:shd w:val="clear" w:color="000000" w:fill="D9D9D9"/>
            <w:vAlign w:val="center"/>
            <w:hideMark/>
          </w:tcPr>
          <w:p w:rsidR="002651CD" w:rsidRPr="007F2672" w:rsidRDefault="002651CD" w:rsidP="00F44036">
            <w:pPr>
              <w:spacing w:after="0"/>
              <w:rPr>
                <w:rFonts w:cs="Arial"/>
                <w:b/>
                <w:bCs/>
                <w:color w:val="000000"/>
                <w:sz w:val="20"/>
                <w:lang w:val="en-GB"/>
              </w:rPr>
            </w:pPr>
            <w:r w:rsidRPr="007F2672">
              <w:rPr>
                <w:rFonts w:cs="Arial"/>
                <w:b/>
                <w:bCs/>
                <w:color w:val="000000"/>
                <w:sz w:val="20"/>
                <w:lang w:val="en-GB"/>
              </w:rPr>
              <w:t xml:space="preserve">      12 400</w:t>
            </w:r>
          </w:p>
        </w:tc>
      </w:tr>
    </w:tbl>
    <w:p w:rsidR="002651CD" w:rsidRPr="007F2672" w:rsidRDefault="002651CD" w:rsidP="00F44036">
      <w:pPr>
        <w:rPr>
          <w:lang w:val="en-GB"/>
        </w:rPr>
      </w:pPr>
    </w:p>
    <w:p w:rsidR="00381E4B" w:rsidRPr="007F2672" w:rsidRDefault="007F2672" w:rsidP="00F44036">
      <w:pPr>
        <w:rPr>
          <w:lang w:val="en-GB"/>
        </w:rPr>
      </w:pPr>
      <w:r>
        <w:rPr>
          <w:lang w:val="en-GB"/>
        </w:rPr>
        <w:t xml:space="preserve">as are </w:t>
      </w:r>
      <w:r w:rsidR="00F3204D">
        <w:rPr>
          <w:lang w:val="en-GB"/>
        </w:rPr>
        <w:t xml:space="preserve">a table and </w:t>
      </w:r>
      <w:r>
        <w:rPr>
          <w:lang w:val="en-GB"/>
        </w:rPr>
        <w:t>graphs showing the pattern of development of the pupil population in the European Schools in Brussels</w:t>
      </w:r>
      <w:r w:rsidR="00F3204D">
        <w:rPr>
          <w:lang w:val="en-GB"/>
        </w:rPr>
        <w:t>,</w:t>
      </w:r>
      <w:r>
        <w:rPr>
          <w:lang w:val="en-GB"/>
        </w:rPr>
        <w:t xml:space="preserve"> </w:t>
      </w:r>
      <w:r w:rsidR="00F3204D">
        <w:rPr>
          <w:lang w:val="en-GB"/>
        </w:rPr>
        <w:t>based on its growth as recorded this year</w:t>
      </w:r>
      <w:r w:rsidR="002651CD" w:rsidRPr="007F2672">
        <w:rPr>
          <w:lang w:val="en-GB"/>
        </w:rPr>
        <w:t xml:space="preserve"> </w:t>
      </w:r>
      <w:r w:rsidR="00F3204D">
        <w:rPr>
          <w:lang w:val="en-GB"/>
        </w:rPr>
        <w:t xml:space="preserve">and up to September 2026, the date scheduled for the EEB5 to be made available: </w:t>
      </w:r>
    </w:p>
    <w:p w:rsidR="00381E4B" w:rsidRPr="007F2672" w:rsidRDefault="00381E4B" w:rsidP="00F44036">
      <w:pPr>
        <w:spacing w:before="0" w:after="0"/>
        <w:jc w:val="left"/>
        <w:rPr>
          <w:lang w:val="en-GB"/>
        </w:rPr>
      </w:pPr>
      <w:r w:rsidRPr="007F2672">
        <w:rPr>
          <w:lang w:val="en-GB"/>
        </w:rPr>
        <w:br w:type="page"/>
      </w:r>
    </w:p>
    <w:p w:rsidR="00381E4B" w:rsidRPr="007F2672" w:rsidRDefault="00381E4B" w:rsidP="00F44036">
      <w:pPr>
        <w:rPr>
          <w:lang w:val="en-GB"/>
        </w:rPr>
        <w:sectPr w:rsidR="00381E4B" w:rsidRPr="007F2672" w:rsidSect="003B1D15">
          <w:pgSz w:w="11906" w:h="16838"/>
          <w:pgMar w:top="1021" w:right="1701" w:bottom="1021" w:left="1134" w:header="601" w:footer="1077" w:gutter="0"/>
          <w:pgNumType w:start="1"/>
          <w:cols w:space="720"/>
          <w:titlePg/>
        </w:sectPr>
      </w:pPr>
    </w:p>
    <w:p w:rsidR="002651CD" w:rsidRPr="007F2672" w:rsidRDefault="002651CD" w:rsidP="007B3B8F">
      <w:pPr>
        <w:rPr>
          <w:lang w:val="en-GB"/>
        </w:rPr>
      </w:pPr>
    </w:p>
    <w:p w:rsidR="00381E4B" w:rsidRPr="007F2672" w:rsidRDefault="00381E4B" w:rsidP="00381E4B">
      <w:pPr>
        <w:shd w:val="clear" w:color="auto" w:fill="DBE5F1" w:themeFill="accent1" w:themeFillTint="33"/>
        <w:rPr>
          <w:b/>
          <w:color w:val="215868" w:themeColor="accent5" w:themeShade="80"/>
          <w:sz w:val="16"/>
          <w:szCs w:val="16"/>
          <w:u w:val="single"/>
          <w:lang w:val="en-GB"/>
        </w:rPr>
      </w:pPr>
    </w:p>
    <w:p w:rsidR="00381E4B" w:rsidRPr="007F2672" w:rsidRDefault="00F3204D" w:rsidP="00381E4B">
      <w:pPr>
        <w:shd w:val="clear" w:color="auto" w:fill="DBE5F1" w:themeFill="accent1" w:themeFillTint="33"/>
        <w:jc w:val="center"/>
        <w:rPr>
          <w:b/>
          <w:color w:val="215868" w:themeColor="accent5" w:themeShade="80"/>
          <w:sz w:val="28"/>
          <w:szCs w:val="28"/>
          <w:u w:val="single"/>
          <w:lang w:val="en-GB"/>
        </w:rPr>
      </w:pPr>
      <w:r>
        <w:rPr>
          <w:b/>
          <w:color w:val="215868" w:themeColor="accent5" w:themeShade="80"/>
          <w:sz w:val="28"/>
          <w:szCs w:val="28"/>
          <w:u w:val="single"/>
          <w:lang w:val="en-GB"/>
        </w:rPr>
        <w:t>Development by</w:t>
      </w:r>
      <w:r w:rsidR="00381E4B" w:rsidRPr="007F2672">
        <w:rPr>
          <w:b/>
          <w:color w:val="215868" w:themeColor="accent5" w:themeShade="80"/>
          <w:sz w:val="28"/>
          <w:szCs w:val="28"/>
          <w:u w:val="single"/>
          <w:lang w:val="en-GB"/>
        </w:rPr>
        <w:t xml:space="preserve"> + 300 </w:t>
      </w:r>
      <w:r>
        <w:rPr>
          <w:b/>
          <w:color w:val="215868" w:themeColor="accent5" w:themeShade="80"/>
          <w:sz w:val="28"/>
          <w:szCs w:val="28"/>
          <w:u w:val="single"/>
          <w:lang w:val="en-GB"/>
        </w:rPr>
        <w:t>pupils per year with temporary site available in</w:t>
      </w:r>
      <w:r w:rsidR="00381E4B" w:rsidRPr="007F2672">
        <w:rPr>
          <w:b/>
          <w:color w:val="215868" w:themeColor="accent5" w:themeShade="80"/>
          <w:sz w:val="28"/>
          <w:szCs w:val="28"/>
          <w:u w:val="single"/>
          <w:lang w:val="en-GB"/>
        </w:rPr>
        <w:t xml:space="preserve"> 2021</w:t>
      </w:r>
    </w:p>
    <w:p w:rsidR="00381E4B" w:rsidRPr="007F2672" w:rsidRDefault="00381E4B" w:rsidP="00381E4B">
      <w:pPr>
        <w:shd w:val="clear" w:color="auto" w:fill="DBE5F1" w:themeFill="accent1" w:themeFillTint="33"/>
        <w:rPr>
          <w:b/>
          <w:color w:val="215868" w:themeColor="accent5" w:themeShade="80"/>
          <w:sz w:val="16"/>
          <w:szCs w:val="16"/>
          <w:u w:val="single"/>
          <w:lang w:val="en-GB"/>
        </w:rPr>
      </w:pPr>
    </w:p>
    <w:p w:rsidR="001D45A4" w:rsidRPr="007F2672" w:rsidRDefault="001D45A4" w:rsidP="001D45A4">
      <w:pPr>
        <w:shd w:val="clear" w:color="auto" w:fill="FFFFFF" w:themeFill="background1"/>
        <w:rPr>
          <w:b/>
          <w:color w:val="215868" w:themeColor="accent5" w:themeShade="80"/>
          <w:u w:val="single"/>
          <w:lang w:val="en-GB"/>
        </w:rPr>
      </w:pPr>
    </w:p>
    <w:tbl>
      <w:tblPr>
        <w:tblW w:w="14333" w:type="dxa"/>
        <w:tblLook w:val="04A0" w:firstRow="1" w:lastRow="0" w:firstColumn="1" w:lastColumn="0" w:noHBand="0" w:noVBand="1"/>
      </w:tblPr>
      <w:tblGrid>
        <w:gridCol w:w="3506"/>
        <w:gridCol w:w="1896"/>
        <w:gridCol w:w="1843"/>
        <w:gridCol w:w="1276"/>
        <w:gridCol w:w="1276"/>
        <w:gridCol w:w="1275"/>
        <w:gridCol w:w="1843"/>
        <w:gridCol w:w="1418"/>
      </w:tblGrid>
      <w:tr w:rsidR="00FE5D56" w:rsidRPr="007F2672" w:rsidTr="004B42AD">
        <w:trPr>
          <w:trHeight w:val="300"/>
        </w:trPr>
        <w:tc>
          <w:tcPr>
            <w:tcW w:w="3506" w:type="dxa"/>
            <w:tcBorders>
              <w:top w:val="nil"/>
              <w:left w:val="nil"/>
              <w:bottom w:val="nil"/>
              <w:right w:val="nil"/>
            </w:tcBorders>
            <w:shd w:val="clear" w:color="000000" w:fill="FFFFFF"/>
            <w:noWrap/>
            <w:vAlign w:val="bottom"/>
            <w:hideMark/>
          </w:tcPr>
          <w:p w:rsidR="00FE5D56" w:rsidRPr="007F2672" w:rsidRDefault="00FE5D56" w:rsidP="00015C99">
            <w:pPr>
              <w:spacing w:after="0"/>
              <w:rPr>
                <w:rFonts w:cs="Arial"/>
                <w:color w:val="000000"/>
                <w:sz w:val="24"/>
                <w:szCs w:val="24"/>
                <w:lang w:val="en-GB"/>
              </w:rPr>
            </w:pPr>
            <w:r w:rsidRPr="007F2672">
              <w:rPr>
                <w:rFonts w:cs="Arial"/>
                <w:color w:val="000000"/>
                <w:sz w:val="24"/>
                <w:szCs w:val="24"/>
                <w:lang w:val="en-GB"/>
              </w:rPr>
              <w:t> </w:t>
            </w:r>
          </w:p>
        </w:tc>
        <w:tc>
          <w:tcPr>
            <w:tcW w:w="189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E5D56" w:rsidRPr="007F2672" w:rsidRDefault="00FE5D56" w:rsidP="00015C99">
            <w:pPr>
              <w:spacing w:after="0"/>
              <w:jc w:val="center"/>
              <w:rPr>
                <w:rFonts w:cs="Arial"/>
                <w:b/>
                <w:bCs/>
                <w:color w:val="000000"/>
                <w:sz w:val="24"/>
                <w:szCs w:val="24"/>
                <w:lang w:val="en-GB"/>
              </w:rPr>
            </w:pPr>
            <w:r w:rsidRPr="007F2672">
              <w:rPr>
                <w:rFonts w:cs="Arial"/>
                <w:b/>
                <w:bCs/>
                <w:color w:val="000000"/>
                <w:sz w:val="24"/>
                <w:szCs w:val="24"/>
                <w:lang w:val="en-GB"/>
              </w:rPr>
              <w:t>EEB1- UCC</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E5D56" w:rsidP="00015C99">
            <w:pPr>
              <w:spacing w:after="0"/>
              <w:jc w:val="center"/>
              <w:rPr>
                <w:rFonts w:cs="Arial"/>
                <w:b/>
                <w:bCs/>
                <w:color w:val="000000"/>
                <w:sz w:val="24"/>
                <w:szCs w:val="24"/>
                <w:lang w:val="en-GB"/>
              </w:rPr>
            </w:pPr>
            <w:r w:rsidRPr="007F2672">
              <w:rPr>
                <w:rFonts w:cs="Arial"/>
                <w:b/>
                <w:bCs/>
                <w:color w:val="000000"/>
                <w:sz w:val="24"/>
                <w:szCs w:val="24"/>
                <w:lang w:val="en-GB"/>
              </w:rPr>
              <w:t>EEB1-BK</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E5D56" w:rsidP="00015C99">
            <w:pPr>
              <w:spacing w:after="0"/>
              <w:jc w:val="center"/>
              <w:rPr>
                <w:rFonts w:cs="Arial"/>
                <w:b/>
                <w:bCs/>
                <w:color w:val="000000"/>
                <w:sz w:val="24"/>
                <w:szCs w:val="24"/>
                <w:lang w:val="en-GB"/>
              </w:rPr>
            </w:pPr>
            <w:r w:rsidRPr="007F2672">
              <w:rPr>
                <w:rFonts w:cs="Arial"/>
                <w:b/>
                <w:bCs/>
                <w:color w:val="000000"/>
                <w:sz w:val="24"/>
                <w:szCs w:val="24"/>
                <w:lang w:val="en-GB"/>
              </w:rPr>
              <w:t>EEB2</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E5D56" w:rsidP="00015C99">
            <w:pPr>
              <w:spacing w:after="0"/>
              <w:jc w:val="center"/>
              <w:rPr>
                <w:rFonts w:cs="Arial"/>
                <w:b/>
                <w:bCs/>
                <w:color w:val="000000"/>
                <w:sz w:val="24"/>
                <w:szCs w:val="24"/>
                <w:lang w:val="en-GB"/>
              </w:rPr>
            </w:pPr>
            <w:r w:rsidRPr="007F2672">
              <w:rPr>
                <w:rFonts w:cs="Arial"/>
                <w:b/>
                <w:bCs/>
                <w:color w:val="000000"/>
                <w:sz w:val="24"/>
                <w:szCs w:val="24"/>
                <w:lang w:val="en-GB"/>
              </w:rPr>
              <w:t>EEB3</w:t>
            </w:r>
          </w:p>
        </w:tc>
        <w:tc>
          <w:tcPr>
            <w:tcW w:w="1275"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E5D56" w:rsidP="00015C99">
            <w:pPr>
              <w:spacing w:after="0"/>
              <w:jc w:val="center"/>
              <w:rPr>
                <w:rFonts w:cs="Arial"/>
                <w:b/>
                <w:bCs/>
                <w:color w:val="000000"/>
                <w:sz w:val="24"/>
                <w:szCs w:val="24"/>
                <w:lang w:val="en-GB"/>
              </w:rPr>
            </w:pPr>
            <w:r w:rsidRPr="007F2672">
              <w:rPr>
                <w:rFonts w:cs="Arial"/>
                <w:b/>
                <w:bCs/>
                <w:color w:val="000000"/>
                <w:sz w:val="24"/>
                <w:szCs w:val="24"/>
                <w:lang w:val="en-GB"/>
              </w:rPr>
              <w:t>EEB4</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3204D" w:rsidP="00015C99">
            <w:pPr>
              <w:spacing w:after="0"/>
              <w:jc w:val="center"/>
              <w:rPr>
                <w:rFonts w:cs="Arial"/>
                <w:b/>
                <w:bCs/>
                <w:color w:val="000000"/>
                <w:szCs w:val="22"/>
                <w:lang w:val="en-GB"/>
              </w:rPr>
            </w:pPr>
            <w:r>
              <w:rPr>
                <w:rFonts w:cs="Arial"/>
                <w:b/>
                <w:bCs/>
                <w:color w:val="000000"/>
                <w:szCs w:val="22"/>
                <w:lang w:val="en-GB"/>
              </w:rPr>
              <w:t>Temporary site</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rsidR="00FE5D56" w:rsidRPr="007F2672" w:rsidRDefault="00FE5D56" w:rsidP="00015C99">
            <w:pPr>
              <w:spacing w:after="0"/>
              <w:rPr>
                <w:rFonts w:cs="Arial"/>
                <w:b/>
                <w:bCs/>
                <w:color w:val="000000"/>
                <w:sz w:val="24"/>
                <w:szCs w:val="24"/>
                <w:lang w:val="en-GB"/>
              </w:rPr>
            </w:pPr>
            <w:r w:rsidRPr="007F2672">
              <w:rPr>
                <w:rFonts w:cs="Arial"/>
                <w:b/>
                <w:bCs/>
                <w:color w:val="000000"/>
                <w:sz w:val="24"/>
                <w:szCs w:val="24"/>
                <w:lang w:val="en-GB"/>
              </w:rPr>
              <w:t>TOTAL</w:t>
            </w:r>
          </w:p>
        </w:tc>
      </w:tr>
      <w:tr w:rsidR="00FE5D56" w:rsidRPr="007F2672" w:rsidTr="004B42AD">
        <w:trPr>
          <w:trHeight w:val="300"/>
        </w:trPr>
        <w:tc>
          <w:tcPr>
            <w:tcW w:w="3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D56" w:rsidRPr="007F2672" w:rsidRDefault="00FE5D56" w:rsidP="00015C99">
            <w:pPr>
              <w:spacing w:after="0"/>
              <w:rPr>
                <w:rFonts w:cs="Arial"/>
                <w:b/>
                <w:bCs/>
                <w:color w:val="000000"/>
                <w:szCs w:val="22"/>
                <w:lang w:val="en-GB"/>
              </w:rPr>
            </w:pPr>
            <w:r w:rsidRPr="007F2672">
              <w:rPr>
                <w:rFonts w:cs="Arial"/>
                <w:b/>
                <w:bCs/>
                <w:color w:val="000000"/>
                <w:szCs w:val="22"/>
                <w:lang w:val="en-GB"/>
              </w:rPr>
              <w:t>Capaci</w:t>
            </w:r>
            <w:r w:rsidR="00F3204D">
              <w:rPr>
                <w:rFonts w:cs="Arial"/>
                <w:b/>
                <w:bCs/>
                <w:color w:val="000000"/>
                <w:szCs w:val="22"/>
                <w:lang w:val="en-GB"/>
              </w:rPr>
              <w:t xml:space="preserve">ty until </w:t>
            </w:r>
            <w:r w:rsidRPr="007F2672">
              <w:rPr>
                <w:rFonts w:cs="Arial"/>
                <w:b/>
                <w:bCs/>
                <w:color w:val="000000"/>
                <w:szCs w:val="22"/>
                <w:lang w:val="en-GB"/>
              </w:rPr>
              <w:t>2021</w:t>
            </w:r>
          </w:p>
        </w:tc>
        <w:tc>
          <w:tcPr>
            <w:tcW w:w="189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3</w:t>
            </w:r>
            <w:r w:rsidR="00F3204D">
              <w:rPr>
                <w:rFonts w:cs="Arial"/>
                <w:color w:val="000000"/>
                <w:sz w:val="24"/>
                <w:szCs w:val="24"/>
                <w:lang w:val="en-GB"/>
              </w:rPr>
              <w:t xml:space="preserve"> </w:t>
            </w:r>
            <w:r w:rsidRPr="007F2672">
              <w:rPr>
                <w:rFonts w:cs="Arial"/>
                <w:color w:val="000000"/>
                <w:sz w:val="24"/>
                <w:szCs w:val="24"/>
                <w:lang w:val="en-GB"/>
              </w:rPr>
              <w:t>100</w:t>
            </w:r>
          </w:p>
        </w:tc>
        <w:tc>
          <w:tcPr>
            <w:tcW w:w="1843" w:type="dxa"/>
            <w:tcBorders>
              <w:top w:val="nil"/>
              <w:left w:val="nil"/>
              <w:bottom w:val="single" w:sz="4" w:space="0" w:color="auto"/>
              <w:right w:val="single" w:sz="4" w:space="0" w:color="auto"/>
            </w:tcBorders>
            <w:shd w:val="clear" w:color="000000" w:fill="FBFBFB"/>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1</w:t>
            </w:r>
            <w:r w:rsidR="00F3204D">
              <w:rPr>
                <w:rFonts w:cs="Arial"/>
                <w:color w:val="000000"/>
                <w:sz w:val="24"/>
                <w:szCs w:val="24"/>
                <w:lang w:val="en-GB"/>
              </w:rPr>
              <w:t xml:space="preserve"> </w:t>
            </w:r>
            <w:r w:rsidRPr="007F2672">
              <w:rPr>
                <w:rFonts w:cs="Arial"/>
                <w:color w:val="000000"/>
                <w:sz w:val="24"/>
                <w:szCs w:val="24"/>
                <w:lang w:val="en-GB"/>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850</w:t>
            </w:r>
          </w:p>
        </w:tc>
        <w:tc>
          <w:tcPr>
            <w:tcW w:w="127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650</w:t>
            </w:r>
          </w:p>
        </w:tc>
        <w:tc>
          <w:tcPr>
            <w:tcW w:w="1275"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800</w:t>
            </w:r>
          </w:p>
        </w:tc>
        <w:tc>
          <w:tcPr>
            <w:tcW w:w="1843"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p>
        </w:tc>
        <w:tc>
          <w:tcPr>
            <w:tcW w:w="1418" w:type="dxa"/>
            <w:tcBorders>
              <w:top w:val="nil"/>
              <w:left w:val="nil"/>
              <w:bottom w:val="single" w:sz="4" w:space="0" w:color="auto"/>
              <w:right w:val="single" w:sz="4" w:space="0" w:color="auto"/>
            </w:tcBorders>
            <w:shd w:val="clear" w:color="000000" w:fill="FFFFFF"/>
            <w:noWrap/>
            <w:vAlign w:val="bottom"/>
            <w:hideMark/>
          </w:tcPr>
          <w:p w:rsidR="00FE5D56" w:rsidRPr="007F2672" w:rsidRDefault="00FE5D56" w:rsidP="00FE5D56">
            <w:pPr>
              <w:spacing w:after="0"/>
              <w:jc w:val="center"/>
              <w:rPr>
                <w:rFonts w:cs="Arial"/>
                <w:b/>
                <w:bCs/>
                <w:color w:val="000000"/>
                <w:sz w:val="24"/>
                <w:szCs w:val="24"/>
                <w:lang w:val="en-GB"/>
              </w:rPr>
            </w:pPr>
            <w:r w:rsidRPr="007F2672">
              <w:rPr>
                <w:rFonts w:cs="Arial"/>
                <w:b/>
                <w:bCs/>
                <w:color w:val="000000"/>
                <w:sz w:val="24"/>
                <w:szCs w:val="24"/>
                <w:lang w:val="en-GB"/>
              </w:rPr>
              <w:t>12</w:t>
            </w:r>
            <w:r w:rsidR="00F3204D">
              <w:rPr>
                <w:rFonts w:cs="Arial"/>
                <w:b/>
                <w:bCs/>
                <w:color w:val="000000"/>
                <w:sz w:val="24"/>
                <w:szCs w:val="24"/>
                <w:lang w:val="en-GB"/>
              </w:rPr>
              <w:t xml:space="preserve"> </w:t>
            </w:r>
            <w:r w:rsidRPr="007F2672">
              <w:rPr>
                <w:rFonts w:cs="Arial"/>
                <w:b/>
                <w:bCs/>
                <w:color w:val="000000"/>
                <w:sz w:val="24"/>
                <w:szCs w:val="24"/>
                <w:lang w:val="en-GB"/>
              </w:rPr>
              <w:t>400</w:t>
            </w:r>
          </w:p>
        </w:tc>
      </w:tr>
      <w:tr w:rsidR="00FE5D56" w:rsidRPr="007F2672" w:rsidTr="004B42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FE5D56" w:rsidRPr="007F2672" w:rsidRDefault="00FE5D56" w:rsidP="00015C99">
            <w:pPr>
              <w:spacing w:after="0"/>
              <w:rPr>
                <w:rFonts w:cs="Arial"/>
                <w:b/>
                <w:bCs/>
                <w:color w:val="000000"/>
                <w:szCs w:val="22"/>
                <w:lang w:val="en-GB"/>
              </w:rPr>
            </w:pPr>
            <w:r w:rsidRPr="007F2672">
              <w:rPr>
                <w:rFonts w:cs="Arial"/>
                <w:b/>
                <w:bCs/>
                <w:color w:val="000000"/>
                <w:szCs w:val="22"/>
                <w:lang w:val="en-GB"/>
              </w:rPr>
              <w:t>Capacit</w:t>
            </w:r>
            <w:r w:rsidR="00F3204D">
              <w:rPr>
                <w:rFonts w:cs="Arial"/>
                <w:b/>
                <w:bCs/>
                <w:color w:val="000000"/>
                <w:szCs w:val="22"/>
                <w:lang w:val="en-GB"/>
              </w:rPr>
              <w:t>y as from Sept.</w:t>
            </w:r>
            <w:r w:rsidRPr="007F2672">
              <w:rPr>
                <w:rFonts w:cs="Arial"/>
                <w:b/>
                <w:bCs/>
                <w:color w:val="000000"/>
                <w:szCs w:val="22"/>
                <w:lang w:val="en-GB"/>
              </w:rPr>
              <w:t xml:space="preserve"> 2021</w:t>
            </w:r>
          </w:p>
        </w:tc>
        <w:tc>
          <w:tcPr>
            <w:tcW w:w="189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3</w:t>
            </w:r>
            <w:r w:rsidR="00F3204D">
              <w:rPr>
                <w:rFonts w:cs="Arial"/>
                <w:color w:val="000000"/>
                <w:sz w:val="24"/>
                <w:szCs w:val="24"/>
                <w:lang w:val="en-GB"/>
              </w:rPr>
              <w:t xml:space="preserve"> </w:t>
            </w:r>
            <w:r w:rsidRPr="007F2672">
              <w:rPr>
                <w:rFonts w:cs="Arial"/>
                <w:color w:val="000000"/>
                <w:sz w:val="24"/>
                <w:szCs w:val="24"/>
                <w:lang w:val="en-GB"/>
              </w:rPr>
              <w:t>100</w:t>
            </w:r>
          </w:p>
        </w:tc>
        <w:tc>
          <w:tcPr>
            <w:tcW w:w="1843" w:type="dxa"/>
            <w:tcBorders>
              <w:top w:val="nil"/>
              <w:left w:val="nil"/>
              <w:bottom w:val="single" w:sz="4" w:space="0" w:color="auto"/>
              <w:right w:val="single" w:sz="4" w:space="0" w:color="auto"/>
            </w:tcBorders>
            <w:shd w:val="clear" w:color="000000" w:fill="FBFBFB"/>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1</w:t>
            </w:r>
            <w:r w:rsidR="00F3204D">
              <w:rPr>
                <w:rFonts w:cs="Arial"/>
                <w:color w:val="000000"/>
                <w:sz w:val="24"/>
                <w:szCs w:val="24"/>
                <w:lang w:val="en-GB"/>
              </w:rPr>
              <w:t xml:space="preserve"> </w:t>
            </w:r>
            <w:r w:rsidRPr="007F2672">
              <w:rPr>
                <w:rFonts w:cs="Arial"/>
                <w:color w:val="000000"/>
                <w:sz w:val="24"/>
                <w:szCs w:val="24"/>
                <w:lang w:val="en-GB"/>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850</w:t>
            </w:r>
          </w:p>
        </w:tc>
        <w:tc>
          <w:tcPr>
            <w:tcW w:w="1276"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650</w:t>
            </w:r>
          </w:p>
        </w:tc>
        <w:tc>
          <w:tcPr>
            <w:tcW w:w="1275"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2</w:t>
            </w:r>
            <w:r w:rsidR="00F3204D">
              <w:rPr>
                <w:rFonts w:cs="Arial"/>
                <w:color w:val="000000"/>
                <w:sz w:val="24"/>
                <w:szCs w:val="24"/>
                <w:lang w:val="en-GB"/>
              </w:rPr>
              <w:t xml:space="preserve"> </w:t>
            </w:r>
            <w:r w:rsidRPr="007F2672">
              <w:rPr>
                <w:rFonts w:cs="Arial"/>
                <w:color w:val="000000"/>
                <w:sz w:val="24"/>
                <w:szCs w:val="24"/>
                <w:lang w:val="en-GB"/>
              </w:rPr>
              <w:t>800</w:t>
            </w:r>
          </w:p>
        </w:tc>
        <w:tc>
          <w:tcPr>
            <w:tcW w:w="1843" w:type="dxa"/>
            <w:tcBorders>
              <w:top w:val="nil"/>
              <w:left w:val="nil"/>
              <w:bottom w:val="single" w:sz="4" w:space="0" w:color="auto"/>
              <w:right w:val="single" w:sz="4" w:space="0" w:color="auto"/>
            </w:tcBorders>
            <w:shd w:val="clear" w:color="auto" w:fill="auto"/>
            <w:noWrap/>
            <w:vAlign w:val="bottom"/>
            <w:hideMark/>
          </w:tcPr>
          <w:p w:rsidR="00FE5D56" w:rsidRPr="007F2672" w:rsidRDefault="00FE5D56" w:rsidP="00FE5D56">
            <w:pPr>
              <w:spacing w:after="0"/>
              <w:jc w:val="center"/>
              <w:rPr>
                <w:rFonts w:cs="Arial"/>
                <w:color w:val="000000"/>
                <w:sz w:val="24"/>
                <w:szCs w:val="24"/>
                <w:lang w:val="en-GB"/>
              </w:rPr>
            </w:pPr>
            <w:r w:rsidRPr="007F2672">
              <w:rPr>
                <w:rFonts w:cs="Arial"/>
                <w:color w:val="000000"/>
                <w:sz w:val="24"/>
                <w:szCs w:val="24"/>
                <w:lang w:val="en-GB"/>
              </w:rPr>
              <w:t>1</w:t>
            </w:r>
            <w:r w:rsidR="00F3204D">
              <w:rPr>
                <w:rFonts w:cs="Arial"/>
                <w:color w:val="000000"/>
                <w:sz w:val="24"/>
                <w:szCs w:val="24"/>
                <w:lang w:val="en-GB"/>
              </w:rPr>
              <w:t xml:space="preserve"> </w:t>
            </w:r>
            <w:r w:rsidRPr="007F2672">
              <w:rPr>
                <w:rFonts w:cs="Arial"/>
                <w:color w:val="000000"/>
                <w:sz w:val="24"/>
                <w:szCs w:val="24"/>
                <w:lang w:val="en-GB"/>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FE5D56" w:rsidRPr="007F2672" w:rsidRDefault="00FE5D56" w:rsidP="00FE5D56">
            <w:pPr>
              <w:spacing w:after="0"/>
              <w:jc w:val="center"/>
              <w:rPr>
                <w:rFonts w:cs="Arial"/>
                <w:b/>
                <w:bCs/>
                <w:color w:val="000000"/>
                <w:sz w:val="24"/>
                <w:szCs w:val="24"/>
                <w:lang w:val="en-GB"/>
              </w:rPr>
            </w:pPr>
            <w:r w:rsidRPr="007F2672">
              <w:rPr>
                <w:rFonts w:cs="Arial"/>
                <w:b/>
                <w:bCs/>
                <w:color w:val="000000"/>
                <w:sz w:val="24"/>
                <w:szCs w:val="24"/>
                <w:lang w:val="en-GB"/>
              </w:rPr>
              <w:t>13</w:t>
            </w:r>
            <w:r w:rsidR="00F3204D">
              <w:rPr>
                <w:rFonts w:cs="Arial"/>
                <w:b/>
                <w:bCs/>
                <w:color w:val="000000"/>
                <w:sz w:val="24"/>
                <w:szCs w:val="24"/>
                <w:lang w:val="en-GB"/>
              </w:rPr>
              <w:t xml:space="preserve"> </w:t>
            </w:r>
            <w:r w:rsidRPr="007F2672">
              <w:rPr>
                <w:rFonts w:cs="Arial"/>
                <w:b/>
                <w:bCs/>
                <w:color w:val="000000"/>
                <w:sz w:val="24"/>
                <w:szCs w:val="24"/>
                <w:lang w:val="en-GB"/>
              </w:rPr>
              <w:t>400</w:t>
            </w:r>
          </w:p>
        </w:tc>
      </w:tr>
    </w:tbl>
    <w:p w:rsidR="00381E4B" w:rsidRPr="007F2672" w:rsidRDefault="00381E4B" w:rsidP="00381E4B">
      <w:pPr>
        <w:rPr>
          <w:lang w:val="en-GB"/>
        </w:rPr>
      </w:pPr>
    </w:p>
    <w:p w:rsidR="00381E4B" w:rsidRPr="007F2672" w:rsidRDefault="00381E4B" w:rsidP="00381E4B">
      <w:pPr>
        <w:rPr>
          <w:lang w:val="en-GB"/>
        </w:rPr>
      </w:pPr>
    </w:p>
    <w:p w:rsidR="00381E4B" w:rsidRPr="00F3204D" w:rsidRDefault="00F3204D" w:rsidP="00F3204D">
      <w:pPr>
        <w:jc w:val="center"/>
        <w:rPr>
          <w:b/>
          <w:sz w:val="28"/>
          <w:szCs w:val="28"/>
          <w:lang w:val="en-GB"/>
        </w:rPr>
      </w:pPr>
      <w:r>
        <w:rPr>
          <w:b/>
          <w:sz w:val="28"/>
          <w:szCs w:val="28"/>
          <w:lang w:val="en-GB"/>
        </w:rPr>
        <w:t>Pattern of development of the pupil population in relation to capacity</w:t>
      </w:r>
    </w:p>
    <w:p w:rsidR="00381E4B" w:rsidRPr="007F2672" w:rsidRDefault="001D45A4" w:rsidP="00381E4B">
      <w:pPr>
        <w:rPr>
          <w:lang w:val="en-GB"/>
        </w:rPr>
      </w:pPr>
      <w:r w:rsidRPr="007F2672">
        <w:rPr>
          <w:noProof/>
          <w:lang w:val="fr-BE" w:eastAsia="fr-BE"/>
        </w:rPr>
        <w:drawing>
          <wp:inline distT="0" distB="0" distL="0" distR="0" wp14:anchorId="5088C408" wp14:editId="755A2324">
            <wp:extent cx="9577705" cy="27559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7705" cy="2755900"/>
                    </a:xfrm>
                    <a:prstGeom prst="rect">
                      <a:avLst/>
                    </a:prstGeom>
                    <a:noFill/>
                  </pic:spPr>
                </pic:pic>
              </a:graphicData>
            </a:graphic>
          </wp:inline>
        </w:drawing>
      </w:r>
    </w:p>
    <w:p w:rsidR="00381E4B" w:rsidRPr="00F3204D" w:rsidRDefault="00F3204D" w:rsidP="00381E4B">
      <w:pPr>
        <w:rPr>
          <w:sz w:val="18"/>
          <w:szCs w:val="18"/>
          <w:lang w:val="en-GB"/>
        </w:rPr>
      </w:pP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F3204D">
        <w:rPr>
          <w:sz w:val="18"/>
          <w:szCs w:val="18"/>
          <w:lang w:val="en-GB"/>
        </w:rPr>
        <w:t>Theoretical capacity</w:t>
      </w:r>
      <w:r>
        <w:rPr>
          <w:sz w:val="18"/>
          <w:szCs w:val="18"/>
          <w:lang w:val="en-GB"/>
        </w:rPr>
        <w:tab/>
      </w:r>
      <w:r>
        <w:rPr>
          <w:sz w:val="18"/>
          <w:szCs w:val="18"/>
          <w:lang w:val="en-GB"/>
        </w:rPr>
        <w:tab/>
        <w:t xml:space="preserve">        Pupil population</w:t>
      </w:r>
    </w:p>
    <w:p w:rsidR="00381E4B" w:rsidRPr="007F2672" w:rsidRDefault="00381E4B" w:rsidP="00381E4B">
      <w:pPr>
        <w:rPr>
          <w:lang w:val="en-GB"/>
        </w:rPr>
      </w:pPr>
    </w:p>
    <w:p w:rsidR="00381E4B" w:rsidRPr="007F2672" w:rsidRDefault="000B0B3B" w:rsidP="00381E4B">
      <w:pPr>
        <w:rPr>
          <w:lang w:val="en-GB"/>
        </w:rPr>
      </w:pPr>
      <w:r w:rsidRPr="007F2672">
        <w:rPr>
          <w:noProof/>
          <w:lang w:val="fr-BE" w:eastAsia="fr-BE"/>
        </w:rPr>
        <w:drawing>
          <wp:inline distT="0" distB="0" distL="0" distR="0" wp14:anchorId="402A5FC0" wp14:editId="27F8AF4C">
            <wp:extent cx="9577705" cy="2908300"/>
            <wp:effectExtent l="0" t="0" r="444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77705" cy="2908300"/>
                    </a:xfrm>
                    <a:prstGeom prst="rect">
                      <a:avLst/>
                    </a:prstGeom>
                    <a:noFill/>
                  </pic:spPr>
                </pic:pic>
              </a:graphicData>
            </a:graphic>
          </wp:inline>
        </w:drawing>
      </w:r>
    </w:p>
    <w:p w:rsidR="00F3204D" w:rsidRPr="00F3204D" w:rsidRDefault="00F3204D" w:rsidP="00F3204D">
      <w:pPr>
        <w:rPr>
          <w:sz w:val="18"/>
          <w:szCs w:val="18"/>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sz w:val="18"/>
          <w:szCs w:val="18"/>
          <w:lang w:val="en-GB"/>
        </w:rPr>
        <w:t>Pupil population</w:t>
      </w:r>
      <w:r>
        <w:rPr>
          <w:sz w:val="18"/>
          <w:szCs w:val="18"/>
          <w:lang w:val="en-GB"/>
        </w:rPr>
        <w:tab/>
        <w:t xml:space="preserve">       Theoretical capacity</w:t>
      </w:r>
    </w:p>
    <w:p w:rsidR="00381E4B" w:rsidRPr="007F2672" w:rsidRDefault="00381E4B" w:rsidP="007B3B8F">
      <w:pPr>
        <w:rPr>
          <w:lang w:val="en-GB"/>
        </w:rPr>
      </w:pPr>
    </w:p>
    <w:p w:rsidR="007D0C69" w:rsidRPr="007F2672" w:rsidRDefault="007D0C69" w:rsidP="007D0C69">
      <w:pPr>
        <w:tabs>
          <w:tab w:val="left" w:pos="284"/>
        </w:tabs>
        <w:spacing w:line="276" w:lineRule="auto"/>
        <w:rPr>
          <w:szCs w:val="22"/>
          <w:lang w:val="en-GB"/>
        </w:rPr>
      </w:pPr>
    </w:p>
    <w:p w:rsidR="00145756" w:rsidRPr="007F2672" w:rsidRDefault="00145756" w:rsidP="00545C86">
      <w:pPr>
        <w:tabs>
          <w:tab w:val="left" w:pos="284"/>
        </w:tabs>
        <w:spacing w:line="276" w:lineRule="auto"/>
        <w:rPr>
          <w:i/>
          <w:szCs w:val="22"/>
          <w:lang w:val="en-GB"/>
        </w:rPr>
      </w:pPr>
    </w:p>
    <w:p w:rsidR="00145756" w:rsidRPr="007F2672" w:rsidRDefault="00145756" w:rsidP="00545C86">
      <w:pPr>
        <w:tabs>
          <w:tab w:val="left" w:pos="284"/>
        </w:tabs>
        <w:spacing w:line="276" w:lineRule="auto"/>
        <w:rPr>
          <w:i/>
          <w:szCs w:val="22"/>
          <w:lang w:val="en-GB"/>
        </w:rPr>
      </w:pPr>
    </w:p>
    <w:p w:rsidR="00B05B49" w:rsidRPr="007F2672" w:rsidRDefault="00B05B49" w:rsidP="00545C86">
      <w:pPr>
        <w:tabs>
          <w:tab w:val="left" w:pos="284"/>
        </w:tabs>
        <w:spacing w:line="276" w:lineRule="auto"/>
        <w:rPr>
          <w:b/>
          <w:sz w:val="24"/>
          <w:szCs w:val="24"/>
          <w:u w:val="single"/>
          <w:lang w:val="en-GB"/>
        </w:rPr>
      </w:pPr>
    </w:p>
    <w:sectPr w:rsidR="00B05B49" w:rsidRPr="007F2672" w:rsidSect="00381E4B">
      <w:pgSz w:w="16838" w:h="11906" w:orient="landscape"/>
      <w:pgMar w:top="1134" w:right="1021" w:bottom="1701" w:left="1021" w:header="601" w:footer="107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9C" w:rsidRDefault="00F2789C">
      <w:r>
        <w:separator/>
      </w:r>
    </w:p>
  </w:endnote>
  <w:endnote w:type="continuationSeparator" w:id="0">
    <w:p w:rsidR="00F2789C" w:rsidRDefault="00F2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Malgun Gothic Semilight"/>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9C" w:rsidRDefault="00F2789C">
      <w:r>
        <w:separator/>
      </w:r>
    </w:p>
  </w:footnote>
  <w:footnote w:type="continuationSeparator" w:id="0">
    <w:p w:rsidR="00F2789C" w:rsidRDefault="00F278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842D7"/>
    <w:multiLevelType w:val="hybridMultilevel"/>
    <w:tmpl w:val="191CA0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31252FA"/>
    <w:multiLevelType w:val="hybridMultilevel"/>
    <w:tmpl w:val="EB5A9876"/>
    <w:lvl w:ilvl="0" w:tplc="78C00278">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773DFE"/>
    <w:multiLevelType w:val="hybridMultilevel"/>
    <w:tmpl w:val="6E3C785A"/>
    <w:lvl w:ilvl="0" w:tplc="D4A2DFB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19E10612"/>
    <w:multiLevelType w:val="multilevel"/>
    <w:tmpl w:val="FF68CFB2"/>
    <w:lvl w:ilvl="0">
      <w:start w:val="1"/>
      <w:numFmt w:val="decimal"/>
      <w:lvlText w:val="%1."/>
      <w:lvlJc w:val="left"/>
      <w:pPr>
        <w:ind w:left="428" w:hanging="428"/>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4" w15:restartNumberingAfterBreak="0">
    <w:nsid w:val="218105B7"/>
    <w:multiLevelType w:val="hybridMultilevel"/>
    <w:tmpl w:val="F0DE2320"/>
    <w:lvl w:ilvl="0" w:tplc="619AE2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4" w15:restartNumberingAfterBreak="0">
    <w:nsid w:val="47E429EE"/>
    <w:multiLevelType w:val="hybridMultilevel"/>
    <w:tmpl w:val="2446F666"/>
    <w:lvl w:ilvl="0" w:tplc="5EDA3FF4">
      <w:start w:val="1"/>
      <w:numFmt w:val="decimal"/>
      <w:lvlText w:val="%1."/>
      <w:lvlJc w:val="left"/>
      <w:pPr>
        <w:ind w:left="720" w:hanging="360"/>
      </w:pPr>
      <w:rPr>
        <w:rFonts w:ascii="Arial" w:hAnsi="Arial" w:cs="Arial" w:hint="default"/>
        <w:b w:val="0"/>
        <w:sz w:val="22"/>
        <w:szCs w:val="22"/>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3D0893"/>
    <w:multiLevelType w:val="hybridMultilevel"/>
    <w:tmpl w:val="4ECC5848"/>
    <w:lvl w:ilvl="0" w:tplc="1DCCA22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60EF7E3F"/>
    <w:multiLevelType w:val="hybridMultilevel"/>
    <w:tmpl w:val="DF263F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8682334"/>
    <w:multiLevelType w:val="hybridMultilevel"/>
    <w:tmpl w:val="A8AA2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33673"/>
    <w:multiLevelType w:val="hybridMultilevel"/>
    <w:tmpl w:val="BE54391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5" w15:restartNumberingAfterBreak="0">
    <w:nsid w:val="6A1D295B"/>
    <w:multiLevelType w:val="hybridMultilevel"/>
    <w:tmpl w:val="CC600730"/>
    <w:lvl w:ilvl="0" w:tplc="7C566B96">
      <w:start w:val="201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389239D"/>
    <w:multiLevelType w:val="hybridMultilevel"/>
    <w:tmpl w:val="F7FC240A"/>
    <w:lvl w:ilvl="0" w:tplc="DC6004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397BB3"/>
    <w:multiLevelType w:val="hybridMultilevel"/>
    <w:tmpl w:val="A08E04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44F4388"/>
    <w:multiLevelType w:val="hybridMultilevel"/>
    <w:tmpl w:val="E80A4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1"/>
  </w:num>
  <w:num w:numId="2">
    <w:abstractNumId w:val="0"/>
  </w:num>
  <w:num w:numId="3">
    <w:abstractNumId w:val="19"/>
  </w:num>
  <w:num w:numId="4">
    <w:abstractNumId w:val="9"/>
  </w:num>
  <w:num w:numId="5">
    <w:abstractNumId w:val="7"/>
  </w:num>
  <w:num w:numId="6">
    <w:abstractNumId w:val="29"/>
  </w:num>
  <w:num w:numId="7">
    <w:abstractNumId w:val="31"/>
  </w:num>
  <w:num w:numId="8">
    <w:abstractNumId w:val="30"/>
  </w:num>
  <w:num w:numId="9">
    <w:abstractNumId w:val="36"/>
  </w:num>
  <w:num w:numId="10">
    <w:abstractNumId w:val="16"/>
  </w:num>
  <w:num w:numId="11">
    <w:abstractNumId w:val="20"/>
  </w:num>
  <w:num w:numId="12">
    <w:abstractNumId w:val="22"/>
  </w:num>
  <w:num w:numId="13">
    <w:abstractNumId w:val="21"/>
  </w:num>
  <w:num w:numId="14">
    <w:abstractNumId w:val="6"/>
  </w:num>
  <w:num w:numId="15">
    <w:abstractNumId w:val="25"/>
  </w:num>
  <w:num w:numId="16">
    <w:abstractNumId w:val="23"/>
  </w:num>
  <w:num w:numId="17">
    <w:abstractNumId w:val="13"/>
  </w:num>
  <w:num w:numId="18">
    <w:abstractNumId w:val="3"/>
  </w:num>
  <w:num w:numId="19">
    <w:abstractNumId w:val="2"/>
  </w:num>
  <w:num w:numId="20">
    <w:abstractNumId w:val="28"/>
  </w:num>
  <w:num w:numId="21">
    <w:abstractNumId w:val="34"/>
  </w:num>
  <w:num w:numId="22">
    <w:abstractNumId w:val="18"/>
  </w:num>
  <w:num w:numId="23">
    <w:abstractNumId w:val="17"/>
  </w:num>
  <w:num w:numId="24">
    <w:abstractNumId w:val="2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0"/>
  </w:num>
  <w:num w:numId="28">
    <w:abstractNumId w:val="38"/>
  </w:num>
  <w:num w:numId="29">
    <w:abstractNumId w:val="4"/>
  </w:num>
  <w:num w:numId="30">
    <w:abstractNumId w:val="26"/>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2"/>
  </w:num>
  <w:num w:numId="38">
    <w:abstractNumId w:val="37"/>
  </w:num>
  <w:num w:numId="39">
    <w:abstractNumId w:val="35"/>
  </w:num>
  <w:num w:numId="40">
    <w:abstractNumId w:val="10"/>
  </w:num>
  <w:num w:numId="41">
    <w:abstractNumId w:val="38"/>
  </w:num>
  <w:num w:numId="42">
    <w:abstractNumId w:val="4"/>
  </w:num>
  <w:num w:numId="43">
    <w:abstractNumId w:val="26"/>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5"/>
    <w:lvlOverride w:ilvl="0">
      <w:startOverride w:val="1"/>
    </w:lvlOverride>
    <w:lvlOverride w:ilvl="1"/>
    <w:lvlOverride w:ilvl="2"/>
    <w:lvlOverride w:ilvl="3"/>
    <w:lvlOverride w:ilvl="4"/>
    <w:lvlOverride w:ilvl="5"/>
    <w:lvlOverride w:ilvl="6"/>
    <w:lvlOverride w:ilvl="7"/>
    <w:lvlOverride w:ilvl="8"/>
  </w:num>
  <w:num w:numId="48">
    <w:abstractNumId w:val="12"/>
  </w:num>
  <w:num w:numId="4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F6"/>
    <w:rsid w:val="000006C4"/>
    <w:rsid w:val="00001BCF"/>
    <w:rsid w:val="00003447"/>
    <w:rsid w:val="000049EC"/>
    <w:rsid w:val="00005771"/>
    <w:rsid w:val="00006C4D"/>
    <w:rsid w:val="00007505"/>
    <w:rsid w:val="00007F79"/>
    <w:rsid w:val="0001273A"/>
    <w:rsid w:val="00014435"/>
    <w:rsid w:val="00014A18"/>
    <w:rsid w:val="00014E93"/>
    <w:rsid w:val="000158FF"/>
    <w:rsid w:val="000160E7"/>
    <w:rsid w:val="00020346"/>
    <w:rsid w:val="00020D25"/>
    <w:rsid w:val="00020FFC"/>
    <w:rsid w:val="00022109"/>
    <w:rsid w:val="00022972"/>
    <w:rsid w:val="00023E69"/>
    <w:rsid w:val="00023FAC"/>
    <w:rsid w:val="00024859"/>
    <w:rsid w:val="00024CE0"/>
    <w:rsid w:val="0002653A"/>
    <w:rsid w:val="00027A3C"/>
    <w:rsid w:val="000304F6"/>
    <w:rsid w:val="000318C2"/>
    <w:rsid w:val="00031CFA"/>
    <w:rsid w:val="00035365"/>
    <w:rsid w:val="00035E1B"/>
    <w:rsid w:val="0003781B"/>
    <w:rsid w:val="00040DA0"/>
    <w:rsid w:val="00047152"/>
    <w:rsid w:val="00050016"/>
    <w:rsid w:val="00051101"/>
    <w:rsid w:val="0005152C"/>
    <w:rsid w:val="00052852"/>
    <w:rsid w:val="00057530"/>
    <w:rsid w:val="000603A0"/>
    <w:rsid w:val="0006126A"/>
    <w:rsid w:val="000616AC"/>
    <w:rsid w:val="00062ADA"/>
    <w:rsid w:val="00062BA8"/>
    <w:rsid w:val="0006310F"/>
    <w:rsid w:val="0006498C"/>
    <w:rsid w:val="00065889"/>
    <w:rsid w:val="00066E6B"/>
    <w:rsid w:val="00067B67"/>
    <w:rsid w:val="0007024F"/>
    <w:rsid w:val="00070AE9"/>
    <w:rsid w:val="000747B2"/>
    <w:rsid w:val="00075F7E"/>
    <w:rsid w:val="00080571"/>
    <w:rsid w:val="00083603"/>
    <w:rsid w:val="000850EB"/>
    <w:rsid w:val="00085750"/>
    <w:rsid w:val="00087BDD"/>
    <w:rsid w:val="000904F4"/>
    <w:rsid w:val="00092531"/>
    <w:rsid w:val="0009400C"/>
    <w:rsid w:val="000941A4"/>
    <w:rsid w:val="00095B3D"/>
    <w:rsid w:val="00097961"/>
    <w:rsid w:val="000A058E"/>
    <w:rsid w:val="000A0C8D"/>
    <w:rsid w:val="000A0DB6"/>
    <w:rsid w:val="000A3531"/>
    <w:rsid w:val="000A3916"/>
    <w:rsid w:val="000A3F82"/>
    <w:rsid w:val="000A6D97"/>
    <w:rsid w:val="000B09FF"/>
    <w:rsid w:val="000B0B3B"/>
    <w:rsid w:val="000B1767"/>
    <w:rsid w:val="000B2D4A"/>
    <w:rsid w:val="000B4781"/>
    <w:rsid w:val="000B5340"/>
    <w:rsid w:val="000B7439"/>
    <w:rsid w:val="000B77B7"/>
    <w:rsid w:val="000B7D04"/>
    <w:rsid w:val="000C1E40"/>
    <w:rsid w:val="000C1F51"/>
    <w:rsid w:val="000C2BC2"/>
    <w:rsid w:val="000C3203"/>
    <w:rsid w:val="000C3E8B"/>
    <w:rsid w:val="000C6033"/>
    <w:rsid w:val="000D012E"/>
    <w:rsid w:val="000D08DF"/>
    <w:rsid w:val="000D191F"/>
    <w:rsid w:val="000D1EA8"/>
    <w:rsid w:val="000D3AC6"/>
    <w:rsid w:val="000D3D03"/>
    <w:rsid w:val="000D43AC"/>
    <w:rsid w:val="000D5421"/>
    <w:rsid w:val="000D5BBD"/>
    <w:rsid w:val="000D5C6A"/>
    <w:rsid w:val="000E0C27"/>
    <w:rsid w:val="000E2B94"/>
    <w:rsid w:val="000E2CA0"/>
    <w:rsid w:val="000E310B"/>
    <w:rsid w:val="000E448D"/>
    <w:rsid w:val="000E4F31"/>
    <w:rsid w:val="000E5263"/>
    <w:rsid w:val="000E6586"/>
    <w:rsid w:val="000E6A54"/>
    <w:rsid w:val="000E79EF"/>
    <w:rsid w:val="000F0B57"/>
    <w:rsid w:val="000F3FC3"/>
    <w:rsid w:val="000F48B6"/>
    <w:rsid w:val="000F7776"/>
    <w:rsid w:val="00100C02"/>
    <w:rsid w:val="00102A57"/>
    <w:rsid w:val="001062FF"/>
    <w:rsid w:val="00107EB0"/>
    <w:rsid w:val="001109D9"/>
    <w:rsid w:val="00112D45"/>
    <w:rsid w:val="001141E2"/>
    <w:rsid w:val="00114C7F"/>
    <w:rsid w:val="0011523D"/>
    <w:rsid w:val="0011722C"/>
    <w:rsid w:val="0011749E"/>
    <w:rsid w:val="00121B3B"/>
    <w:rsid w:val="0012241E"/>
    <w:rsid w:val="00122BA8"/>
    <w:rsid w:val="00127DDA"/>
    <w:rsid w:val="00130F5C"/>
    <w:rsid w:val="00131168"/>
    <w:rsid w:val="00131B11"/>
    <w:rsid w:val="0013208A"/>
    <w:rsid w:val="00134437"/>
    <w:rsid w:val="00135BD3"/>
    <w:rsid w:val="001361C5"/>
    <w:rsid w:val="00137831"/>
    <w:rsid w:val="00141163"/>
    <w:rsid w:val="001420FD"/>
    <w:rsid w:val="0014212B"/>
    <w:rsid w:val="00143ABC"/>
    <w:rsid w:val="00144D9A"/>
    <w:rsid w:val="00145756"/>
    <w:rsid w:val="00145D7F"/>
    <w:rsid w:val="00146D39"/>
    <w:rsid w:val="00146EFF"/>
    <w:rsid w:val="00147219"/>
    <w:rsid w:val="00150E9F"/>
    <w:rsid w:val="0015174A"/>
    <w:rsid w:val="00151763"/>
    <w:rsid w:val="00155AEB"/>
    <w:rsid w:val="001564E5"/>
    <w:rsid w:val="001576A6"/>
    <w:rsid w:val="00162664"/>
    <w:rsid w:val="00162EBD"/>
    <w:rsid w:val="00164449"/>
    <w:rsid w:val="001650F2"/>
    <w:rsid w:val="001662AC"/>
    <w:rsid w:val="00166765"/>
    <w:rsid w:val="00167769"/>
    <w:rsid w:val="00170E62"/>
    <w:rsid w:val="00171A14"/>
    <w:rsid w:val="0017492F"/>
    <w:rsid w:val="001753D1"/>
    <w:rsid w:val="00176412"/>
    <w:rsid w:val="0017790E"/>
    <w:rsid w:val="0018139D"/>
    <w:rsid w:val="00183332"/>
    <w:rsid w:val="00183EFB"/>
    <w:rsid w:val="00184957"/>
    <w:rsid w:val="00184AA2"/>
    <w:rsid w:val="00185BE0"/>
    <w:rsid w:val="00185FE6"/>
    <w:rsid w:val="001872E0"/>
    <w:rsid w:val="00190731"/>
    <w:rsid w:val="00197C97"/>
    <w:rsid w:val="001A03D6"/>
    <w:rsid w:val="001A1E63"/>
    <w:rsid w:val="001A2B36"/>
    <w:rsid w:val="001A5FEA"/>
    <w:rsid w:val="001A6679"/>
    <w:rsid w:val="001A6A77"/>
    <w:rsid w:val="001A76F8"/>
    <w:rsid w:val="001A7E3F"/>
    <w:rsid w:val="001B0634"/>
    <w:rsid w:val="001B1098"/>
    <w:rsid w:val="001B25A3"/>
    <w:rsid w:val="001B2938"/>
    <w:rsid w:val="001B3171"/>
    <w:rsid w:val="001C03A9"/>
    <w:rsid w:val="001C2736"/>
    <w:rsid w:val="001C41B1"/>
    <w:rsid w:val="001C440F"/>
    <w:rsid w:val="001C64D1"/>
    <w:rsid w:val="001C67B2"/>
    <w:rsid w:val="001C68CC"/>
    <w:rsid w:val="001C7A50"/>
    <w:rsid w:val="001C7BA2"/>
    <w:rsid w:val="001D0B7A"/>
    <w:rsid w:val="001D21C3"/>
    <w:rsid w:val="001D33A4"/>
    <w:rsid w:val="001D43F4"/>
    <w:rsid w:val="001D45A4"/>
    <w:rsid w:val="001D5401"/>
    <w:rsid w:val="001D5F10"/>
    <w:rsid w:val="001D61C5"/>
    <w:rsid w:val="001D6B06"/>
    <w:rsid w:val="001D6B72"/>
    <w:rsid w:val="001D6E04"/>
    <w:rsid w:val="001D797B"/>
    <w:rsid w:val="001D7CD6"/>
    <w:rsid w:val="001E062C"/>
    <w:rsid w:val="001E1671"/>
    <w:rsid w:val="001E22B3"/>
    <w:rsid w:val="001E3147"/>
    <w:rsid w:val="001E3EDD"/>
    <w:rsid w:val="001E40B0"/>
    <w:rsid w:val="001E4547"/>
    <w:rsid w:val="001E79CA"/>
    <w:rsid w:val="001F0A88"/>
    <w:rsid w:val="001F2CCD"/>
    <w:rsid w:val="001F3ACA"/>
    <w:rsid w:val="001F54CA"/>
    <w:rsid w:val="001F58C1"/>
    <w:rsid w:val="001F7085"/>
    <w:rsid w:val="002004B1"/>
    <w:rsid w:val="00201150"/>
    <w:rsid w:val="00201EA4"/>
    <w:rsid w:val="002032BF"/>
    <w:rsid w:val="002035A8"/>
    <w:rsid w:val="0020582C"/>
    <w:rsid w:val="00211B59"/>
    <w:rsid w:val="00211E74"/>
    <w:rsid w:val="00212E33"/>
    <w:rsid w:val="00214C42"/>
    <w:rsid w:val="002156C9"/>
    <w:rsid w:val="002221C5"/>
    <w:rsid w:val="0022271B"/>
    <w:rsid w:val="00222EA5"/>
    <w:rsid w:val="00225D67"/>
    <w:rsid w:val="002263DD"/>
    <w:rsid w:val="00226B2C"/>
    <w:rsid w:val="00230908"/>
    <w:rsid w:val="00232833"/>
    <w:rsid w:val="00234C74"/>
    <w:rsid w:val="00237A96"/>
    <w:rsid w:val="00240099"/>
    <w:rsid w:val="002420A5"/>
    <w:rsid w:val="00242B37"/>
    <w:rsid w:val="00243144"/>
    <w:rsid w:val="002445D4"/>
    <w:rsid w:val="0025099A"/>
    <w:rsid w:val="00250F17"/>
    <w:rsid w:val="00251C97"/>
    <w:rsid w:val="00253AA4"/>
    <w:rsid w:val="00253D5F"/>
    <w:rsid w:val="00256CD6"/>
    <w:rsid w:val="0026078A"/>
    <w:rsid w:val="00262293"/>
    <w:rsid w:val="002625B1"/>
    <w:rsid w:val="002645AF"/>
    <w:rsid w:val="002650B3"/>
    <w:rsid w:val="002651CD"/>
    <w:rsid w:val="00266560"/>
    <w:rsid w:val="00267458"/>
    <w:rsid w:val="00267C08"/>
    <w:rsid w:val="00267DEA"/>
    <w:rsid w:val="002710C1"/>
    <w:rsid w:val="002718BF"/>
    <w:rsid w:val="00272FF9"/>
    <w:rsid w:val="00273EA7"/>
    <w:rsid w:val="0027415C"/>
    <w:rsid w:val="00274F69"/>
    <w:rsid w:val="00275F6C"/>
    <w:rsid w:val="002775D7"/>
    <w:rsid w:val="00277C6F"/>
    <w:rsid w:val="002811C9"/>
    <w:rsid w:val="00283625"/>
    <w:rsid w:val="002856A4"/>
    <w:rsid w:val="00285BE2"/>
    <w:rsid w:val="00286840"/>
    <w:rsid w:val="00290773"/>
    <w:rsid w:val="002915C4"/>
    <w:rsid w:val="00291809"/>
    <w:rsid w:val="00291E05"/>
    <w:rsid w:val="00292114"/>
    <w:rsid w:val="00293B9D"/>
    <w:rsid w:val="0029416E"/>
    <w:rsid w:val="00295CBF"/>
    <w:rsid w:val="00295E0A"/>
    <w:rsid w:val="002A2F54"/>
    <w:rsid w:val="002A3672"/>
    <w:rsid w:val="002A3CEB"/>
    <w:rsid w:val="002A405F"/>
    <w:rsid w:val="002A45D1"/>
    <w:rsid w:val="002A6739"/>
    <w:rsid w:val="002B0D20"/>
    <w:rsid w:val="002B17EB"/>
    <w:rsid w:val="002B2677"/>
    <w:rsid w:val="002B31B6"/>
    <w:rsid w:val="002B431E"/>
    <w:rsid w:val="002C0314"/>
    <w:rsid w:val="002C1EDE"/>
    <w:rsid w:val="002C43F2"/>
    <w:rsid w:val="002C46DD"/>
    <w:rsid w:val="002C7398"/>
    <w:rsid w:val="002C7630"/>
    <w:rsid w:val="002D1028"/>
    <w:rsid w:val="002D28CD"/>
    <w:rsid w:val="002D57E5"/>
    <w:rsid w:val="002E0DF8"/>
    <w:rsid w:val="002E13E0"/>
    <w:rsid w:val="002E18BA"/>
    <w:rsid w:val="002E1F7C"/>
    <w:rsid w:val="002E537F"/>
    <w:rsid w:val="002E697C"/>
    <w:rsid w:val="002E7E34"/>
    <w:rsid w:val="002F1E89"/>
    <w:rsid w:val="002F2315"/>
    <w:rsid w:val="002F65EB"/>
    <w:rsid w:val="0030185B"/>
    <w:rsid w:val="00302D0E"/>
    <w:rsid w:val="00302FEC"/>
    <w:rsid w:val="00303D0A"/>
    <w:rsid w:val="00303D84"/>
    <w:rsid w:val="003049E2"/>
    <w:rsid w:val="00304C83"/>
    <w:rsid w:val="00310E55"/>
    <w:rsid w:val="00311269"/>
    <w:rsid w:val="00312179"/>
    <w:rsid w:val="003130E3"/>
    <w:rsid w:val="003141C8"/>
    <w:rsid w:val="0031435B"/>
    <w:rsid w:val="003167EA"/>
    <w:rsid w:val="00320B42"/>
    <w:rsid w:val="003224A2"/>
    <w:rsid w:val="003225DC"/>
    <w:rsid w:val="00322ECB"/>
    <w:rsid w:val="00327C76"/>
    <w:rsid w:val="003317F3"/>
    <w:rsid w:val="0033185C"/>
    <w:rsid w:val="0033294A"/>
    <w:rsid w:val="00332BDD"/>
    <w:rsid w:val="003337F4"/>
    <w:rsid w:val="00333945"/>
    <w:rsid w:val="0033521B"/>
    <w:rsid w:val="00335DD3"/>
    <w:rsid w:val="00335F17"/>
    <w:rsid w:val="00336238"/>
    <w:rsid w:val="00340764"/>
    <w:rsid w:val="00341273"/>
    <w:rsid w:val="0034138B"/>
    <w:rsid w:val="00341F1A"/>
    <w:rsid w:val="00342DA3"/>
    <w:rsid w:val="00343CFF"/>
    <w:rsid w:val="00344187"/>
    <w:rsid w:val="003441FB"/>
    <w:rsid w:val="0034568C"/>
    <w:rsid w:val="00346704"/>
    <w:rsid w:val="003476CB"/>
    <w:rsid w:val="00353396"/>
    <w:rsid w:val="00353A5C"/>
    <w:rsid w:val="003543ED"/>
    <w:rsid w:val="003546A3"/>
    <w:rsid w:val="0035578A"/>
    <w:rsid w:val="00355CCA"/>
    <w:rsid w:val="00357FAA"/>
    <w:rsid w:val="003611CA"/>
    <w:rsid w:val="00366C54"/>
    <w:rsid w:val="00367FED"/>
    <w:rsid w:val="00370769"/>
    <w:rsid w:val="00372F13"/>
    <w:rsid w:val="00373956"/>
    <w:rsid w:val="003745E3"/>
    <w:rsid w:val="003753A3"/>
    <w:rsid w:val="00376E95"/>
    <w:rsid w:val="003808E0"/>
    <w:rsid w:val="00381610"/>
    <w:rsid w:val="00381777"/>
    <w:rsid w:val="00381E4B"/>
    <w:rsid w:val="003826F6"/>
    <w:rsid w:val="00382B9E"/>
    <w:rsid w:val="003865FB"/>
    <w:rsid w:val="003867D4"/>
    <w:rsid w:val="00386E20"/>
    <w:rsid w:val="00393CF8"/>
    <w:rsid w:val="00393F72"/>
    <w:rsid w:val="00395EA7"/>
    <w:rsid w:val="0039739A"/>
    <w:rsid w:val="00397552"/>
    <w:rsid w:val="003A083C"/>
    <w:rsid w:val="003A403E"/>
    <w:rsid w:val="003A6507"/>
    <w:rsid w:val="003B0538"/>
    <w:rsid w:val="003B0599"/>
    <w:rsid w:val="003B1304"/>
    <w:rsid w:val="003B1722"/>
    <w:rsid w:val="003B1737"/>
    <w:rsid w:val="003B1D15"/>
    <w:rsid w:val="003B315A"/>
    <w:rsid w:val="003B48AB"/>
    <w:rsid w:val="003B6782"/>
    <w:rsid w:val="003B6BA3"/>
    <w:rsid w:val="003C4B35"/>
    <w:rsid w:val="003C7D1A"/>
    <w:rsid w:val="003D0850"/>
    <w:rsid w:val="003D111F"/>
    <w:rsid w:val="003D1870"/>
    <w:rsid w:val="003D32CC"/>
    <w:rsid w:val="003D3B41"/>
    <w:rsid w:val="003D46DB"/>
    <w:rsid w:val="003D4E74"/>
    <w:rsid w:val="003D5262"/>
    <w:rsid w:val="003D5B09"/>
    <w:rsid w:val="003D5EA2"/>
    <w:rsid w:val="003D78CD"/>
    <w:rsid w:val="003E0E56"/>
    <w:rsid w:val="003E1BDE"/>
    <w:rsid w:val="003E388B"/>
    <w:rsid w:val="003E50DE"/>
    <w:rsid w:val="003E522D"/>
    <w:rsid w:val="003E57E2"/>
    <w:rsid w:val="003F0CA3"/>
    <w:rsid w:val="003F43AB"/>
    <w:rsid w:val="003F4F7D"/>
    <w:rsid w:val="003F55E4"/>
    <w:rsid w:val="003F684C"/>
    <w:rsid w:val="00402C42"/>
    <w:rsid w:val="00406D70"/>
    <w:rsid w:val="00407964"/>
    <w:rsid w:val="0041024C"/>
    <w:rsid w:val="00412688"/>
    <w:rsid w:val="0041452B"/>
    <w:rsid w:val="00414F62"/>
    <w:rsid w:val="004155E2"/>
    <w:rsid w:val="00416351"/>
    <w:rsid w:val="00416A5B"/>
    <w:rsid w:val="00417556"/>
    <w:rsid w:val="004179F3"/>
    <w:rsid w:val="0042073D"/>
    <w:rsid w:val="00423529"/>
    <w:rsid w:val="00423DB3"/>
    <w:rsid w:val="004247B4"/>
    <w:rsid w:val="00425194"/>
    <w:rsid w:val="00427BF3"/>
    <w:rsid w:val="00427F24"/>
    <w:rsid w:val="00430A50"/>
    <w:rsid w:val="0043136D"/>
    <w:rsid w:val="0043142E"/>
    <w:rsid w:val="0043287A"/>
    <w:rsid w:val="004336AD"/>
    <w:rsid w:val="00435458"/>
    <w:rsid w:val="0043576A"/>
    <w:rsid w:val="0043673A"/>
    <w:rsid w:val="004419CC"/>
    <w:rsid w:val="00441BCC"/>
    <w:rsid w:val="00442EAD"/>
    <w:rsid w:val="004436D4"/>
    <w:rsid w:val="004441D5"/>
    <w:rsid w:val="00444EF4"/>
    <w:rsid w:val="00446A61"/>
    <w:rsid w:val="00446E17"/>
    <w:rsid w:val="00446EE0"/>
    <w:rsid w:val="0045033C"/>
    <w:rsid w:val="00453F0D"/>
    <w:rsid w:val="004548D7"/>
    <w:rsid w:val="0045632C"/>
    <w:rsid w:val="0045681F"/>
    <w:rsid w:val="00457713"/>
    <w:rsid w:val="004603D2"/>
    <w:rsid w:val="004604FC"/>
    <w:rsid w:val="0046107B"/>
    <w:rsid w:val="004615CC"/>
    <w:rsid w:val="00462D4F"/>
    <w:rsid w:val="00464E3E"/>
    <w:rsid w:val="00466052"/>
    <w:rsid w:val="0046770B"/>
    <w:rsid w:val="004706A8"/>
    <w:rsid w:val="00470871"/>
    <w:rsid w:val="00470FB5"/>
    <w:rsid w:val="004710DD"/>
    <w:rsid w:val="00472BA3"/>
    <w:rsid w:val="00473641"/>
    <w:rsid w:val="00473C85"/>
    <w:rsid w:val="004763F8"/>
    <w:rsid w:val="00476F85"/>
    <w:rsid w:val="0047704F"/>
    <w:rsid w:val="0048066C"/>
    <w:rsid w:val="00480681"/>
    <w:rsid w:val="004814F6"/>
    <w:rsid w:val="00482EC7"/>
    <w:rsid w:val="0048307E"/>
    <w:rsid w:val="0048417A"/>
    <w:rsid w:val="00484AE7"/>
    <w:rsid w:val="00485097"/>
    <w:rsid w:val="00486C59"/>
    <w:rsid w:val="00487F45"/>
    <w:rsid w:val="004951E0"/>
    <w:rsid w:val="0049541C"/>
    <w:rsid w:val="00495AB9"/>
    <w:rsid w:val="00495D45"/>
    <w:rsid w:val="00495E48"/>
    <w:rsid w:val="00496433"/>
    <w:rsid w:val="004973B3"/>
    <w:rsid w:val="00497539"/>
    <w:rsid w:val="004979E5"/>
    <w:rsid w:val="004A00BA"/>
    <w:rsid w:val="004A09DA"/>
    <w:rsid w:val="004A15CD"/>
    <w:rsid w:val="004A1D41"/>
    <w:rsid w:val="004A2824"/>
    <w:rsid w:val="004A31EC"/>
    <w:rsid w:val="004A3782"/>
    <w:rsid w:val="004A4A4E"/>
    <w:rsid w:val="004A4ED7"/>
    <w:rsid w:val="004A7EF9"/>
    <w:rsid w:val="004B11F1"/>
    <w:rsid w:val="004B17BD"/>
    <w:rsid w:val="004B2E2B"/>
    <w:rsid w:val="004B2EB5"/>
    <w:rsid w:val="004B42AD"/>
    <w:rsid w:val="004B600C"/>
    <w:rsid w:val="004C0733"/>
    <w:rsid w:val="004C13E4"/>
    <w:rsid w:val="004C19B5"/>
    <w:rsid w:val="004C3F1F"/>
    <w:rsid w:val="004C41DE"/>
    <w:rsid w:val="004C50EC"/>
    <w:rsid w:val="004D15C9"/>
    <w:rsid w:val="004D1D7E"/>
    <w:rsid w:val="004D29DD"/>
    <w:rsid w:val="004D3000"/>
    <w:rsid w:val="004D3B39"/>
    <w:rsid w:val="004D3E5F"/>
    <w:rsid w:val="004D44BC"/>
    <w:rsid w:val="004D4C45"/>
    <w:rsid w:val="004D56B9"/>
    <w:rsid w:val="004D5880"/>
    <w:rsid w:val="004D62AC"/>
    <w:rsid w:val="004D7939"/>
    <w:rsid w:val="004E3779"/>
    <w:rsid w:val="004E3CDD"/>
    <w:rsid w:val="004E4265"/>
    <w:rsid w:val="004E568F"/>
    <w:rsid w:val="004E59AE"/>
    <w:rsid w:val="004E6548"/>
    <w:rsid w:val="004E7D12"/>
    <w:rsid w:val="004F006F"/>
    <w:rsid w:val="004F069C"/>
    <w:rsid w:val="004F0AD3"/>
    <w:rsid w:val="004F0CCE"/>
    <w:rsid w:val="004F1552"/>
    <w:rsid w:val="004F4E00"/>
    <w:rsid w:val="004F63BB"/>
    <w:rsid w:val="00501692"/>
    <w:rsid w:val="005017B8"/>
    <w:rsid w:val="00501C60"/>
    <w:rsid w:val="005021C0"/>
    <w:rsid w:val="00502401"/>
    <w:rsid w:val="00503CDF"/>
    <w:rsid w:val="005050C4"/>
    <w:rsid w:val="00505F86"/>
    <w:rsid w:val="005067DC"/>
    <w:rsid w:val="005100A9"/>
    <w:rsid w:val="00512BA7"/>
    <w:rsid w:val="0051403D"/>
    <w:rsid w:val="00514D0B"/>
    <w:rsid w:val="00516052"/>
    <w:rsid w:val="00517372"/>
    <w:rsid w:val="00522C25"/>
    <w:rsid w:val="00523326"/>
    <w:rsid w:val="005243F1"/>
    <w:rsid w:val="005253F7"/>
    <w:rsid w:val="00525458"/>
    <w:rsid w:val="00527E11"/>
    <w:rsid w:val="00530FE5"/>
    <w:rsid w:val="005316AA"/>
    <w:rsid w:val="00531DC9"/>
    <w:rsid w:val="00532947"/>
    <w:rsid w:val="00532D14"/>
    <w:rsid w:val="00533AAE"/>
    <w:rsid w:val="005346D5"/>
    <w:rsid w:val="00534941"/>
    <w:rsid w:val="005354FB"/>
    <w:rsid w:val="00535C3B"/>
    <w:rsid w:val="00536C29"/>
    <w:rsid w:val="00540A6C"/>
    <w:rsid w:val="00541E9C"/>
    <w:rsid w:val="00542258"/>
    <w:rsid w:val="00542392"/>
    <w:rsid w:val="0054249F"/>
    <w:rsid w:val="005424A1"/>
    <w:rsid w:val="00542C5C"/>
    <w:rsid w:val="00545C86"/>
    <w:rsid w:val="00546335"/>
    <w:rsid w:val="0054641F"/>
    <w:rsid w:val="0054667F"/>
    <w:rsid w:val="00547C0F"/>
    <w:rsid w:val="00547E3E"/>
    <w:rsid w:val="00551935"/>
    <w:rsid w:val="00552790"/>
    <w:rsid w:val="0055327D"/>
    <w:rsid w:val="00553E63"/>
    <w:rsid w:val="0055460D"/>
    <w:rsid w:val="00554BDD"/>
    <w:rsid w:val="005566F1"/>
    <w:rsid w:val="00556AA6"/>
    <w:rsid w:val="00557839"/>
    <w:rsid w:val="00563501"/>
    <w:rsid w:val="005638D3"/>
    <w:rsid w:val="0056397E"/>
    <w:rsid w:val="00563ABD"/>
    <w:rsid w:val="00570338"/>
    <w:rsid w:val="005704FF"/>
    <w:rsid w:val="00572541"/>
    <w:rsid w:val="0057381C"/>
    <w:rsid w:val="00574D93"/>
    <w:rsid w:val="00575BA0"/>
    <w:rsid w:val="00575BEB"/>
    <w:rsid w:val="00580F5B"/>
    <w:rsid w:val="005814AD"/>
    <w:rsid w:val="00583452"/>
    <w:rsid w:val="005836C8"/>
    <w:rsid w:val="00585C2B"/>
    <w:rsid w:val="005867BD"/>
    <w:rsid w:val="005870AF"/>
    <w:rsid w:val="005870BD"/>
    <w:rsid w:val="005872F0"/>
    <w:rsid w:val="005919D6"/>
    <w:rsid w:val="005924C4"/>
    <w:rsid w:val="005931B0"/>
    <w:rsid w:val="005942A1"/>
    <w:rsid w:val="005967FA"/>
    <w:rsid w:val="005971EC"/>
    <w:rsid w:val="00597C28"/>
    <w:rsid w:val="005A52AC"/>
    <w:rsid w:val="005A5485"/>
    <w:rsid w:val="005A6F95"/>
    <w:rsid w:val="005B0B76"/>
    <w:rsid w:val="005B135F"/>
    <w:rsid w:val="005B37C3"/>
    <w:rsid w:val="005B3FB1"/>
    <w:rsid w:val="005B4C62"/>
    <w:rsid w:val="005B4D32"/>
    <w:rsid w:val="005B4DE2"/>
    <w:rsid w:val="005B5CFE"/>
    <w:rsid w:val="005B681C"/>
    <w:rsid w:val="005C00E4"/>
    <w:rsid w:val="005C0ACF"/>
    <w:rsid w:val="005C2F45"/>
    <w:rsid w:val="005C442B"/>
    <w:rsid w:val="005C51CD"/>
    <w:rsid w:val="005C62D8"/>
    <w:rsid w:val="005C70C0"/>
    <w:rsid w:val="005C73DA"/>
    <w:rsid w:val="005C7F07"/>
    <w:rsid w:val="005D17A4"/>
    <w:rsid w:val="005D20B8"/>
    <w:rsid w:val="005D5453"/>
    <w:rsid w:val="005D5693"/>
    <w:rsid w:val="005D5A28"/>
    <w:rsid w:val="005D7CDD"/>
    <w:rsid w:val="005E0248"/>
    <w:rsid w:val="005E06D1"/>
    <w:rsid w:val="005E3428"/>
    <w:rsid w:val="005E42B3"/>
    <w:rsid w:val="005E5204"/>
    <w:rsid w:val="005F033E"/>
    <w:rsid w:val="005F1D76"/>
    <w:rsid w:val="005F216F"/>
    <w:rsid w:val="005F295E"/>
    <w:rsid w:val="005F2C82"/>
    <w:rsid w:val="005F5B53"/>
    <w:rsid w:val="005F68FD"/>
    <w:rsid w:val="005F7259"/>
    <w:rsid w:val="005F765A"/>
    <w:rsid w:val="00601332"/>
    <w:rsid w:val="00601536"/>
    <w:rsid w:val="006026ED"/>
    <w:rsid w:val="006029B9"/>
    <w:rsid w:val="0060413F"/>
    <w:rsid w:val="00604DF1"/>
    <w:rsid w:val="00604FDE"/>
    <w:rsid w:val="0060728A"/>
    <w:rsid w:val="00611314"/>
    <w:rsid w:val="00611D8E"/>
    <w:rsid w:val="0061406F"/>
    <w:rsid w:val="00620209"/>
    <w:rsid w:val="0062127F"/>
    <w:rsid w:val="006258EE"/>
    <w:rsid w:val="00626445"/>
    <w:rsid w:val="00627BB0"/>
    <w:rsid w:val="006308D6"/>
    <w:rsid w:val="00634A3A"/>
    <w:rsid w:val="00635840"/>
    <w:rsid w:val="00640EDA"/>
    <w:rsid w:val="0064248D"/>
    <w:rsid w:val="00646447"/>
    <w:rsid w:val="006471A1"/>
    <w:rsid w:val="0064755E"/>
    <w:rsid w:val="00655FD1"/>
    <w:rsid w:val="006572D3"/>
    <w:rsid w:val="00657538"/>
    <w:rsid w:val="00660873"/>
    <w:rsid w:val="0066171D"/>
    <w:rsid w:val="00661830"/>
    <w:rsid w:val="00661D5B"/>
    <w:rsid w:val="0066243F"/>
    <w:rsid w:val="0066360F"/>
    <w:rsid w:val="006644A7"/>
    <w:rsid w:val="00664D64"/>
    <w:rsid w:val="00664E82"/>
    <w:rsid w:val="00666155"/>
    <w:rsid w:val="006667E0"/>
    <w:rsid w:val="00666BF4"/>
    <w:rsid w:val="00666CFF"/>
    <w:rsid w:val="00666EAB"/>
    <w:rsid w:val="0067016E"/>
    <w:rsid w:val="006704F6"/>
    <w:rsid w:val="00673F49"/>
    <w:rsid w:val="006741F9"/>
    <w:rsid w:val="00674EFE"/>
    <w:rsid w:val="00676C69"/>
    <w:rsid w:val="00680776"/>
    <w:rsid w:val="00681A57"/>
    <w:rsid w:val="00682397"/>
    <w:rsid w:val="0068273B"/>
    <w:rsid w:val="00682865"/>
    <w:rsid w:val="00682CBC"/>
    <w:rsid w:val="00683500"/>
    <w:rsid w:val="0068572B"/>
    <w:rsid w:val="00685766"/>
    <w:rsid w:val="006860B5"/>
    <w:rsid w:val="0068737D"/>
    <w:rsid w:val="006876DF"/>
    <w:rsid w:val="0069250A"/>
    <w:rsid w:val="006938BA"/>
    <w:rsid w:val="00693B54"/>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18A6"/>
    <w:rsid w:val="006B1D7A"/>
    <w:rsid w:val="006B2350"/>
    <w:rsid w:val="006B2F7D"/>
    <w:rsid w:val="006B32F1"/>
    <w:rsid w:val="006B34EA"/>
    <w:rsid w:val="006B40D9"/>
    <w:rsid w:val="006B48A8"/>
    <w:rsid w:val="006B4C68"/>
    <w:rsid w:val="006B5C7C"/>
    <w:rsid w:val="006B5F25"/>
    <w:rsid w:val="006C044B"/>
    <w:rsid w:val="006C0E0C"/>
    <w:rsid w:val="006C2B48"/>
    <w:rsid w:val="006C3B4F"/>
    <w:rsid w:val="006C4214"/>
    <w:rsid w:val="006C44C0"/>
    <w:rsid w:val="006C4B81"/>
    <w:rsid w:val="006C4CA5"/>
    <w:rsid w:val="006C4FC1"/>
    <w:rsid w:val="006C50B2"/>
    <w:rsid w:val="006C6574"/>
    <w:rsid w:val="006C7B18"/>
    <w:rsid w:val="006D0B06"/>
    <w:rsid w:val="006D0DB0"/>
    <w:rsid w:val="006D1DBE"/>
    <w:rsid w:val="006D2A7F"/>
    <w:rsid w:val="006D3136"/>
    <w:rsid w:val="006D46B2"/>
    <w:rsid w:val="006D5050"/>
    <w:rsid w:val="006D51C6"/>
    <w:rsid w:val="006E262E"/>
    <w:rsid w:val="006E2DB6"/>
    <w:rsid w:val="006E36E9"/>
    <w:rsid w:val="006E41CE"/>
    <w:rsid w:val="006E427E"/>
    <w:rsid w:val="006E4848"/>
    <w:rsid w:val="006E6A55"/>
    <w:rsid w:val="006F0FEC"/>
    <w:rsid w:val="006F1F37"/>
    <w:rsid w:val="006F2BA3"/>
    <w:rsid w:val="006F3647"/>
    <w:rsid w:val="006F4ADC"/>
    <w:rsid w:val="006F4E5C"/>
    <w:rsid w:val="006F5801"/>
    <w:rsid w:val="006F5F6A"/>
    <w:rsid w:val="006F60D9"/>
    <w:rsid w:val="006F61A3"/>
    <w:rsid w:val="006F754E"/>
    <w:rsid w:val="007000D1"/>
    <w:rsid w:val="00700511"/>
    <w:rsid w:val="007005EA"/>
    <w:rsid w:val="0070475F"/>
    <w:rsid w:val="007048E5"/>
    <w:rsid w:val="0070505B"/>
    <w:rsid w:val="00705DF1"/>
    <w:rsid w:val="0070659C"/>
    <w:rsid w:val="00707694"/>
    <w:rsid w:val="0071215F"/>
    <w:rsid w:val="007125DB"/>
    <w:rsid w:val="007134EF"/>
    <w:rsid w:val="00713E25"/>
    <w:rsid w:val="00717263"/>
    <w:rsid w:val="00717F50"/>
    <w:rsid w:val="00720131"/>
    <w:rsid w:val="00721E13"/>
    <w:rsid w:val="0072578B"/>
    <w:rsid w:val="00725BAB"/>
    <w:rsid w:val="00725CF3"/>
    <w:rsid w:val="007264DA"/>
    <w:rsid w:val="00727EA0"/>
    <w:rsid w:val="00732CD4"/>
    <w:rsid w:val="00733F9C"/>
    <w:rsid w:val="00734D15"/>
    <w:rsid w:val="00737F92"/>
    <w:rsid w:val="0074081E"/>
    <w:rsid w:val="007409A2"/>
    <w:rsid w:val="00740B66"/>
    <w:rsid w:val="00741D5A"/>
    <w:rsid w:val="00742382"/>
    <w:rsid w:val="007434F3"/>
    <w:rsid w:val="00743689"/>
    <w:rsid w:val="007446D7"/>
    <w:rsid w:val="00744CCC"/>
    <w:rsid w:val="007458F1"/>
    <w:rsid w:val="00747170"/>
    <w:rsid w:val="007500A1"/>
    <w:rsid w:val="007500B1"/>
    <w:rsid w:val="007528BC"/>
    <w:rsid w:val="00753057"/>
    <w:rsid w:val="007536E8"/>
    <w:rsid w:val="0075472E"/>
    <w:rsid w:val="00754888"/>
    <w:rsid w:val="00754992"/>
    <w:rsid w:val="00754BF8"/>
    <w:rsid w:val="00754C7B"/>
    <w:rsid w:val="00756A73"/>
    <w:rsid w:val="00757D5A"/>
    <w:rsid w:val="00757F5E"/>
    <w:rsid w:val="00760A7A"/>
    <w:rsid w:val="00760BAE"/>
    <w:rsid w:val="00760D96"/>
    <w:rsid w:val="00762AF1"/>
    <w:rsid w:val="00764AF5"/>
    <w:rsid w:val="00765073"/>
    <w:rsid w:val="007672A0"/>
    <w:rsid w:val="007728F6"/>
    <w:rsid w:val="0077298D"/>
    <w:rsid w:val="00774078"/>
    <w:rsid w:val="00774BFC"/>
    <w:rsid w:val="0077556D"/>
    <w:rsid w:val="00776517"/>
    <w:rsid w:val="00776B63"/>
    <w:rsid w:val="00776C98"/>
    <w:rsid w:val="00782AEC"/>
    <w:rsid w:val="00784592"/>
    <w:rsid w:val="0078465B"/>
    <w:rsid w:val="00785918"/>
    <w:rsid w:val="00785EBF"/>
    <w:rsid w:val="00785EC6"/>
    <w:rsid w:val="00787A71"/>
    <w:rsid w:val="00791B1E"/>
    <w:rsid w:val="00792045"/>
    <w:rsid w:val="00795CAC"/>
    <w:rsid w:val="007A08AC"/>
    <w:rsid w:val="007A0D74"/>
    <w:rsid w:val="007A3786"/>
    <w:rsid w:val="007A40F5"/>
    <w:rsid w:val="007A4B16"/>
    <w:rsid w:val="007A5D06"/>
    <w:rsid w:val="007A5D9D"/>
    <w:rsid w:val="007A5F9B"/>
    <w:rsid w:val="007A655A"/>
    <w:rsid w:val="007A71D3"/>
    <w:rsid w:val="007B1221"/>
    <w:rsid w:val="007B291B"/>
    <w:rsid w:val="007B3978"/>
    <w:rsid w:val="007B3B8F"/>
    <w:rsid w:val="007B55DF"/>
    <w:rsid w:val="007B5C0D"/>
    <w:rsid w:val="007B6853"/>
    <w:rsid w:val="007C0C63"/>
    <w:rsid w:val="007C23FE"/>
    <w:rsid w:val="007C2999"/>
    <w:rsid w:val="007C3012"/>
    <w:rsid w:val="007C3787"/>
    <w:rsid w:val="007C3BF4"/>
    <w:rsid w:val="007C3E2C"/>
    <w:rsid w:val="007C45B4"/>
    <w:rsid w:val="007C4BB3"/>
    <w:rsid w:val="007C653B"/>
    <w:rsid w:val="007C74A6"/>
    <w:rsid w:val="007D00AD"/>
    <w:rsid w:val="007D0C69"/>
    <w:rsid w:val="007D0CA8"/>
    <w:rsid w:val="007D1914"/>
    <w:rsid w:val="007D2759"/>
    <w:rsid w:val="007D2B79"/>
    <w:rsid w:val="007D6A75"/>
    <w:rsid w:val="007E0388"/>
    <w:rsid w:val="007E0AB4"/>
    <w:rsid w:val="007E1357"/>
    <w:rsid w:val="007E1C9C"/>
    <w:rsid w:val="007E3087"/>
    <w:rsid w:val="007E32A6"/>
    <w:rsid w:val="007E433D"/>
    <w:rsid w:val="007E4A3E"/>
    <w:rsid w:val="007E59AB"/>
    <w:rsid w:val="007E5E02"/>
    <w:rsid w:val="007E660F"/>
    <w:rsid w:val="007F0F0E"/>
    <w:rsid w:val="007F2160"/>
    <w:rsid w:val="007F2672"/>
    <w:rsid w:val="007F41A1"/>
    <w:rsid w:val="007F4426"/>
    <w:rsid w:val="007F58E1"/>
    <w:rsid w:val="007F72B9"/>
    <w:rsid w:val="007F7859"/>
    <w:rsid w:val="00801B7E"/>
    <w:rsid w:val="008025A3"/>
    <w:rsid w:val="00803FC1"/>
    <w:rsid w:val="00804A0B"/>
    <w:rsid w:val="00805E01"/>
    <w:rsid w:val="00805FE2"/>
    <w:rsid w:val="008105A1"/>
    <w:rsid w:val="008105F6"/>
    <w:rsid w:val="00811D3E"/>
    <w:rsid w:val="00814981"/>
    <w:rsid w:val="008158B2"/>
    <w:rsid w:val="00816F48"/>
    <w:rsid w:val="008179A8"/>
    <w:rsid w:val="008209BC"/>
    <w:rsid w:val="00821287"/>
    <w:rsid w:val="00821B27"/>
    <w:rsid w:val="00824BFB"/>
    <w:rsid w:val="00825304"/>
    <w:rsid w:val="00825F6F"/>
    <w:rsid w:val="00825F7D"/>
    <w:rsid w:val="0082673F"/>
    <w:rsid w:val="008270B1"/>
    <w:rsid w:val="00830EB4"/>
    <w:rsid w:val="00831B99"/>
    <w:rsid w:val="00831F19"/>
    <w:rsid w:val="00832A35"/>
    <w:rsid w:val="008331B9"/>
    <w:rsid w:val="00835D45"/>
    <w:rsid w:val="008378EA"/>
    <w:rsid w:val="00841319"/>
    <w:rsid w:val="00841EA5"/>
    <w:rsid w:val="00842E35"/>
    <w:rsid w:val="00843921"/>
    <w:rsid w:val="00843CBB"/>
    <w:rsid w:val="00843E0C"/>
    <w:rsid w:val="0084538F"/>
    <w:rsid w:val="008459FE"/>
    <w:rsid w:val="00845BAC"/>
    <w:rsid w:val="00846996"/>
    <w:rsid w:val="00846AE6"/>
    <w:rsid w:val="00850368"/>
    <w:rsid w:val="00851F03"/>
    <w:rsid w:val="00852CB2"/>
    <w:rsid w:val="00854182"/>
    <w:rsid w:val="00854358"/>
    <w:rsid w:val="00854F8B"/>
    <w:rsid w:val="008562A4"/>
    <w:rsid w:val="008564DB"/>
    <w:rsid w:val="00856A1D"/>
    <w:rsid w:val="00857548"/>
    <w:rsid w:val="00857DC6"/>
    <w:rsid w:val="0086064B"/>
    <w:rsid w:val="008607B7"/>
    <w:rsid w:val="0086082D"/>
    <w:rsid w:val="00860D3A"/>
    <w:rsid w:val="00863E13"/>
    <w:rsid w:val="00865602"/>
    <w:rsid w:val="008663F2"/>
    <w:rsid w:val="008700AE"/>
    <w:rsid w:val="00870A85"/>
    <w:rsid w:val="00870C6F"/>
    <w:rsid w:val="00872265"/>
    <w:rsid w:val="008749CA"/>
    <w:rsid w:val="00876667"/>
    <w:rsid w:val="00883865"/>
    <w:rsid w:val="00885379"/>
    <w:rsid w:val="008856A5"/>
    <w:rsid w:val="00885B2D"/>
    <w:rsid w:val="00887C9A"/>
    <w:rsid w:val="00891497"/>
    <w:rsid w:val="00891A3F"/>
    <w:rsid w:val="00892393"/>
    <w:rsid w:val="00892E79"/>
    <w:rsid w:val="0089347F"/>
    <w:rsid w:val="00896873"/>
    <w:rsid w:val="00896AD9"/>
    <w:rsid w:val="0089797C"/>
    <w:rsid w:val="00897DEE"/>
    <w:rsid w:val="008A1FD6"/>
    <w:rsid w:val="008A4AA3"/>
    <w:rsid w:val="008B0E87"/>
    <w:rsid w:val="008B19DB"/>
    <w:rsid w:val="008B3E84"/>
    <w:rsid w:val="008B409B"/>
    <w:rsid w:val="008B4ED4"/>
    <w:rsid w:val="008B58EC"/>
    <w:rsid w:val="008B6AF6"/>
    <w:rsid w:val="008B706F"/>
    <w:rsid w:val="008B717C"/>
    <w:rsid w:val="008B741A"/>
    <w:rsid w:val="008C20FD"/>
    <w:rsid w:val="008C2BB2"/>
    <w:rsid w:val="008C3403"/>
    <w:rsid w:val="008C59CE"/>
    <w:rsid w:val="008C6946"/>
    <w:rsid w:val="008C798F"/>
    <w:rsid w:val="008D141B"/>
    <w:rsid w:val="008D79CC"/>
    <w:rsid w:val="008E3B7D"/>
    <w:rsid w:val="008E5945"/>
    <w:rsid w:val="008E61F4"/>
    <w:rsid w:val="008F372C"/>
    <w:rsid w:val="008F49BB"/>
    <w:rsid w:val="008F4A45"/>
    <w:rsid w:val="008F59F5"/>
    <w:rsid w:val="008F5C23"/>
    <w:rsid w:val="008F74A7"/>
    <w:rsid w:val="008F766C"/>
    <w:rsid w:val="008F7820"/>
    <w:rsid w:val="00900F37"/>
    <w:rsid w:val="0090128D"/>
    <w:rsid w:val="00901E78"/>
    <w:rsid w:val="009023E1"/>
    <w:rsid w:val="009075EB"/>
    <w:rsid w:val="00912F8B"/>
    <w:rsid w:val="00917536"/>
    <w:rsid w:val="00917CC7"/>
    <w:rsid w:val="00917E51"/>
    <w:rsid w:val="009255F1"/>
    <w:rsid w:val="00925947"/>
    <w:rsid w:val="00930498"/>
    <w:rsid w:val="00931729"/>
    <w:rsid w:val="00931FBB"/>
    <w:rsid w:val="009323BD"/>
    <w:rsid w:val="0093342E"/>
    <w:rsid w:val="00933CBB"/>
    <w:rsid w:val="00934B10"/>
    <w:rsid w:val="00934EF6"/>
    <w:rsid w:val="00935E8B"/>
    <w:rsid w:val="0093616F"/>
    <w:rsid w:val="009371DF"/>
    <w:rsid w:val="009429F2"/>
    <w:rsid w:val="00943E91"/>
    <w:rsid w:val="009440EC"/>
    <w:rsid w:val="00945C18"/>
    <w:rsid w:val="0094722D"/>
    <w:rsid w:val="0094745F"/>
    <w:rsid w:val="00947B29"/>
    <w:rsid w:val="009523CB"/>
    <w:rsid w:val="00954726"/>
    <w:rsid w:val="009558E5"/>
    <w:rsid w:val="00955E4D"/>
    <w:rsid w:val="00957FD9"/>
    <w:rsid w:val="00957FDF"/>
    <w:rsid w:val="00962236"/>
    <w:rsid w:val="0096335F"/>
    <w:rsid w:val="00966FC8"/>
    <w:rsid w:val="00966FCF"/>
    <w:rsid w:val="00967B87"/>
    <w:rsid w:val="00970626"/>
    <w:rsid w:val="009709BA"/>
    <w:rsid w:val="00971452"/>
    <w:rsid w:val="00972310"/>
    <w:rsid w:val="00972484"/>
    <w:rsid w:val="00972754"/>
    <w:rsid w:val="009737D9"/>
    <w:rsid w:val="00975BAA"/>
    <w:rsid w:val="0097653C"/>
    <w:rsid w:val="00980E9A"/>
    <w:rsid w:val="009825E6"/>
    <w:rsid w:val="00983732"/>
    <w:rsid w:val="00983DB7"/>
    <w:rsid w:val="0098559A"/>
    <w:rsid w:val="009871D9"/>
    <w:rsid w:val="00987E47"/>
    <w:rsid w:val="00991DC4"/>
    <w:rsid w:val="00991EC1"/>
    <w:rsid w:val="0099512A"/>
    <w:rsid w:val="00995A0A"/>
    <w:rsid w:val="0099644B"/>
    <w:rsid w:val="00997446"/>
    <w:rsid w:val="009A090B"/>
    <w:rsid w:val="009A09FB"/>
    <w:rsid w:val="009A167D"/>
    <w:rsid w:val="009A3050"/>
    <w:rsid w:val="009A3065"/>
    <w:rsid w:val="009A3B8D"/>
    <w:rsid w:val="009A3C80"/>
    <w:rsid w:val="009A7794"/>
    <w:rsid w:val="009B0578"/>
    <w:rsid w:val="009B07FD"/>
    <w:rsid w:val="009B16D2"/>
    <w:rsid w:val="009B3566"/>
    <w:rsid w:val="009B516A"/>
    <w:rsid w:val="009B7841"/>
    <w:rsid w:val="009C1BD8"/>
    <w:rsid w:val="009C2686"/>
    <w:rsid w:val="009C40A1"/>
    <w:rsid w:val="009C469D"/>
    <w:rsid w:val="009C4C3F"/>
    <w:rsid w:val="009D0E2C"/>
    <w:rsid w:val="009D1AE5"/>
    <w:rsid w:val="009D2AB9"/>
    <w:rsid w:val="009D3873"/>
    <w:rsid w:val="009D4FF9"/>
    <w:rsid w:val="009D5184"/>
    <w:rsid w:val="009D56CA"/>
    <w:rsid w:val="009D5D99"/>
    <w:rsid w:val="009D65BD"/>
    <w:rsid w:val="009D74F5"/>
    <w:rsid w:val="009E30A1"/>
    <w:rsid w:val="009E3DF3"/>
    <w:rsid w:val="009E59C4"/>
    <w:rsid w:val="009E5ED8"/>
    <w:rsid w:val="009E766C"/>
    <w:rsid w:val="009E774B"/>
    <w:rsid w:val="009F0594"/>
    <w:rsid w:val="009F0C56"/>
    <w:rsid w:val="009F29B0"/>
    <w:rsid w:val="009F393B"/>
    <w:rsid w:val="009F4997"/>
    <w:rsid w:val="009F5465"/>
    <w:rsid w:val="009F70F2"/>
    <w:rsid w:val="00A01B99"/>
    <w:rsid w:val="00A05A2B"/>
    <w:rsid w:val="00A06750"/>
    <w:rsid w:val="00A06B48"/>
    <w:rsid w:val="00A07102"/>
    <w:rsid w:val="00A14AC9"/>
    <w:rsid w:val="00A20443"/>
    <w:rsid w:val="00A209A1"/>
    <w:rsid w:val="00A25398"/>
    <w:rsid w:val="00A254EE"/>
    <w:rsid w:val="00A276F3"/>
    <w:rsid w:val="00A31689"/>
    <w:rsid w:val="00A3210E"/>
    <w:rsid w:val="00A33C39"/>
    <w:rsid w:val="00A34231"/>
    <w:rsid w:val="00A34EC6"/>
    <w:rsid w:val="00A40C7A"/>
    <w:rsid w:val="00A4148F"/>
    <w:rsid w:val="00A419D6"/>
    <w:rsid w:val="00A41B74"/>
    <w:rsid w:val="00A44465"/>
    <w:rsid w:val="00A449EE"/>
    <w:rsid w:val="00A45B1D"/>
    <w:rsid w:val="00A50DEE"/>
    <w:rsid w:val="00A52251"/>
    <w:rsid w:val="00A540A8"/>
    <w:rsid w:val="00A55055"/>
    <w:rsid w:val="00A55654"/>
    <w:rsid w:val="00A567DE"/>
    <w:rsid w:val="00A6084D"/>
    <w:rsid w:val="00A60B78"/>
    <w:rsid w:val="00A62465"/>
    <w:rsid w:val="00A632D8"/>
    <w:rsid w:val="00A65871"/>
    <w:rsid w:val="00A663D3"/>
    <w:rsid w:val="00A67AE8"/>
    <w:rsid w:val="00A7140D"/>
    <w:rsid w:val="00A72094"/>
    <w:rsid w:val="00A72985"/>
    <w:rsid w:val="00A73299"/>
    <w:rsid w:val="00A768CB"/>
    <w:rsid w:val="00A76EB9"/>
    <w:rsid w:val="00A83A04"/>
    <w:rsid w:val="00A84834"/>
    <w:rsid w:val="00A849D8"/>
    <w:rsid w:val="00A857AE"/>
    <w:rsid w:val="00A85B21"/>
    <w:rsid w:val="00A90AD2"/>
    <w:rsid w:val="00A91BD9"/>
    <w:rsid w:val="00A91CC1"/>
    <w:rsid w:val="00A936FD"/>
    <w:rsid w:val="00A94CAB"/>
    <w:rsid w:val="00A95848"/>
    <w:rsid w:val="00A9676D"/>
    <w:rsid w:val="00AA0D3C"/>
    <w:rsid w:val="00AA1322"/>
    <w:rsid w:val="00AA2F0F"/>
    <w:rsid w:val="00AA39A8"/>
    <w:rsid w:val="00AA49CE"/>
    <w:rsid w:val="00AA76EE"/>
    <w:rsid w:val="00AB164D"/>
    <w:rsid w:val="00AB56A2"/>
    <w:rsid w:val="00AB777B"/>
    <w:rsid w:val="00AC0BB4"/>
    <w:rsid w:val="00AC37E1"/>
    <w:rsid w:val="00AC44F9"/>
    <w:rsid w:val="00AC56B4"/>
    <w:rsid w:val="00AC5941"/>
    <w:rsid w:val="00AC603A"/>
    <w:rsid w:val="00AC6632"/>
    <w:rsid w:val="00AC6B51"/>
    <w:rsid w:val="00AC75E4"/>
    <w:rsid w:val="00AC7BF0"/>
    <w:rsid w:val="00AC7C09"/>
    <w:rsid w:val="00AD034A"/>
    <w:rsid w:val="00AD3AB6"/>
    <w:rsid w:val="00AD4A7B"/>
    <w:rsid w:val="00AD53AA"/>
    <w:rsid w:val="00AD566C"/>
    <w:rsid w:val="00AD6B0D"/>
    <w:rsid w:val="00AD7A64"/>
    <w:rsid w:val="00AD7B67"/>
    <w:rsid w:val="00AE08EB"/>
    <w:rsid w:val="00AE09D7"/>
    <w:rsid w:val="00AE400F"/>
    <w:rsid w:val="00AE46DD"/>
    <w:rsid w:val="00AE4B13"/>
    <w:rsid w:val="00AE51AB"/>
    <w:rsid w:val="00AF2DF3"/>
    <w:rsid w:val="00AF30B9"/>
    <w:rsid w:val="00AF3439"/>
    <w:rsid w:val="00AF4443"/>
    <w:rsid w:val="00AF5970"/>
    <w:rsid w:val="00AF62B6"/>
    <w:rsid w:val="00AF6758"/>
    <w:rsid w:val="00AF6E8E"/>
    <w:rsid w:val="00B003C7"/>
    <w:rsid w:val="00B007FD"/>
    <w:rsid w:val="00B0104B"/>
    <w:rsid w:val="00B01227"/>
    <w:rsid w:val="00B0198A"/>
    <w:rsid w:val="00B02CB4"/>
    <w:rsid w:val="00B04002"/>
    <w:rsid w:val="00B040B9"/>
    <w:rsid w:val="00B04117"/>
    <w:rsid w:val="00B05B49"/>
    <w:rsid w:val="00B069AB"/>
    <w:rsid w:val="00B07A67"/>
    <w:rsid w:val="00B104CD"/>
    <w:rsid w:val="00B10651"/>
    <w:rsid w:val="00B106FD"/>
    <w:rsid w:val="00B11650"/>
    <w:rsid w:val="00B137C8"/>
    <w:rsid w:val="00B13903"/>
    <w:rsid w:val="00B13A6B"/>
    <w:rsid w:val="00B14905"/>
    <w:rsid w:val="00B15290"/>
    <w:rsid w:val="00B164E1"/>
    <w:rsid w:val="00B16BA2"/>
    <w:rsid w:val="00B20C53"/>
    <w:rsid w:val="00B229D7"/>
    <w:rsid w:val="00B22D93"/>
    <w:rsid w:val="00B24336"/>
    <w:rsid w:val="00B24C0B"/>
    <w:rsid w:val="00B26D0E"/>
    <w:rsid w:val="00B3245C"/>
    <w:rsid w:val="00B32DB5"/>
    <w:rsid w:val="00B3393E"/>
    <w:rsid w:val="00B36613"/>
    <w:rsid w:val="00B36998"/>
    <w:rsid w:val="00B37B36"/>
    <w:rsid w:val="00B37DEF"/>
    <w:rsid w:val="00B4053D"/>
    <w:rsid w:val="00B42320"/>
    <w:rsid w:val="00B43127"/>
    <w:rsid w:val="00B43463"/>
    <w:rsid w:val="00B4356C"/>
    <w:rsid w:val="00B43F6F"/>
    <w:rsid w:val="00B452DF"/>
    <w:rsid w:val="00B45CB1"/>
    <w:rsid w:val="00B46746"/>
    <w:rsid w:val="00B46BA1"/>
    <w:rsid w:val="00B475EA"/>
    <w:rsid w:val="00B47909"/>
    <w:rsid w:val="00B51D63"/>
    <w:rsid w:val="00B52868"/>
    <w:rsid w:val="00B5353B"/>
    <w:rsid w:val="00B55EB4"/>
    <w:rsid w:val="00B56589"/>
    <w:rsid w:val="00B612D8"/>
    <w:rsid w:val="00B633F7"/>
    <w:rsid w:val="00B6428F"/>
    <w:rsid w:val="00B65607"/>
    <w:rsid w:val="00B66A57"/>
    <w:rsid w:val="00B66E96"/>
    <w:rsid w:val="00B67CA0"/>
    <w:rsid w:val="00B700AF"/>
    <w:rsid w:val="00B70D57"/>
    <w:rsid w:val="00B72630"/>
    <w:rsid w:val="00B7297B"/>
    <w:rsid w:val="00B73FC9"/>
    <w:rsid w:val="00B741CB"/>
    <w:rsid w:val="00B744F3"/>
    <w:rsid w:val="00B76BBB"/>
    <w:rsid w:val="00B77217"/>
    <w:rsid w:val="00B7738E"/>
    <w:rsid w:val="00B80A1A"/>
    <w:rsid w:val="00B80F9B"/>
    <w:rsid w:val="00B82DC8"/>
    <w:rsid w:val="00B84C76"/>
    <w:rsid w:val="00B850F7"/>
    <w:rsid w:val="00B86028"/>
    <w:rsid w:val="00B869C2"/>
    <w:rsid w:val="00B86ADF"/>
    <w:rsid w:val="00B86CCB"/>
    <w:rsid w:val="00B907A8"/>
    <w:rsid w:val="00B90B3E"/>
    <w:rsid w:val="00B91518"/>
    <w:rsid w:val="00B9250E"/>
    <w:rsid w:val="00B94094"/>
    <w:rsid w:val="00B95CB6"/>
    <w:rsid w:val="00B96DFF"/>
    <w:rsid w:val="00BA06E1"/>
    <w:rsid w:val="00BA22C8"/>
    <w:rsid w:val="00BA2A9A"/>
    <w:rsid w:val="00BA2F2E"/>
    <w:rsid w:val="00BA3BC4"/>
    <w:rsid w:val="00BA52A5"/>
    <w:rsid w:val="00BA5684"/>
    <w:rsid w:val="00BA5D2C"/>
    <w:rsid w:val="00BA69D0"/>
    <w:rsid w:val="00BA7991"/>
    <w:rsid w:val="00BB0292"/>
    <w:rsid w:val="00BB1B2B"/>
    <w:rsid w:val="00BB2DA7"/>
    <w:rsid w:val="00BB43EB"/>
    <w:rsid w:val="00BB4E50"/>
    <w:rsid w:val="00BB5DA6"/>
    <w:rsid w:val="00BB6740"/>
    <w:rsid w:val="00BB67F9"/>
    <w:rsid w:val="00BB7BC3"/>
    <w:rsid w:val="00BC0E12"/>
    <w:rsid w:val="00BC1128"/>
    <w:rsid w:val="00BC1EBF"/>
    <w:rsid w:val="00BC2A4F"/>
    <w:rsid w:val="00BC447E"/>
    <w:rsid w:val="00BC490E"/>
    <w:rsid w:val="00BC51CE"/>
    <w:rsid w:val="00BC53F6"/>
    <w:rsid w:val="00BC5546"/>
    <w:rsid w:val="00BC5CA3"/>
    <w:rsid w:val="00BC6446"/>
    <w:rsid w:val="00BC732C"/>
    <w:rsid w:val="00BD1240"/>
    <w:rsid w:val="00BD2815"/>
    <w:rsid w:val="00BD3E61"/>
    <w:rsid w:val="00BD4231"/>
    <w:rsid w:val="00BE0288"/>
    <w:rsid w:val="00BE147C"/>
    <w:rsid w:val="00BE1716"/>
    <w:rsid w:val="00BE2916"/>
    <w:rsid w:val="00BE46ED"/>
    <w:rsid w:val="00BE503A"/>
    <w:rsid w:val="00BE5F8C"/>
    <w:rsid w:val="00BE6644"/>
    <w:rsid w:val="00BE7559"/>
    <w:rsid w:val="00BE7A6A"/>
    <w:rsid w:val="00BF0ED4"/>
    <w:rsid w:val="00BF268A"/>
    <w:rsid w:val="00BF3427"/>
    <w:rsid w:val="00BF43F6"/>
    <w:rsid w:val="00BF4599"/>
    <w:rsid w:val="00BF4812"/>
    <w:rsid w:val="00BF4813"/>
    <w:rsid w:val="00BF4B2B"/>
    <w:rsid w:val="00BF4BA1"/>
    <w:rsid w:val="00BF658D"/>
    <w:rsid w:val="00C01440"/>
    <w:rsid w:val="00C01860"/>
    <w:rsid w:val="00C01EE3"/>
    <w:rsid w:val="00C0329E"/>
    <w:rsid w:val="00C04076"/>
    <w:rsid w:val="00C042AD"/>
    <w:rsid w:val="00C06CE8"/>
    <w:rsid w:val="00C06E97"/>
    <w:rsid w:val="00C0727A"/>
    <w:rsid w:val="00C102F9"/>
    <w:rsid w:val="00C11052"/>
    <w:rsid w:val="00C141F8"/>
    <w:rsid w:val="00C15D5B"/>
    <w:rsid w:val="00C15DC3"/>
    <w:rsid w:val="00C1637C"/>
    <w:rsid w:val="00C16BBD"/>
    <w:rsid w:val="00C16DF4"/>
    <w:rsid w:val="00C20A68"/>
    <w:rsid w:val="00C213B2"/>
    <w:rsid w:val="00C23794"/>
    <w:rsid w:val="00C23861"/>
    <w:rsid w:val="00C2794F"/>
    <w:rsid w:val="00C326EF"/>
    <w:rsid w:val="00C32A90"/>
    <w:rsid w:val="00C3425E"/>
    <w:rsid w:val="00C45F62"/>
    <w:rsid w:val="00C463D5"/>
    <w:rsid w:val="00C47E19"/>
    <w:rsid w:val="00C50471"/>
    <w:rsid w:val="00C51828"/>
    <w:rsid w:val="00C5220D"/>
    <w:rsid w:val="00C5230E"/>
    <w:rsid w:val="00C5271E"/>
    <w:rsid w:val="00C53B0F"/>
    <w:rsid w:val="00C54529"/>
    <w:rsid w:val="00C5520C"/>
    <w:rsid w:val="00C554C8"/>
    <w:rsid w:val="00C60C21"/>
    <w:rsid w:val="00C61265"/>
    <w:rsid w:val="00C6291A"/>
    <w:rsid w:val="00C63AD2"/>
    <w:rsid w:val="00C649B4"/>
    <w:rsid w:val="00C65168"/>
    <w:rsid w:val="00C70A13"/>
    <w:rsid w:val="00C72055"/>
    <w:rsid w:val="00C72903"/>
    <w:rsid w:val="00C75919"/>
    <w:rsid w:val="00C75BDF"/>
    <w:rsid w:val="00C77DE1"/>
    <w:rsid w:val="00C80558"/>
    <w:rsid w:val="00C87FE9"/>
    <w:rsid w:val="00C91BAF"/>
    <w:rsid w:val="00C92246"/>
    <w:rsid w:val="00C92454"/>
    <w:rsid w:val="00C93856"/>
    <w:rsid w:val="00C93DDE"/>
    <w:rsid w:val="00C94BC1"/>
    <w:rsid w:val="00C95E5B"/>
    <w:rsid w:val="00C969C6"/>
    <w:rsid w:val="00C9729F"/>
    <w:rsid w:val="00C97995"/>
    <w:rsid w:val="00CA063A"/>
    <w:rsid w:val="00CA2C3B"/>
    <w:rsid w:val="00CA3E6B"/>
    <w:rsid w:val="00CA7113"/>
    <w:rsid w:val="00CB283D"/>
    <w:rsid w:val="00CB2B27"/>
    <w:rsid w:val="00CB3E71"/>
    <w:rsid w:val="00CB43D8"/>
    <w:rsid w:val="00CB4E2F"/>
    <w:rsid w:val="00CB5C64"/>
    <w:rsid w:val="00CB6670"/>
    <w:rsid w:val="00CB765E"/>
    <w:rsid w:val="00CB7C1D"/>
    <w:rsid w:val="00CC0314"/>
    <w:rsid w:val="00CC0CDF"/>
    <w:rsid w:val="00CC13D2"/>
    <w:rsid w:val="00CC1830"/>
    <w:rsid w:val="00CC5003"/>
    <w:rsid w:val="00CC53E6"/>
    <w:rsid w:val="00CC6D7C"/>
    <w:rsid w:val="00CD076F"/>
    <w:rsid w:val="00CD0F5C"/>
    <w:rsid w:val="00CD11CA"/>
    <w:rsid w:val="00CD122B"/>
    <w:rsid w:val="00CD1673"/>
    <w:rsid w:val="00CD3684"/>
    <w:rsid w:val="00CD4B31"/>
    <w:rsid w:val="00CD6246"/>
    <w:rsid w:val="00CE32A0"/>
    <w:rsid w:val="00CE3406"/>
    <w:rsid w:val="00CE473A"/>
    <w:rsid w:val="00CE6951"/>
    <w:rsid w:val="00CF299D"/>
    <w:rsid w:val="00CF2D10"/>
    <w:rsid w:val="00CF3C80"/>
    <w:rsid w:val="00CF4243"/>
    <w:rsid w:val="00CF5CA7"/>
    <w:rsid w:val="00CF6EB8"/>
    <w:rsid w:val="00CF7534"/>
    <w:rsid w:val="00D01B3E"/>
    <w:rsid w:val="00D035C7"/>
    <w:rsid w:val="00D03612"/>
    <w:rsid w:val="00D03A5F"/>
    <w:rsid w:val="00D04398"/>
    <w:rsid w:val="00D04AAC"/>
    <w:rsid w:val="00D04FAA"/>
    <w:rsid w:val="00D076AD"/>
    <w:rsid w:val="00D0798D"/>
    <w:rsid w:val="00D07D66"/>
    <w:rsid w:val="00D10A76"/>
    <w:rsid w:val="00D11C93"/>
    <w:rsid w:val="00D13729"/>
    <w:rsid w:val="00D20649"/>
    <w:rsid w:val="00D21B7C"/>
    <w:rsid w:val="00D21BB2"/>
    <w:rsid w:val="00D2241A"/>
    <w:rsid w:val="00D227F0"/>
    <w:rsid w:val="00D23248"/>
    <w:rsid w:val="00D23782"/>
    <w:rsid w:val="00D2380E"/>
    <w:rsid w:val="00D23887"/>
    <w:rsid w:val="00D2459C"/>
    <w:rsid w:val="00D25AA2"/>
    <w:rsid w:val="00D27109"/>
    <w:rsid w:val="00D27A41"/>
    <w:rsid w:val="00D302D1"/>
    <w:rsid w:val="00D30CA0"/>
    <w:rsid w:val="00D3138E"/>
    <w:rsid w:val="00D31A26"/>
    <w:rsid w:val="00D37F3B"/>
    <w:rsid w:val="00D400EE"/>
    <w:rsid w:val="00D4011A"/>
    <w:rsid w:val="00D4036D"/>
    <w:rsid w:val="00D42165"/>
    <w:rsid w:val="00D42A82"/>
    <w:rsid w:val="00D45E51"/>
    <w:rsid w:val="00D51628"/>
    <w:rsid w:val="00D5355E"/>
    <w:rsid w:val="00D54185"/>
    <w:rsid w:val="00D542B0"/>
    <w:rsid w:val="00D54843"/>
    <w:rsid w:val="00D553B6"/>
    <w:rsid w:val="00D56EE2"/>
    <w:rsid w:val="00D57094"/>
    <w:rsid w:val="00D60B39"/>
    <w:rsid w:val="00D61E72"/>
    <w:rsid w:val="00D63299"/>
    <w:rsid w:val="00D66EEF"/>
    <w:rsid w:val="00D726FE"/>
    <w:rsid w:val="00D72C8F"/>
    <w:rsid w:val="00D74BB7"/>
    <w:rsid w:val="00D74C09"/>
    <w:rsid w:val="00D74E38"/>
    <w:rsid w:val="00D7626F"/>
    <w:rsid w:val="00D76D45"/>
    <w:rsid w:val="00D773C6"/>
    <w:rsid w:val="00D7754E"/>
    <w:rsid w:val="00D80A7E"/>
    <w:rsid w:val="00D81513"/>
    <w:rsid w:val="00D8167D"/>
    <w:rsid w:val="00D82209"/>
    <w:rsid w:val="00D90A7D"/>
    <w:rsid w:val="00D9101A"/>
    <w:rsid w:val="00D92155"/>
    <w:rsid w:val="00D9295C"/>
    <w:rsid w:val="00D9388A"/>
    <w:rsid w:val="00D9536C"/>
    <w:rsid w:val="00D95710"/>
    <w:rsid w:val="00D96849"/>
    <w:rsid w:val="00D96D8B"/>
    <w:rsid w:val="00D96DFD"/>
    <w:rsid w:val="00DA12B9"/>
    <w:rsid w:val="00DA33CD"/>
    <w:rsid w:val="00DA4180"/>
    <w:rsid w:val="00DA5CB0"/>
    <w:rsid w:val="00DA703B"/>
    <w:rsid w:val="00DA707D"/>
    <w:rsid w:val="00DB23CB"/>
    <w:rsid w:val="00DB392B"/>
    <w:rsid w:val="00DB726D"/>
    <w:rsid w:val="00DC0635"/>
    <w:rsid w:val="00DC15BC"/>
    <w:rsid w:val="00DC38A3"/>
    <w:rsid w:val="00DC54DF"/>
    <w:rsid w:val="00DC56EE"/>
    <w:rsid w:val="00DC5808"/>
    <w:rsid w:val="00DC5A35"/>
    <w:rsid w:val="00DC5E69"/>
    <w:rsid w:val="00DC654E"/>
    <w:rsid w:val="00DC7808"/>
    <w:rsid w:val="00DC79E0"/>
    <w:rsid w:val="00DD0763"/>
    <w:rsid w:val="00DD0BED"/>
    <w:rsid w:val="00DD1C47"/>
    <w:rsid w:val="00DD436F"/>
    <w:rsid w:val="00DD451C"/>
    <w:rsid w:val="00DD773B"/>
    <w:rsid w:val="00DE14E4"/>
    <w:rsid w:val="00DE1BA4"/>
    <w:rsid w:val="00DE2D80"/>
    <w:rsid w:val="00DE4C56"/>
    <w:rsid w:val="00DE4F05"/>
    <w:rsid w:val="00DE50F1"/>
    <w:rsid w:val="00DE6883"/>
    <w:rsid w:val="00DE6B97"/>
    <w:rsid w:val="00DF040C"/>
    <w:rsid w:val="00DF0A7E"/>
    <w:rsid w:val="00DF12F7"/>
    <w:rsid w:val="00DF501F"/>
    <w:rsid w:val="00DF50AE"/>
    <w:rsid w:val="00DF59DA"/>
    <w:rsid w:val="00DF618C"/>
    <w:rsid w:val="00E00387"/>
    <w:rsid w:val="00E00E79"/>
    <w:rsid w:val="00E01403"/>
    <w:rsid w:val="00E015C1"/>
    <w:rsid w:val="00E02133"/>
    <w:rsid w:val="00E0338B"/>
    <w:rsid w:val="00E03B32"/>
    <w:rsid w:val="00E03C17"/>
    <w:rsid w:val="00E04D5B"/>
    <w:rsid w:val="00E0604B"/>
    <w:rsid w:val="00E110CB"/>
    <w:rsid w:val="00E1115A"/>
    <w:rsid w:val="00E178D7"/>
    <w:rsid w:val="00E21594"/>
    <w:rsid w:val="00E21E0C"/>
    <w:rsid w:val="00E236A4"/>
    <w:rsid w:val="00E26431"/>
    <w:rsid w:val="00E26EF2"/>
    <w:rsid w:val="00E32C5A"/>
    <w:rsid w:val="00E33CB4"/>
    <w:rsid w:val="00E36874"/>
    <w:rsid w:val="00E36AA5"/>
    <w:rsid w:val="00E4033B"/>
    <w:rsid w:val="00E412A4"/>
    <w:rsid w:val="00E44068"/>
    <w:rsid w:val="00E44B43"/>
    <w:rsid w:val="00E44DD4"/>
    <w:rsid w:val="00E5138D"/>
    <w:rsid w:val="00E529A9"/>
    <w:rsid w:val="00E52C4D"/>
    <w:rsid w:val="00E54DB8"/>
    <w:rsid w:val="00E56EC4"/>
    <w:rsid w:val="00E608A1"/>
    <w:rsid w:val="00E60A6C"/>
    <w:rsid w:val="00E61FF1"/>
    <w:rsid w:val="00E63868"/>
    <w:rsid w:val="00E67AC6"/>
    <w:rsid w:val="00E70E95"/>
    <w:rsid w:val="00E71256"/>
    <w:rsid w:val="00E715C4"/>
    <w:rsid w:val="00E73711"/>
    <w:rsid w:val="00E738C4"/>
    <w:rsid w:val="00E74671"/>
    <w:rsid w:val="00E7487D"/>
    <w:rsid w:val="00E74F34"/>
    <w:rsid w:val="00E75485"/>
    <w:rsid w:val="00E75A82"/>
    <w:rsid w:val="00E75BA8"/>
    <w:rsid w:val="00E800BC"/>
    <w:rsid w:val="00E80DA7"/>
    <w:rsid w:val="00E80EA1"/>
    <w:rsid w:val="00E8114E"/>
    <w:rsid w:val="00E81454"/>
    <w:rsid w:val="00E81E85"/>
    <w:rsid w:val="00E82875"/>
    <w:rsid w:val="00E8297F"/>
    <w:rsid w:val="00E83E21"/>
    <w:rsid w:val="00E8454F"/>
    <w:rsid w:val="00E84747"/>
    <w:rsid w:val="00E847EB"/>
    <w:rsid w:val="00E84DF0"/>
    <w:rsid w:val="00E853BB"/>
    <w:rsid w:val="00E85CD2"/>
    <w:rsid w:val="00E85F3D"/>
    <w:rsid w:val="00E87A15"/>
    <w:rsid w:val="00E90365"/>
    <w:rsid w:val="00E929BC"/>
    <w:rsid w:val="00E94D6C"/>
    <w:rsid w:val="00E97D78"/>
    <w:rsid w:val="00EA210D"/>
    <w:rsid w:val="00EA33E6"/>
    <w:rsid w:val="00EA3B63"/>
    <w:rsid w:val="00EA3E28"/>
    <w:rsid w:val="00EA5C36"/>
    <w:rsid w:val="00EA6CD5"/>
    <w:rsid w:val="00EA7BFC"/>
    <w:rsid w:val="00EB0481"/>
    <w:rsid w:val="00EB1FFA"/>
    <w:rsid w:val="00EB397B"/>
    <w:rsid w:val="00EB46E0"/>
    <w:rsid w:val="00EB4944"/>
    <w:rsid w:val="00EB4B30"/>
    <w:rsid w:val="00EB5A68"/>
    <w:rsid w:val="00EB5F3D"/>
    <w:rsid w:val="00EB62C3"/>
    <w:rsid w:val="00EC02FA"/>
    <w:rsid w:val="00EC0EFD"/>
    <w:rsid w:val="00EC220B"/>
    <w:rsid w:val="00EC26BC"/>
    <w:rsid w:val="00EC53AA"/>
    <w:rsid w:val="00EC550C"/>
    <w:rsid w:val="00EC650D"/>
    <w:rsid w:val="00EC6728"/>
    <w:rsid w:val="00ED075C"/>
    <w:rsid w:val="00ED0E61"/>
    <w:rsid w:val="00ED3432"/>
    <w:rsid w:val="00ED48D0"/>
    <w:rsid w:val="00ED6E3C"/>
    <w:rsid w:val="00EE13D5"/>
    <w:rsid w:val="00EE2E19"/>
    <w:rsid w:val="00EE372C"/>
    <w:rsid w:val="00EE5F08"/>
    <w:rsid w:val="00EF2790"/>
    <w:rsid w:val="00EF2BCA"/>
    <w:rsid w:val="00EF38BF"/>
    <w:rsid w:val="00EF3968"/>
    <w:rsid w:val="00EF5EB4"/>
    <w:rsid w:val="00EF6813"/>
    <w:rsid w:val="00EF6E73"/>
    <w:rsid w:val="00EF7720"/>
    <w:rsid w:val="00EF7EA3"/>
    <w:rsid w:val="00F00C2D"/>
    <w:rsid w:val="00F016CF"/>
    <w:rsid w:val="00F01B3B"/>
    <w:rsid w:val="00F02521"/>
    <w:rsid w:val="00F02CE1"/>
    <w:rsid w:val="00F04EEE"/>
    <w:rsid w:val="00F056EE"/>
    <w:rsid w:val="00F07D4F"/>
    <w:rsid w:val="00F16560"/>
    <w:rsid w:val="00F17925"/>
    <w:rsid w:val="00F201AA"/>
    <w:rsid w:val="00F21D01"/>
    <w:rsid w:val="00F22046"/>
    <w:rsid w:val="00F23583"/>
    <w:rsid w:val="00F25363"/>
    <w:rsid w:val="00F2576D"/>
    <w:rsid w:val="00F25F64"/>
    <w:rsid w:val="00F2710E"/>
    <w:rsid w:val="00F271D7"/>
    <w:rsid w:val="00F27815"/>
    <w:rsid w:val="00F2789C"/>
    <w:rsid w:val="00F27EBB"/>
    <w:rsid w:val="00F302AD"/>
    <w:rsid w:val="00F3204D"/>
    <w:rsid w:val="00F358E4"/>
    <w:rsid w:val="00F36388"/>
    <w:rsid w:val="00F369A8"/>
    <w:rsid w:val="00F36EAD"/>
    <w:rsid w:val="00F370B7"/>
    <w:rsid w:val="00F379C5"/>
    <w:rsid w:val="00F418FD"/>
    <w:rsid w:val="00F439E1"/>
    <w:rsid w:val="00F44036"/>
    <w:rsid w:val="00F4600F"/>
    <w:rsid w:val="00F462F0"/>
    <w:rsid w:val="00F46D3C"/>
    <w:rsid w:val="00F4771C"/>
    <w:rsid w:val="00F51E41"/>
    <w:rsid w:val="00F521FB"/>
    <w:rsid w:val="00F547E5"/>
    <w:rsid w:val="00F54F8E"/>
    <w:rsid w:val="00F560D4"/>
    <w:rsid w:val="00F5638E"/>
    <w:rsid w:val="00F56617"/>
    <w:rsid w:val="00F56DBB"/>
    <w:rsid w:val="00F61DD3"/>
    <w:rsid w:val="00F621A1"/>
    <w:rsid w:val="00F63091"/>
    <w:rsid w:val="00F63A96"/>
    <w:rsid w:val="00F63D53"/>
    <w:rsid w:val="00F63DB0"/>
    <w:rsid w:val="00F64702"/>
    <w:rsid w:val="00F6678C"/>
    <w:rsid w:val="00F703C8"/>
    <w:rsid w:val="00F70759"/>
    <w:rsid w:val="00F71543"/>
    <w:rsid w:val="00F74EF0"/>
    <w:rsid w:val="00F751D3"/>
    <w:rsid w:val="00F758F6"/>
    <w:rsid w:val="00F772CF"/>
    <w:rsid w:val="00F811B7"/>
    <w:rsid w:val="00F82266"/>
    <w:rsid w:val="00F82272"/>
    <w:rsid w:val="00F8316F"/>
    <w:rsid w:val="00F834B9"/>
    <w:rsid w:val="00F91ADD"/>
    <w:rsid w:val="00F94039"/>
    <w:rsid w:val="00F94815"/>
    <w:rsid w:val="00F95F72"/>
    <w:rsid w:val="00F963D1"/>
    <w:rsid w:val="00F96669"/>
    <w:rsid w:val="00FA1935"/>
    <w:rsid w:val="00FA2EC0"/>
    <w:rsid w:val="00FA40B9"/>
    <w:rsid w:val="00FA4DDC"/>
    <w:rsid w:val="00FA68DA"/>
    <w:rsid w:val="00FA7C08"/>
    <w:rsid w:val="00FB04AA"/>
    <w:rsid w:val="00FB059B"/>
    <w:rsid w:val="00FB4788"/>
    <w:rsid w:val="00FB4E4F"/>
    <w:rsid w:val="00FB54C8"/>
    <w:rsid w:val="00FB71AB"/>
    <w:rsid w:val="00FB7967"/>
    <w:rsid w:val="00FB7A36"/>
    <w:rsid w:val="00FB7E11"/>
    <w:rsid w:val="00FC0151"/>
    <w:rsid w:val="00FC023A"/>
    <w:rsid w:val="00FC095F"/>
    <w:rsid w:val="00FC12D6"/>
    <w:rsid w:val="00FC2105"/>
    <w:rsid w:val="00FC547B"/>
    <w:rsid w:val="00FC54F7"/>
    <w:rsid w:val="00FC6751"/>
    <w:rsid w:val="00FD0932"/>
    <w:rsid w:val="00FD0D95"/>
    <w:rsid w:val="00FD12BF"/>
    <w:rsid w:val="00FD1974"/>
    <w:rsid w:val="00FD23A2"/>
    <w:rsid w:val="00FD2A84"/>
    <w:rsid w:val="00FD3C19"/>
    <w:rsid w:val="00FD677E"/>
    <w:rsid w:val="00FD7E7C"/>
    <w:rsid w:val="00FE0755"/>
    <w:rsid w:val="00FE1B5B"/>
    <w:rsid w:val="00FE1F9D"/>
    <w:rsid w:val="00FE2091"/>
    <w:rsid w:val="00FE20ED"/>
    <w:rsid w:val="00FE2557"/>
    <w:rsid w:val="00FE3764"/>
    <w:rsid w:val="00FE5575"/>
    <w:rsid w:val="00FE5D56"/>
    <w:rsid w:val="00FE7764"/>
    <w:rsid w:val="00FF3284"/>
    <w:rsid w:val="00FF32E6"/>
    <w:rsid w:val="00FF3408"/>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674FF"/>
  <w15:docId w15:val="{9346C8FE-9234-4314-ADEC-A334996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jc w:val="left"/>
    </w:pPr>
    <w:rPr>
      <w:b/>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uiPriority w:val="39"/>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character" w:customStyle="1" w:styleId="PlainTextChar">
    <w:name w:val="Plain Text Char"/>
    <w:basedOn w:val="DefaultParagraphFont"/>
    <w:link w:val="PlainText"/>
    <w:uiPriority w:val="99"/>
    <w:rsid w:val="00FC12D6"/>
    <w:rPr>
      <w:rFonts w:ascii="Courier New" w:hAnsi="Courier New"/>
      <w:lang w:val="fr-FR" w:eastAsia="fr-FR"/>
    </w:rPr>
  </w:style>
  <w:style w:type="paragraph" w:styleId="CommentSubject">
    <w:name w:val="annotation subject"/>
    <w:basedOn w:val="CommentText"/>
    <w:next w:val="CommentText"/>
    <w:link w:val="CommentSubjectChar"/>
    <w:semiHidden/>
    <w:unhideWhenUsed/>
    <w:rsid w:val="00545C86"/>
    <w:rPr>
      <w:b/>
      <w:bCs/>
      <w:sz w:val="20"/>
    </w:rPr>
  </w:style>
  <w:style w:type="character" w:customStyle="1" w:styleId="CommentTextChar">
    <w:name w:val="Comment Text Char"/>
    <w:basedOn w:val="DefaultParagraphFont"/>
    <w:link w:val="CommentText"/>
    <w:semiHidden/>
    <w:rsid w:val="00545C86"/>
    <w:rPr>
      <w:rFonts w:ascii="Arial" w:hAnsi="Arial"/>
      <w:sz w:val="22"/>
      <w:lang w:val="fr-FR" w:eastAsia="fr-FR"/>
    </w:rPr>
  </w:style>
  <w:style w:type="character" w:customStyle="1" w:styleId="CommentSubjectChar">
    <w:name w:val="Comment Subject Char"/>
    <w:basedOn w:val="CommentTextChar"/>
    <w:link w:val="CommentSubject"/>
    <w:semiHidden/>
    <w:rsid w:val="00545C86"/>
    <w:rPr>
      <w:rFonts w:ascii="Arial" w:hAnsi="Arial"/>
      <w:b/>
      <w:bCs/>
      <w:sz w:val="22"/>
      <w:lang w:val="fr-FR" w:eastAsia="fr-FR"/>
    </w:rPr>
  </w:style>
  <w:style w:type="character" w:customStyle="1" w:styleId="FooterChar">
    <w:name w:val="Footer Char"/>
    <w:basedOn w:val="DefaultParagraphFont"/>
    <w:link w:val="Footer"/>
    <w:uiPriority w:val="99"/>
    <w:rsid w:val="003B1D15"/>
    <w:rPr>
      <w:rFonts w:ascii="Arial" w:hAnsi="Arial"/>
      <w:b/>
      <w:sz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381952587">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459879636">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14825301">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79295796">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53717309">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65250858">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498304896">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18105248">
      <w:bodyDiv w:val="1"/>
      <w:marLeft w:val="0"/>
      <w:marRight w:val="0"/>
      <w:marTop w:val="0"/>
      <w:marBottom w:val="0"/>
      <w:divBdr>
        <w:top w:val="none" w:sz="0" w:space="0" w:color="auto"/>
        <w:left w:val="none" w:sz="0" w:space="0" w:color="auto"/>
        <w:bottom w:val="none" w:sz="0" w:space="0" w:color="auto"/>
        <w:right w:val="none" w:sz="0" w:space="0" w:color="auto"/>
      </w:divBdr>
    </w:div>
    <w:div w:id="1824197834">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07184878">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38D3-847D-4F68-B11A-79F54E86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9840</Characters>
  <Application>Microsoft Office Word</Application>
  <DocSecurity>0</DocSecurity>
  <PresentationFormat>Microsoft Word 11.0</PresentationFormat>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11605</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MASSON Sophie</dc:creator>
  <cp:keywords>EL4</cp:keywords>
  <cp:lastModifiedBy>MATUNDU LUZOLO Hélène (OSG)</cp:lastModifiedBy>
  <cp:revision>2</cp:revision>
  <cp:lastPrinted>2019-04-03T12:18:00Z</cp:lastPrinted>
  <dcterms:created xsi:type="dcterms:W3CDTF">2019-04-03T13:50:00Z</dcterms:created>
  <dcterms:modified xsi:type="dcterms:W3CDTF">2019-04-03T13:50:00Z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