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991" w:rsidRPr="00E27E50" w:rsidRDefault="00787991" w:rsidP="00787991">
      <w:pPr>
        <w:rPr>
          <w:lang w:val="fr-FR"/>
        </w:rPr>
      </w:pPr>
      <w:r w:rsidRPr="00E27E50">
        <w:rPr>
          <w:lang w:val="fr-FR"/>
        </w:rPr>
        <w:t>Réf.</w:t>
      </w:r>
      <w:r w:rsidR="00C76E50">
        <w:rPr>
          <w:lang w:val="fr-FR"/>
        </w:rPr>
        <w:t> </w:t>
      </w:r>
      <w:r w:rsidRPr="00E27E50">
        <w:rPr>
          <w:lang w:val="fr-FR"/>
        </w:rPr>
        <w:t xml:space="preserve">: </w:t>
      </w:r>
      <w:r w:rsidR="004567AD" w:rsidRPr="00E27E50">
        <w:rPr>
          <w:b/>
          <w:lang w:val="fr-FR"/>
        </w:rPr>
        <w:t>20</w:t>
      </w:r>
      <w:r w:rsidR="00F324E7" w:rsidRPr="00E27E50">
        <w:rPr>
          <w:b/>
          <w:lang w:val="fr-FR"/>
        </w:rPr>
        <w:t>1</w:t>
      </w:r>
      <w:r w:rsidR="00FB0D78" w:rsidRPr="00E27E50">
        <w:rPr>
          <w:b/>
          <w:lang w:val="fr-FR"/>
        </w:rPr>
        <w:t>9</w:t>
      </w:r>
      <w:r w:rsidRPr="00E27E50">
        <w:rPr>
          <w:b/>
          <w:lang w:val="fr-FR"/>
        </w:rPr>
        <w:t>-</w:t>
      </w:r>
      <w:r w:rsidR="00F324E7" w:rsidRPr="00E27E50">
        <w:rPr>
          <w:b/>
          <w:lang w:val="fr-FR"/>
        </w:rPr>
        <w:t>02</w:t>
      </w:r>
      <w:r w:rsidR="004567AD" w:rsidRPr="00E27E50">
        <w:rPr>
          <w:b/>
          <w:lang w:val="fr-FR"/>
        </w:rPr>
        <w:t>-D-</w:t>
      </w:r>
      <w:r w:rsidR="00FB0D78" w:rsidRPr="00E27E50">
        <w:rPr>
          <w:b/>
          <w:lang w:val="fr-FR"/>
        </w:rPr>
        <w:t>17</w:t>
      </w:r>
      <w:r w:rsidRPr="00E27E50">
        <w:rPr>
          <w:b/>
          <w:lang w:val="fr-FR"/>
        </w:rPr>
        <w:t>-fr-</w:t>
      </w:r>
      <w:r w:rsidR="00880A2D">
        <w:rPr>
          <w:b/>
          <w:lang w:val="fr-FR"/>
        </w:rPr>
        <w:t>2</w:t>
      </w:r>
      <w:bookmarkStart w:id="0" w:name="_GoBack"/>
      <w:bookmarkEnd w:id="0"/>
    </w:p>
    <w:p w:rsidR="00EE5D5F" w:rsidRPr="00E27E50" w:rsidRDefault="00787991" w:rsidP="00196BBE">
      <w:pPr>
        <w:rPr>
          <w:b/>
          <w:lang w:val="fr-FR"/>
        </w:rPr>
      </w:pPr>
      <w:proofErr w:type="spellStart"/>
      <w:r w:rsidRPr="00E27E50">
        <w:rPr>
          <w:lang w:val="fr-FR"/>
        </w:rPr>
        <w:t>Orig</w:t>
      </w:r>
      <w:proofErr w:type="spellEnd"/>
      <w:r w:rsidRPr="00E27E50">
        <w:rPr>
          <w:lang w:val="fr-FR"/>
        </w:rPr>
        <w:t>. :</w:t>
      </w:r>
      <w:r w:rsidR="00BA09BB">
        <w:rPr>
          <w:lang w:val="fr-FR"/>
        </w:rPr>
        <w:t xml:space="preserve"> </w:t>
      </w:r>
      <w:r w:rsidR="00F324E7" w:rsidRPr="00E27E50">
        <w:rPr>
          <w:lang w:val="fr-FR"/>
        </w:rPr>
        <w:t>FR</w:t>
      </w:r>
    </w:p>
    <w:p w:rsidR="00196BBE" w:rsidRPr="00E27E50" w:rsidRDefault="00F324E7" w:rsidP="00F27F72">
      <w:pPr>
        <w:pStyle w:val="DocumentTitle"/>
      </w:pPr>
      <w:bookmarkStart w:id="1" w:name="_Toc461070243"/>
      <w:bookmarkStart w:id="2" w:name="_Toc461070881"/>
      <w:bookmarkStart w:id="3" w:name="_Toc2092698"/>
      <w:bookmarkStart w:id="4" w:name="_Toc4511361"/>
      <w:r w:rsidRPr="00E27E50">
        <w:t>Rapport ICT 201</w:t>
      </w:r>
      <w:bookmarkEnd w:id="1"/>
      <w:bookmarkEnd w:id="2"/>
      <w:r w:rsidR="00FB0D78" w:rsidRPr="00E27E50">
        <w:t>8</w:t>
      </w:r>
      <w:bookmarkEnd w:id="3"/>
      <w:bookmarkEnd w:id="4"/>
    </w:p>
    <w:p w:rsidR="00196BBE" w:rsidRPr="00E27E50" w:rsidRDefault="00810CDF" w:rsidP="00F27F72">
      <w:pPr>
        <w:pStyle w:val="DocumentSubTitle"/>
      </w:pPr>
      <w:r>
        <w:t>Conseil supérieur</w:t>
      </w:r>
      <w:r>
        <w:tab/>
      </w:r>
      <w:r>
        <w:br/>
        <w:t>Réunion des 9</w:t>
      </w:r>
      <w:r w:rsidR="00FB0D78" w:rsidRPr="00E27E50">
        <w:t xml:space="preserve"> et </w:t>
      </w:r>
      <w:r>
        <w:t>11</w:t>
      </w:r>
      <w:r w:rsidR="00C76E50">
        <w:t> </w:t>
      </w:r>
      <w:r>
        <w:t>avril</w:t>
      </w:r>
      <w:r w:rsidR="00FB0D78" w:rsidRPr="00E27E50">
        <w:t xml:space="preserve"> 2019</w:t>
      </w:r>
      <w:r w:rsidR="00FC3D67" w:rsidRPr="00E27E50">
        <w:t xml:space="preserve"> à </w:t>
      </w:r>
      <w:r>
        <w:t>Athènes</w:t>
      </w:r>
    </w:p>
    <w:p w:rsidR="005F71F3" w:rsidRPr="00E27E50" w:rsidRDefault="005F71F3" w:rsidP="00896B36">
      <w:pPr>
        <w:jc w:val="left"/>
        <w:rPr>
          <w:lang w:val="fr-FR"/>
        </w:rPr>
      </w:pPr>
    </w:p>
    <w:p w:rsidR="00324D16" w:rsidRPr="00E27E50" w:rsidRDefault="002671B8" w:rsidP="00324D16">
      <w:pPr>
        <w:jc w:val="left"/>
        <w:rPr>
          <w:lang w:val="fr-FR"/>
        </w:rPr>
      </w:pPr>
      <w:r w:rsidRPr="00E27E50">
        <w:rPr>
          <w:lang w:val="fr-FR"/>
        </w:rPr>
        <w:br w:type="page"/>
      </w:r>
      <w:bookmarkStart w:id="5" w:name="_Toc461069071"/>
    </w:p>
    <w:p w:rsidR="000954E2" w:rsidRPr="00E27E50" w:rsidRDefault="000954E2" w:rsidP="00324D16">
      <w:pPr>
        <w:jc w:val="left"/>
        <w:rPr>
          <w:lang w:val="fr-FR"/>
        </w:rPr>
      </w:pPr>
    </w:p>
    <w:sdt>
      <w:sdtPr>
        <w:rPr>
          <w:rFonts w:eastAsia="Times New Roman" w:cs="Times New Roman"/>
          <w:color w:val="232B38"/>
          <w:sz w:val="22"/>
          <w:szCs w:val="20"/>
          <w:lang w:val="fr-FR"/>
        </w:rPr>
        <w:id w:val="1133830143"/>
        <w:docPartObj>
          <w:docPartGallery w:val="Table of Contents"/>
          <w:docPartUnique/>
        </w:docPartObj>
      </w:sdtPr>
      <w:sdtEndPr>
        <w:rPr>
          <w:b/>
          <w:bCs/>
        </w:rPr>
      </w:sdtEndPr>
      <w:sdtContent>
        <w:p w:rsidR="000954E2" w:rsidRPr="00E27E50" w:rsidRDefault="000954E2">
          <w:pPr>
            <w:pStyle w:val="TOCHeading"/>
            <w:rPr>
              <w:lang w:val="fr-FR"/>
            </w:rPr>
          </w:pPr>
          <w:r w:rsidRPr="00E27E50">
            <w:rPr>
              <w:lang w:val="fr-FR"/>
            </w:rPr>
            <w:t xml:space="preserve">Table </w:t>
          </w:r>
          <w:r w:rsidR="000C1E07" w:rsidRPr="00E27E50">
            <w:rPr>
              <w:lang w:val="fr-FR"/>
            </w:rPr>
            <w:t>des matières</w:t>
          </w:r>
        </w:p>
        <w:p w:rsidR="007D4FCD" w:rsidRDefault="00B946A5">
          <w:pPr>
            <w:pStyle w:val="TOC1"/>
            <w:tabs>
              <w:tab w:val="right" w:leader="dot" w:pos="9469"/>
            </w:tabs>
            <w:rPr>
              <w:rFonts w:asciiTheme="minorHAnsi" w:eastAsiaTheme="minorEastAsia" w:hAnsiTheme="minorHAnsi" w:cstheme="minorBidi"/>
              <w:b w:val="0"/>
              <w:bCs w:val="0"/>
              <w:noProof/>
              <w:color w:val="auto"/>
              <w:sz w:val="22"/>
              <w:szCs w:val="22"/>
            </w:rPr>
          </w:pPr>
          <w:r w:rsidRPr="00E27E50">
            <w:rPr>
              <w:b w:val="0"/>
              <w:bCs w:val="0"/>
              <w:lang w:val="fr-FR"/>
            </w:rPr>
            <w:fldChar w:fldCharType="begin"/>
          </w:r>
          <w:r w:rsidRPr="00E27E50">
            <w:rPr>
              <w:b w:val="0"/>
              <w:bCs w:val="0"/>
              <w:lang w:val="fr-FR"/>
            </w:rPr>
            <w:instrText xml:space="preserve"> TOC \o "1-2" \h \z \u </w:instrText>
          </w:r>
          <w:r w:rsidRPr="00E27E50">
            <w:rPr>
              <w:b w:val="0"/>
              <w:bCs w:val="0"/>
              <w:lang w:val="fr-FR"/>
            </w:rPr>
            <w:fldChar w:fldCharType="separate"/>
          </w:r>
          <w:hyperlink w:anchor="_Toc4511361" w:history="1">
            <w:r w:rsidR="007D4FCD" w:rsidRPr="00EF6E1D">
              <w:rPr>
                <w:rStyle w:val="Hyperlink"/>
                <w:noProof/>
              </w:rPr>
              <w:t>Rapport ICT 2018</w:t>
            </w:r>
            <w:r w:rsidR="007D4FCD">
              <w:rPr>
                <w:noProof/>
                <w:webHidden/>
              </w:rPr>
              <w:tab/>
            </w:r>
            <w:r w:rsidR="007D4FCD">
              <w:rPr>
                <w:noProof/>
                <w:webHidden/>
              </w:rPr>
              <w:fldChar w:fldCharType="begin"/>
            </w:r>
            <w:r w:rsidR="007D4FCD">
              <w:rPr>
                <w:noProof/>
                <w:webHidden/>
              </w:rPr>
              <w:instrText xml:space="preserve"> PAGEREF _Toc4511361 \h </w:instrText>
            </w:r>
            <w:r w:rsidR="007D4FCD">
              <w:rPr>
                <w:noProof/>
                <w:webHidden/>
              </w:rPr>
            </w:r>
            <w:r w:rsidR="007D4FCD">
              <w:rPr>
                <w:noProof/>
                <w:webHidden/>
              </w:rPr>
              <w:fldChar w:fldCharType="separate"/>
            </w:r>
            <w:r w:rsidR="007D4FCD">
              <w:rPr>
                <w:noProof/>
                <w:webHidden/>
              </w:rPr>
              <w:t>1</w:t>
            </w:r>
            <w:r w:rsidR="007D4FCD">
              <w:rPr>
                <w:noProof/>
                <w:webHidden/>
              </w:rPr>
              <w:fldChar w:fldCharType="end"/>
            </w:r>
          </w:hyperlink>
        </w:p>
        <w:p w:rsidR="007D4FCD" w:rsidRDefault="007D4FCD">
          <w:pPr>
            <w:pStyle w:val="TOC1"/>
            <w:tabs>
              <w:tab w:val="right" w:leader="dot" w:pos="9469"/>
            </w:tabs>
            <w:rPr>
              <w:rFonts w:asciiTheme="minorHAnsi" w:eastAsiaTheme="minorEastAsia" w:hAnsiTheme="minorHAnsi" w:cstheme="minorBidi"/>
              <w:b w:val="0"/>
              <w:bCs w:val="0"/>
              <w:noProof/>
              <w:color w:val="auto"/>
              <w:sz w:val="22"/>
              <w:szCs w:val="22"/>
            </w:rPr>
          </w:pPr>
          <w:hyperlink w:anchor="_Toc4511362" w:history="1">
            <w:r w:rsidRPr="00EF6E1D">
              <w:rPr>
                <w:rStyle w:val="Hyperlink"/>
                <w:noProof/>
                <w:lang w:val="fr-FR"/>
              </w:rPr>
              <w:t>Introduction</w:t>
            </w:r>
            <w:r>
              <w:rPr>
                <w:noProof/>
                <w:webHidden/>
              </w:rPr>
              <w:tab/>
            </w:r>
            <w:r>
              <w:rPr>
                <w:noProof/>
                <w:webHidden/>
              </w:rPr>
              <w:fldChar w:fldCharType="begin"/>
            </w:r>
            <w:r>
              <w:rPr>
                <w:noProof/>
                <w:webHidden/>
              </w:rPr>
              <w:instrText xml:space="preserve"> PAGEREF _Toc4511362 \h </w:instrText>
            </w:r>
            <w:r>
              <w:rPr>
                <w:noProof/>
                <w:webHidden/>
              </w:rPr>
            </w:r>
            <w:r>
              <w:rPr>
                <w:noProof/>
                <w:webHidden/>
              </w:rPr>
              <w:fldChar w:fldCharType="separate"/>
            </w:r>
            <w:r>
              <w:rPr>
                <w:noProof/>
                <w:webHidden/>
              </w:rPr>
              <w:t>3</w:t>
            </w:r>
            <w:r>
              <w:rPr>
                <w:noProof/>
                <w:webHidden/>
              </w:rPr>
              <w:fldChar w:fldCharType="end"/>
            </w:r>
          </w:hyperlink>
        </w:p>
        <w:p w:rsidR="007D4FCD" w:rsidRDefault="007D4FCD">
          <w:pPr>
            <w:pStyle w:val="TOC1"/>
            <w:tabs>
              <w:tab w:val="right" w:leader="dot" w:pos="9469"/>
            </w:tabs>
            <w:rPr>
              <w:rFonts w:asciiTheme="minorHAnsi" w:eastAsiaTheme="minorEastAsia" w:hAnsiTheme="minorHAnsi" w:cstheme="minorBidi"/>
              <w:b w:val="0"/>
              <w:bCs w:val="0"/>
              <w:noProof/>
              <w:color w:val="auto"/>
              <w:sz w:val="22"/>
              <w:szCs w:val="22"/>
            </w:rPr>
          </w:pPr>
          <w:hyperlink w:anchor="_Toc4511363" w:history="1">
            <w:r w:rsidRPr="00EF6E1D">
              <w:rPr>
                <w:rStyle w:val="Hyperlink"/>
                <w:noProof/>
                <w:lang w:val="fr-BE"/>
              </w:rPr>
              <w:t>Avis du Comité budgétaire</w:t>
            </w:r>
            <w:r>
              <w:rPr>
                <w:noProof/>
                <w:webHidden/>
              </w:rPr>
              <w:tab/>
            </w:r>
            <w:r>
              <w:rPr>
                <w:noProof/>
                <w:webHidden/>
              </w:rPr>
              <w:fldChar w:fldCharType="begin"/>
            </w:r>
            <w:r>
              <w:rPr>
                <w:noProof/>
                <w:webHidden/>
              </w:rPr>
              <w:instrText xml:space="preserve"> PAGEREF _Toc4511363 \h </w:instrText>
            </w:r>
            <w:r>
              <w:rPr>
                <w:noProof/>
                <w:webHidden/>
              </w:rPr>
            </w:r>
            <w:r>
              <w:rPr>
                <w:noProof/>
                <w:webHidden/>
              </w:rPr>
              <w:fldChar w:fldCharType="separate"/>
            </w:r>
            <w:r>
              <w:rPr>
                <w:noProof/>
                <w:webHidden/>
              </w:rPr>
              <w:t>3</w:t>
            </w:r>
            <w:r>
              <w:rPr>
                <w:noProof/>
                <w:webHidden/>
              </w:rPr>
              <w:fldChar w:fldCharType="end"/>
            </w:r>
          </w:hyperlink>
        </w:p>
        <w:p w:rsidR="007D4FCD" w:rsidRDefault="007D4FCD">
          <w:pPr>
            <w:pStyle w:val="TOC1"/>
            <w:tabs>
              <w:tab w:val="right" w:leader="dot" w:pos="9469"/>
            </w:tabs>
            <w:rPr>
              <w:rFonts w:asciiTheme="minorHAnsi" w:eastAsiaTheme="minorEastAsia" w:hAnsiTheme="minorHAnsi" w:cstheme="minorBidi"/>
              <w:b w:val="0"/>
              <w:bCs w:val="0"/>
              <w:noProof/>
              <w:color w:val="auto"/>
              <w:sz w:val="22"/>
              <w:szCs w:val="22"/>
            </w:rPr>
          </w:pPr>
          <w:hyperlink w:anchor="_Toc4511364" w:history="1">
            <w:r w:rsidRPr="00EF6E1D">
              <w:rPr>
                <w:rStyle w:val="Hyperlink"/>
                <w:noProof/>
                <w:lang w:val="fr-FR"/>
              </w:rPr>
              <w:t>Année 2018</w:t>
            </w:r>
            <w:r>
              <w:rPr>
                <w:noProof/>
                <w:webHidden/>
              </w:rPr>
              <w:tab/>
            </w:r>
            <w:r>
              <w:rPr>
                <w:noProof/>
                <w:webHidden/>
              </w:rPr>
              <w:fldChar w:fldCharType="begin"/>
            </w:r>
            <w:r>
              <w:rPr>
                <w:noProof/>
                <w:webHidden/>
              </w:rPr>
              <w:instrText xml:space="preserve"> PAGEREF _Toc4511364 \h </w:instrText>
            </w:r>
            <w:r>
              <w:rPr>
                <w:noProof/>
                <w:webHidden/>
              </w:rPr>
            </w:r>
            <w:r>
              <w:rPr>
                <w:noProof/>
                <w:webHidden/>
              </w:rPr>
              <w:fldChar w:fldCharType="separate"/>
            </w:r>
            <w:r>
              <w:rPr>
                <w:noProof/>
                <w:webHidden/>
              </w:rPr>
              <w:t>4</w:t>
            </w:r>
            <w:r>
              <w:rPr>
                <w:noProof/>
                <w:webHidden/>
              </w:rPr>
              <w:fldChar w:fldCharType="end"/>
            </w:r>
          </w:hyperlink>
        </w:p>
        <w:p w:rsidR="007D4FCD" w:rsidRDefault="007D4FCD">
          <w:pPr>
            <w:pStyle w:val="TOC2"/>
            <w:tabs>
              <w:tab w:val="right" w:leader="dot" w:pos="9469"/>
            </w:tabs>
            <w:rPr>
              <w:rFonts w:asciiTheme="minorHAnsi" w:eastAsiaTheme="minorEastAsia" w:hAnsiTheme="minorHAnsi" w:cstheme="minorBidi"/>
              <w:b w:val="0"/>
              <w:bCs w:val="0"/>
              <w:noProof/>
              <w:color w:val="auto"/>
            </w:rPr>
          </w:pPr>
          <w:hyperlink w:anchor="_Toc4511365" w:history="1">
            <w:r w:rsidRPr="00EF6E1D">
              <w:rPr>
                <w:rStyle w:val="Hyperlink"/>
                <w:noProof/>
              </w:rPr>
              <w:t>Stratégie ICT : groupe de gouvernance ICT</w:t>
            </w:r>
            <w:r>
              <w:rPr>
                <w:noProof/>
                <w:webHidden/>
              </w:rPr>
              <w:tab/>
            </w:r>
            <w:r>
              <w:rPr>
                <w:noProof/>
                <w:webHidden/>
              </w:rPr>
              <w:fldChar w:fldCharType="begin"/>
            </w:r>
            <w:r>
              <w:rPr>
                <w:noProof/>
                <w:webHidden/>
              </w:rPr>
              <w:instrText xml:space="preserve"> PAGEREF _Toc4511365 \h </w:instrText>
            </w:r>
            <w:r>
              <w:rPr>
                <w:noProof/>
                <w:webHidden/>
              </w:rPr>
            </w:r>
            <w:r>
              <w:rPr>
                <w:noProof/>
                <w:webHidden/>
              </w:rPr>
              <w:fldChar w:fldCharType="separate"/>
            </w:r>
            <w:r>
              <w:rPr>
                <w:noProof/>
                <w:webHidden/>
              </w:rPr>
              <w:t>4</w:t>
            </w:r>
            <w:r>
              <w:rPr>
                <w:noProof/>
                <w:webHidden/>
              </w:rPr>
              <w:fldChar w:fldCharType="end"/>
            </w:r>
          </w:hyperlink>
        </w:p>
        <w:p w:rsidR="007D4FCD" w:rsidRDefault="007D4FCD">
          <w:pPr>
            <w:pStyle w:val="TOC2"/>
            <w:tabs>
              <w:tab w:val="left" w:pos="660"/>
              <w:tab w:val="right" w:leader="dot" w:pos="9469"/>
            </w:tabs>
            <w:rPr>
              <w:rFonts w:asciiTheme="minorHAnsi" w:eastAsiaTheme="minorEastAsia" w:hAnsiTheme="minorHAnsi" w:cstheme="minorBidi"/>
              <w:b w:val="0"/>
              <w:bCs w:val="0"/>
              <w:noProof/>
              <w:color w:val="auto"/>
            </w:rPr>
          </w:pPr>
          <w:hyperlink w:anchor="_Toc4511366" w:history="1">
            <w:r w:rsidRPr="00EF6E1D">
              <w:rPr>
                <w:rStyle w:val="Hyperlink"/>
                <w:noProof/>
              </w:rPr>
              <w:t>1.</w:t>
            </w:r>
            <w:r>
              <w:rPr>
                <w:rFonts w:asciiTheme="minorHAnsi" w:eastAsiaTheme="minorEastAsia" w:hAnsiTheme="minorHAnsi" w:cstheme="minorBidi"/>
                <w:b w:val="0"/>
                <w:bCs w:val="0"/>
                <w:noProof/>
                <w:color w:val="auto"/>
              </w:rPr>
              <w:tab/>
            </w:r>
            <w:r w:rsidRPr="00EF6E1D">
              <w:rPr>
                <w:rStyle w:val="Hyperlink"/>
                <w:noProof/>
              </w:rPr>
              <w:t>Cellule Système et réseaux</w:t>
            </w:r>
            <w:r>
              <w:rPr>
                <w:noProof/>
                <w:webHidden/>
              </w:rPr>
              <w:tab/>
            </w:r>
            <w:r>
              <w:rPr>
                <w:noProof/>
                <w:webHidden/>
              </w:rPr>
              <w:fldChar w:fldCharType="begin"/>
            </w:r>
            <w:r>
              <w:rPr>
                <w:noProof/>
                <w:webHidden/>
              </w:rPr>
              <w:instrText xml:space="preserve"> PAGEREF _Toc4511366 \h </w:instrText>
            </w:r>
            <w:r>
              <w:rPr>
                <w:noProof/>
                <w:webHidden/>
              </w:rPr>
            </w:r>
            <w:r>
              <w:rPr>
                <w:noProof/>
                <w:webHidden/>
              </w:rPr>
              <w:fldChar w:fldCharType="separate"/>
            </w:r>
            <w:r>
              <w:rPr>
                <w:noProof/>
                <w:webHidden/>
              </w:rPr>
              <w:t>5</w:t>
            </w:r>
            <w:r>
              <w:rPr>
                <w:noProof/>
                <w:webHidden/>
              </w:rPr>
              <w:fldChar w:fldCharType="end"/>
            </w:r>
          </w:hyperlink>
        </w:p>
        <w:p w:rsidR="007D4FCD" w:rsidRDefault="007D4FCD">
          <w:pPr>
            <w:pStyle w:val="TOC2"/>
            <w:tabs>
              <w:tab w:val="left" w:pos="660"/>
              <w:tab w:val="right" w:leader="dot" w:pos="9469"/>
            </w:tabs>
            <w:rPr>
              <w:rFonts w:asciiTheme="minorHAnsi" w:eastAsiaTheme="minorEastAsia" w:hAnsiTheme="minorHAnsi" w:cstheme="minorBidi"/>
              <w:b w:val="0"/>
              <w:bCs w:val="0"/>
              <w:noProof/>
              <w:color w:val="auto"/>
            </w:rPr>
          </w:pPr>
          <w:hyperlink w:anchor="_Toc4511367" w:history="1">
            <w:r w:rsidRPr="00EF6E1D">
              <w:rPr>
                <w:rStyle w:val="Hyperlink"/>
                <w:noProof/>
              </w:rPr>
              <w:t>2.</w:t>
            </w:r>
            <w:r>
              <w:rPr>
                <w:rFonts w:asciiTheme="minorHAnsi" w:eastAsiaTheme="minorEastAsia" w:hAnsiTheme="minorHAnsi" w:cstheme="minorBidi"/>
                <w:b w:val="0"/>
                <w:bCs w:val="0"/>
                <w:noProof/>
                <w:color w:val="auto"/>
              </w:rPr>
              <w:tab/>
            </w:r>
            <w:r w:rsidRPr="00EF6E1D">
              <w:rPr>
                <w:rStyle w:val="Hyperlink"/>
                <w:noProof/>
              </w:rPr>
              <w:t>Cellule Développement et Statistiques</w:t>
            </w:r>
            <w:r>
              <w:rPr>
                <w:noProof/>
                <w:webHidden/>
              </w:rPr>
              <w:tab/>
            </w:r>
            <w:r>
              <w:rPr>
                <w:noProof/>
                <w:webHidden/>
              </w:rPr>
              <w:fldChar w:fldCharType="begin"/>
            </w:r>
            <w:r>
              <w:rPr>
                <w:noProof/>
                <w:webHidden/>
              </w:rPr>
              <w:instrText xml:space="preserve"> PAGEREF _Toc4511367 \h </w:instrText>
            </w:r>
            <w:r>
              <w:rPr>
                <w:noProof/>
                <w:webHidden/>
              </w:rPr>
            </w:r>
            <w:r>
              <w:rPr>
                <w:noProof/>
                <w:webHidden/>
              </w:rPr>
              <w:fldChar w:fldCharType="separate"/>
            </w:r>
            <w:r>
              <w:rPr>
                <w:noProof/>
                <w:webHidden/>
              </w:rPr>
              <w:t>8</w:t>
            </w:r>
            <w:r>
              <w:rPr>
                <w:noProof/>
                <w:webHidden/>
              </w:rPr>
              <w:fldChar w:fldCharType="end"/>
            </w:r>
          </w:hyperlink>
        </w:p>
        <w:p w:rsidR="007D4FCD" w:rsidRDefault="007D4FCD">
          <w:pPr>
            <w:pStyle w:val="TOC2"/>
            <w:tabs>
              <w:tab w:val="left" w:pos="660"/>
              <w:tab w:val="right" w:leader="dot" w:pos="9469"/>
            </w:tabs>
            <w:rPr>
              <w:rFonts w:asciiTheme="minorHAnsi" w:eastAsiaTheme="minorEastAsia" w:hAnsiTheme="minorHAnsi" w:cstheme="minorBidi"/>
              <w:b w:val="0"/>
              <w:bCs w:val="0"/>
              <w:noProof/>
              <w:color w:val="auto"/>
            </w:rPr>
          </w:pPr>
          <w:hyperlink w:anchor="_Toc4511368" w:history="1">
            <w:r w:rsidRPr="00EF6E1D">
              <w:rPr>
                <w:rStyle w:val="Hyperlink"/>
                <w:noProof/>
              </w:rPr>
              <w:t>3.</w:t>
            </w:r>
            <w:r>
              <w:rPr>
                <w:rFonts w:asciiTheme="minorHAnsi" w:eastAsiaTheme="minorEastAsia" w:hAnsiTheme="minorHAnsi" w:cstheme="minorBidi"/>
                <w:b w:val="0"/>
                <w:bCs w:val="0"/>
                <w:noProof/>
                <w:color w:val="auto"/>
              </w:rPr>
              <w:tab/>
            </w:r>
            <w:r w:rsidRPr="00EF6E1D">
              <w:rPr>
                <w:rStyle w:val="Hyperlink"/>
                <w:noProof/>
              </w:rPr>
              <w:t>Cellule Service Desk</w:t>
            </w:r>
            <w:r>
              <w:rPr>
                <w:noProof/>
                <w:webHidden/>
              </w:rPr>
              <w:tab/>
            </w:r>
            <w:r>
              <w:rPr>
                <w:noProof/>
                <w:webHidden/>
              </w:rPr>
              <w:fldChar w:fldCharType="begin"/>
            </w:r>
            <w:r>
              <w:rPr>
                <w:noProof/>
                <w:webHidden/>
              </w:rPr>
              <w:instrText xml:space="preserve"> PAGEREF _Toc4511368 \h </w:instrText>
            </w:r>
            <w:r>
              <w:rPr>
                <w:noProof/>
                <w:webHidden/>
              </w:rPr>
            </w:r>
            <w:r>
              <w:rPr>
                <w:noProof/>
                <w:webHidden/>
              </w:rPr>
              <w:fldChar w:fldCharType="separate"/>
            </w:r>
            <w:r>
              <w:rPr>
                <w:noProof/>
                <w:webHidden/>
              </w:rPr>
              <w:t>11</w:t>
            </w:r>
            <w:r>
              <w:rPr>
                <w:noProof/>
                <w:webHidden/>
              </w:rPr>
              <w:fldChar w:fldCharType="end"/>
            </w:r>
          </w:hyperlink>
        </w:p>
        <w:p w:rsidR="007D4FCD" w:rsidRDefault="007D4FCD">
          <w:pPr>
            <w:pStyle w:val="TOC1"/>
            <w:tabs>
              <w:tab w:val="right" w:leader="dot" w:pos="9469"/>
            </w:tabs>
            <w:rPr>
              <w:rFonts w:asciiTheme="minorHAnsi" w:eastAsiaTheme="minorEastAsia" w:hAnsiTheme="minorHAnsi" w:cstheme="minorBidi"/>
              <w:b w:val="0"/>
              <w:bCs w:val="0"/>
              <w:noProof/>
              <w:color w:val="auto"/>
              <w:sz w:val="22"/>
              <w:szCs w:val="22"/>
            </w:rPr>
          </w:pPr>
          <w:hyperlink w:anchor="_Toc4511369" w:history="1">
            <w:r w:rsidRPr="00EF6E1D">
              <w:rPr>
                <w:rStyle w:val="Hyperlink"/>
                <w:noProof/>
                <w:lang w:val="fr-FR"/>
              </w:rPr>
              <w:t>A partir de 2019</w:t>
            </w:r>
            <w:r>
              <w:rPr>
                <w:noProof/>
                <w:webHidden/>
              </w:rPr>
              <w:tab/>
            </w:r>
            <w:r>
              <w:rPr>
                <w:noProof/>
                <w:webHidden/>
              </w:rPr>
              <w:fldChar w:fldCharType="begin"/>
            </w:r>
            <w:r>
              <w:rPr>
                <w:noProof/>
                <w:webHidden/>
              </w:rPr>
              <w:instrText xml:space="preserve"> PAGEREF _Toc4511369 \h </w:instrText>
            </w:r>
            <w:r>
              <w:rPr>
                <w:noProof/>
                <w:webHidden/>
              </w:rPr>
            </w:r>
            <w:r>
              <w:rPr>
                <w:noProof/>
                <w:webHidden/>
              </w:rPr>
              <w:fldChar w:fldCharType="separate"/>
            </w:r>
            <w:r>
              <w:rPr>
                <w:noProof/>
                <w:webHidden/>
              </w:rPr>
              <w:t>13</w:t>
            </w:r>
            <w:r>
              <w:rPr>
                <w:noProof/>
                <w:webHidden/>
              </w:rPr>
              <w:fldChar w:fldCharType="end"/>
            </w:r>
          </w:hyperlink>
        </w:p>
        <w:p w:rsidR="007D4FCD" w:rsidRDefault="007D4FCD">
          <w:pPr>
            <w:pStyle w:val="TOC2"/>
            <w:tabs>
              <w:tab w:val="right" w:leader="dot" w:pos="9469"/>
            </w:tabs>
            <w:rPr>
              <w:rFonts w:asciiTheme="minorHAnsi" w:eastAsiaTheme="minorEastAsia" w:hAnsiTheme="minorHAnsi" w:cstheme="minorBidi"/>
              <w:b w:val="0"/>
              <w:bCs w:val="0"/>
              <w:noProof/>
              <w:color w:val="auto"/>
            </w:rPr>
          </w:pPr>
          <w:hyperlink w:anchor="_Toc4511370" w:history="1">
            <w:r w:rsidRPr="00EF6E1D">
              <w:rPr>
                <w:rStyle w:val="Hyperlink"/>
                <w:noProof/>
              </w:rPr>
              <w:t>Stratégie ICT : groupe de gouvernance ICT</w:t>
            </w:r>
            <w:r>
              <w:rPr>
                <w:noProof/>
                <w:webHidden/>
              </w:rPr>
              <w:tab/>
            </w:r>
            <w:r>
              <w:rPr>
                <w:noProof/>
                <w:webHidden/>
              </w:rPr>
              <w:fldChar w:fldCharType="begin"/>
            </w:r>
            <w:r>
              <w:rPr>
                <w:noProof/>
                <w:webHidden/>
              </w:rPr>
              <w:instrText xml:space="preserve"> PAGEREF _Toc4511370 \h </w:instrText>
            </w:r>
            <w:r>
              <w:rPr>
                <w:noProof/>
                <w:webHidden/>
              </w:rPr>
            </w:r>
            <w:r>
              <w:rPr>
                <w:noProof/>
                <w:webHidden/>
              </w:rPr>
              <w:fldChar w:fldCharType="separate"/>
            </w:r>
            <w:r>
              <w:rPr>
                <w:noProof/>
                <w:webHidden/>
              </w:rPr>
              <w:t>13</w:t>
            </w:r>
            <w:r>
              <w:rPr>
                <w:noProof/>
                <w:webHidden/>
              </w:rPr>
              <w:fldChar w:fldCharType="end"/>
            </w:r>
          </w:hyperlink>
        </w:p>
        <w:p w:rsidR="007D4FCD" w:rsidRDefault="007D4FCD">
          <w:pPr>
            <w:pStyle w:val="TOC2"/>
            <w:tabs>
              <w:tab w:val="left" w:pos="660"/>
              <w:tab w:val="right" w:leader="dot" w:pos="9469"/>
            </w:tabs>
            <w:rPr>
              <w:rFonts w:asciiTheme="minorHAnsi" w:eastAsiaTheme="minorEastAsia" w:hAnsiTheme="minorHAnsi" w:cstheme="minorBidi"/>
              <w:b w:val="0"/>
              <w:bCs w:val="0"/>
              <w:noProof/>
              <w:color w:val="auto"/>
            </w:rPr>
          </w:pPr>
          <w:hyperlink w:anchor="_Toc4511371" w:history="1">
            <w:r w:rsidRPr="00EF6E1D">
              <w:rPr>
                <w:rStyle w:val="Hyperlink"/>
                <w:noProof/>
              </w:rPr>
              <w:t>1.</w:t>
            </w:r>
            <w:r>
              <w:rPr>
                <w:rFonts w:asciiTheme="minorHAnsi" w:eastAsiaTheme="minorEastAsia" w:hAnsiTheme="minorHAnsi" w:cstheme="minorBidi"/>
                <w:b w:val="0"/>
                <w:bCs w:val="0"/>
                <w:noProof/>
                <w:color w:val="auto"/>
              </w:rPr>
              <w:tab/>
            </w:r>
            <w:r w:rsidRPr="00EF6E1D">
              <w:rPr>
                <w:rStyle w:val="Hyperlink"/>
                <w:noProof/>
              </w:rPr>
              <w:t>Cellule Système et réseaux</w:t>
            </w:r>
            <w:r>
              <w:rPr>
                <w:noProof/>
                <w:webHidden/>
              </w:rPr>
              <w:tab/>
            </w:r>
            <w:r>
              <w:rPr>
                <w:noProof/>
                <w:webHidden/>
              </w:rPr>
              <w:fldChar w:fldCharType="begin"/>
            </w:r>
            <w:r>
              <w:rPr>
                <w:noProof/>
                <w:webHidden/>
              </w:rPr>
              <w:instrText xml:space="preserve"> PAGEREF _Toc4511371 \h </w:instrText>
            </w:r>
            <w:r>
              <w:rPr>
                <w:noProof/>
                <w:webHidden/>
              </w:rPr>
            </w:r>
            <w:r>
              <w:rPr>
                <w:noProof/>
                <w:webHidden/>
              </w:rPr>
              <w:fldChar w:fldCharType="separate"/>
            </w:r>
            <w:r>
              <w:rPr>
                <w:noProof/>
                <w:webHidden/>
              </w:rPr>
              <w:t>13</w:t>
            </w:r>
            <w:r>
              <w:rPr>
                <w:noProof/>
                <w:webHidden/>
              </w:rPr>
              <w:fldChar w:fldCharType="end"/>
            </w:r>
          </w:hyperlink>
        </w:p>
        <w:p w:rsidR="007D4FCD" w:rsidRDefault="007D4FCD">
          <w:pPr>
            <w:pStyle w:val="TOC2"/>
            <w:tabs>
              <w:tab w:val="left" w:pos="660"/>
              <w:tab w:val="right" w:leader="dot" w:pos="9469"/>
            </w:tabs>
            <w:rPr>
              <w:rFonts w:asciiTheme="minorHAnsi" w:eastAsiaTheme="minorEastAsia" w:hAnsiTheme="minorHAnsi" w:cstheme="minorBidi"/>
              <w:b w:val="0"/>
              <w:bCs w:val="0"/>
              <w:noProof/>
              <w:color w:val="auto"/>
            </w:rPr>
          </w:pPr>
          <w:hyperlink w:anchor="_Toc4511372" w:history="1">
            <w:r w:rsidRPr="00EF6E1D">
              <w:rPr>
                <w:rStyle w:val="Hyperlink"/>
                <w:noProof/>
              </w:rPr>
              <w:t>2.</w:t>
            </w:r>
            <w:r>
              <w:rPr>
                <w:rFonts w:asciiTheme="minorHAnsi" w:eastAsiaTheme="minorEastAsia" w:hAnsiTheme="minorHAnsi" w:cstheme="minorBidi"/>
                <w:b w:val="0"/>
                <w:bCs w:val="0"/>
                <w:noProof/>
                <w:color w:val="auto"/>
              </w:rPr>
              <w:tab/>
            </w:r>
            <w:r w:rsidRPr="00EF6E1D">
              <w:rPr>
                <w:rStyle w:val="Hyperlink"/>
                <w:noProof/>
              </w:rPr>
              <w:t>Cellule Développement et Statistiques</w:t>
            </w:r>
            <w:r>
              <w:rPr>
                <w:noProof/>
                <w:webHidden/>
              </w:rPr>
              <w:tab/>
            </w:r>
            <w:r>
              <w:rPr>
                <w:noProof/>
                <w:webHidden/>
              </w:rPr>
              <w:fldChar w:fldCharType="begin"/>
            </w:r>
            <w:r>
              <w:rPr>
                <w:noProof/>
                <w:webHidden/>
              </w:rPr>
              <w:instrText xml:space="preserve"> PAGEREF _Toc4511372 \h </w:instrText>
            </w:r>
            <w:r>
              <w:rPr>
                <w:noProof/>
                <w:webHidden/>
              </w:rPr>
            </w:r>
            <w:r>
              <w:rPr>
                <w:noProof/>
                <w:webHidden/>
              </w:rPr>
              <w:fldChar w:fldCharType="separate"/>
            </w:r>
            <w:r>
              <w:rPr>
                <w:noProof/>
                <w:webHidden/>
              </w:rPr>
              <w:t>15</w:t>
            </w:r>
            <w:r>
              <w:rPr>
                <w:noProof/>
                <w:webHidden/>
              </w:rPr>
              <w:fldChar w:fldCharType="end"/>
            </w:r>
          </w:hyperlink>
        </w:p>
        <w:p w:rsidR="007D4FCD" w:rsidRDefault="007D4FCD">
          <w:pPr>
            <w:pStyle w:val="TOC1"/>
            <w:tabs>
              <w:tab w:val="right" w:leader="dot" w:pos="9469"/>
            </w:tabs>
            <w:rPr>
              <w:rFonts w:asciiTheme="minorHAnsi" w:eastAsiaTheme="minorEastAsia" w:hAnsiTheme="minorHAnsi" w:cstheme="minorBidi"/>
              <w:b w:val="0"/>
              <w:bCs w:val="0"/>
              <w:noProof/>
              <w:color w:val="auto"/>
              <w:sz w:val="22"/>
              <w:szCs w:val="22"/>
            </w:rPr>
          </w:pPr>
          <w:hyperlink w:anchor="_Toc4511373" w:history="1">
            <w:r w:rsidRPr="00EF6E1D">
              <w:rPr>
                <w:rStyle w:val="Hyperlink"/>
                <w:noProof/>
                <w:lang w:val="fr-FR"/>
              </w:rPr>
              <w:t>TIC et Protection des données</w:t>
            </w:r>
            <w:r>
              <w:rPr>
                <w:noProof/>
                <w:webHidden/>
              </w:rPr>
              <w:tab/>
            </w:r>
            <w:r>
              <w:rPr>
                <w:noProof/>
                <w:webHidden/>
              </w:rPr>
              <w:fldChar w:fldCharType="begin"/>
            </w:r>
            <w:r>
              <w:rPr>
                <w:noProof/>
                <w:webHidden/>
              </w:rPr>
              <w:instrText xml:space="preserve"> PAGEREF _Toc4511373 \h </w:instrText>
            </w:r>
            <w:r>
              <w:rPr>
                <w:noProof/>
                <w:webHidden/>
              </w:rPr>
            </w:r>
            <w:r>
              <w:rPr>
                <w:noProof/>
                <w:webHidden/>
              </w:rPr>
              <w:fldChar w:fldCharType="separate"/>
            </w:r>
            <w:r>
              <w:rPr>
                <w:noProof/>
                <w:webHidden/>
              </w:rPr>
              <w:t>16</w:t>
            </w:r>
            <w:r>
              <w:rPr>
                <w:noProof/>
                <w:webHidden/>
              </w:rPr>
              <w:fldChar w:fldCharType="end"/>
            </w:r>
          </w:hyperlink>
        </w:p>
        <w:p w:rsidR="007D4FCD" w:rsidRDefault="007D4FCD">
          <w:pPr>
            <w:pStyle w:val="TOC1"/>
            <w:tabs>
              <w:tab w:val="right" w:leader="dot" w:pos="9469"/>
            </w:tabs>
            <w:rPr>
              <w:rFonts w:asciiTheme="minorHAnsi" w:eastAsiaTheme="minorEastAsia" w:hAnsiTheme="minorHAnsi" w:cstheme="minorBidi"/>
              <w:b w:val="0"/>
              <w:bCs w:val="0"/>
              <w:noProof/>
              <w:color w:val="auto"/>
              <w:sz w:val="22"/>
              <w:szCs w:val="22"/>
            </w:rPr>
          </w:pPr>
          <w:hyperlink w:anchor="_Toc4511374" w:history="1">
            <w:r w:rsidRPr="00EF6E1D">
              <w:rPr>
                <w:rStyle w:val="Hyperlink"/>
                <w:noProof/>
                <w:lang w:val="fr-FR"/>
              </w:rPr>
              <w:t>Situation de l’unité informatique &amp; statistiques du BSGEE</w:t>
            </w:r>
            <w:r>
              <w:rPr>
                <w:noProof/>
                <w:webHidden/>
              </w:rPr>
              <w:tab/>
            </w:r>
            <w:r>
              <w:rPr>
                <w:noProof/>
                <w:webHidden/>
              </w:rPr>
              <w:fldChar w:fldCharType="begin"/>
            </w:r>
            <w:r>
              <w:rPr>
                <w:noProof/>
                <w:webHidden/>
              </w:rPr>
              <w:instrText xml:space="preserve"> PAGEREF _Toc4511374 \h </w:instrText>
            </w:r>
            <w:r>
              <w:rPr>
                <w:noProof/>
                <w:webHidden/>
              </w:rPr>
            </w:r>
            <w:r>
              <w:rPr>
                <w:noProof/>
                <w:webHidden/>
              </w:rPr>
              <w:fldChar w:fldCharType="separate"/>
            </w:r>
            <w:r>
              <w:rPr>
                <w:noProof/>
                <w:webHidden/>
              </w:rPr>
              <w:t>17</w:t>
            </w:r>
            <w:r>
              <w:rPr>
                <w:noProof/>
                <w:webHidden/>
              </w:rPr>
              <w:fldChar w:fldCharType="end"/>
            </w:r>
          </w:hyperlink>
        </w:p>
        <w:p w:rsidR="007D4FCD" w:rsidRDefault="007D4FCD">
          <w:pPr>
            <w:pStyle w:val="TOC2"/>
            <w:tabs>
              <w:tab w:val="right" w:leader="dot" w:pos="9469"/>
            </w:tabs>
            <w:rPr>
              <w:rFonts w:asciiTheme="minorHAnsi" w:eastAsiaTheme="minorEastAsia" w:hAnsiTheme="minorHAnsi" w:cstheme="minorBidi"/>
              <w:b w:val="0"/>
              <w:bCs w:val="0"/>
              <w:noProof/>
              <w:color w:val="auto"/>
            </w:rPr>
          </w:pPr>
          <w:hyperlink w:anchor="_Toc4511375" w:history="1">
            <w:r w:rsidRPr="00EF6E1D">
              <w:rPr>
                <w:rStyle w:val="Hyperlink"/>
                <w:noProof/>
              </w:rPr>
              <w:t>Cellule Système et réseaux</w:t>
            </w:r>
            <w:r>
              <w:rPr>
                <w:noProof/>
                <w:webHidden/>
              </w:rPr>
              <w:tab/>
            </w:r>
            <w:r>
              <w:rPr>
                <w:noProof/>
                <w:webHidden/>
              </w:rPr>
              <w:fldChar w:fldCharType="begin"/>
            </w:r>
            <w:r>
              <w:rPr>
                <w:noProof/>
                <w:webHidden/>
              </w:rPr>
              <w:instrText xml:space="preserve"> PAGEREF _Toc4511375 \h </w:instrText>
            </w:r>
            <w:r>
              <w:rPr>
                <w:noProof/>
                <w:webHidden/>
              </w:rPr>
            </w:r>
            <w:r>
              <w:rPr>
                <w:noProof/>
                <w:webHidden/>
              </w:rPr>
              <w:fldChar w:fldCharType="separate"/>
            </w:r>
            <w:r>
              <w:rPr>
                <w:noProof/>
                <w:webHidden/>
              </w:rPr>
              <w:t>17</w:t>
            </w:r>
            <w:r>
              <w:rPr>
                <w:noProof/>
                <w:webHidden/>
              </w:rPr>
              <w:fldChar w:fldCharType="end"/>
            </w:r>
          </w:hyperlink>
        </w:p>
        <w:p w:rsidR="007D4FCD" w:rsidRDefault="007D4FCD">
          <w:pPr>
            <w:pStyle w:val="TOC2"/>
            <w:tabs>
              <w:tab w:val="right" w:leader="dot" w:pos="9469"/>
            </w:tabs>
            <w:rPr>
              <w:rFonts w:asciiTheme="minorHAnsi" w:eastAsiaTheme="minorEastAsia" w:hAnsiTheme="minorHAnsi" w:cstheme="minorBidi"/>
              <w:b w:val="0"/>
              <w:bCs w:val="0"/>
              <w:noProof/>
              <w:color w:val="auto"/>
            </w:rPr>
          </w:pPr>
          <w:hyperlink w:anchor="_Toc4511376" w:history="1">
            <w:r w:rsidRPr="00EF6E1D">
              <w:rPr>
                <w:rStyle w:val="Hyperlink"/>
                <w:noProof/>
              </w:rPr>
              <w:t>Cellule Développement</w:t>
            </w:r>
            <w:r>
              <w:rPr>
                <w:noProof/>
                <w:webHidden/>
              </w:rPr>
              <w:tab/>
            </w:r>
            <w:r>
              <w:rPr>
                <w:noProof/>
                <w:webHidden/>
              </w:rPr>
              <w:fldChar w:fldCharType="begin"/>
            </w:r>
            <w:r>
              <w:rPr>
                <w:noProof/>
                <w:webHidden/>
              </w:rPr>
              <w:instrText xml:space="preserve"> PAGEREF _Toc4511376 \h </w:instrText>
            </w:r>
            <w:r>
              <w:rPr>
                <w:noProof/>
                <w:webHidden/>
              </w:rPr>
            </w:r>
            <w:r>
              <w:rPr>
                <w:noProof/>
                <w:webHidden/>
              </w:rPr>
              <w:fldChar w:fldCharType="separate"/>
            </w:r>
            <w:r>
              <w:rPr>
                <w:noProof/>
                <w:webHidden/>
              </w:rPr>
              <w:t>17</w:t>
            </w:r>
            <w:r>
              <w:rPr>
                <w:noProof/>
                <w:webHidden/>
              </w:rPr>
              <w:fldChar w:fldCharType="end"/>
            </w:r>
          </w:hyperlink>
        </w:p>
        <w:p w:rsidR="007D4FCD" w:rsidRDefault="007D4FCD">
          <w:pPr>
            <w:pStyle w:val="TOC2"/>
            <w:tabs>
              <w:tab w:val="right" w:leader="dot" w:pos="9469"/>
            </w:tabs>
            <w:rPr>
              <w:rFonts w:asciiTheme="minorHAnsi" w:eastAsiaTheme="minorEastAsia" w:hAnsiTheme="minorHAnsi" w:cstheme="minorBidi"/>
              <w:b w:val="0"/>
              <w:bCs w:val="0"/>
              <w:noProof/>
              <w:color w:val="auto"/>
            </w:rPr>
          </w:pPr>
          <w:hyperlink w:anchor="_Toc4511377" w:history="1">
            <w:r w:rsidRPr="00EF6E1D">
              <w:rPr>
                <w:rStyle w:val="Hyperlink"/>
                <w:noProof/>
              </w:rPr>
              <w:t>Cellule Service Desk</w:t>
            </w:r>
            <w:r>
              <w:rPr>
                <w:noProof/>
                <w:webHidden/>
              </w:rPr>
              <w:tab/>
            </w:r>
            <w:r>
              <w:rPr>
                <w:noProof/>
                <w:webHidden/>
              </w:rPr>
              <w:fldChar w:fldCharType="begin"/>
            </w:r>
            <w:r>
              <w:rPr>
                <w:noProof/>
                <w:webHidden/>
              </w:rPr>
              <w:instrText xml:space="preserve"> PAGEREF _Toc4511377 \h </w:instrText>
            </w:r>
            <w:r>
              <w:rPr>
                <w:noProof/>
                <w:webHidden/>
              </w:rPr>
            </w:r>
            <w:r>
              <w:rPr>
                <w:noProof/>
                <w:webHidden/>
              </w:rPr>
              <w:fldChar w:fldCharType="separate"/>
            </w:r>
            <w:r>
              <w:rPr>
                <w:noProof/>
                <w:webHidden/>
              </w:rPr>
              <w:t>17</w:t>
            </w:r>
            <w:r>
              <w:rPr>
                <w:noProof/>
                <w:webHidden/>
              </w:rPr>
              <w:fldChar w:fldCharType="end"/>
            </w:r>
          </w:hyperlink>
        </w:p>
        <w:p w:rsidR="007D4FCD" w:rsidRDefault="007D4FCD">
          <w:pPr>
            <w:pStyle w:val="TOC2"/>
            <w:tabs>
              <w:tab w:val="right" w:leader="dot" w:pos="9469"/>
            </w:tabs>
            <w:rPr>
              <w:rFonts w:asciiTheme="minorHAnsi" w:eastAsiaTheme="minorEastAsia" w:hAnsiTheme="minorHAnsi" w:cstheme="minorBidi"/>
              <w:b w:val="0"/>
              <w:bCs w:val="0"/>
              <w:noProof/>
              <w:color w:val="auto"/>
            </w:rPr>
          </w:pPr>
          <w:hyperlink w:anchor="_Toc4511378" w:history="1">
            <w:r w:rsidRPr="00EF6E1D">
              <w:rPr>
                <w:rStyle w:val="Hyperlink"/>
                <w:noProof/>
              </w:rPr>
              <w:t>Délégation aux équipes locales IT des écoles</w:t>
            </w:r>
            <w:r>
              <w:rPr>
                <w:noProof/>
                <w:webHidden/>
              </w:rPr>
              <w:tab/>
            </w:r>
            <w:r>
              <w:rPr>
                <w:noProof/>
                <w:webHidden/>
              </w:rPr>
              <w:fldChar w:fldCharType="begin"/>
            </w:r>
            <w:r>
              <w:rPr>
                <w:noProof/>
                <w:webHidden/>
              </w:rPr>
              <w:instrText xml:space="preserve"> PAGEREF _Toc4511378 \h </w:instrText>
            </w:r>
            <w:r>
              <w:rPr>
                <w:noProof/>
                <w:webHidden/>
              </w:rPr>
            </w:r>
            <w:r>
              <w:rPr>
                <w:noProof/>
                <w:webHidden/>
              </w:rPr>
              <w:fldChar w:fldCharType="separate"/>
            </w:r>
            <w:r>
              <w:rPr>
                <w:noProof/>
                <w:webHidden/>
              </w:rPr>
              <w:t>18</w:t>
            </w:r>
            <w:r>
              <w:rPr>
                <w:noProof/>
                <w:webHidden/>
              </w:rPr>
              <w:fldChar w:fldCharType="end"/>
            </w:r>
          </w:hyperlink>
        </w:p>
        <w:p w:rsidR="007D4FCD" w:rsidRDefault="007D4FCD">
          <w:pPr>
            <w:pStyle w:val="TOC1"/>
            <w:tabs>
              <w:tab w:val="right" w:leader="dot" w:pos="9469"/>
            </w:tabs>
            <w:rPr>
              <w:rFonts w:asciiTheme="minorHAnsi" w:eastAsiaTheme="minorEastAsia" w:hAnsiTheme="minorHAnsi" w:cstheme="minorBidi"/>
              <w:b w:val="0"/>
              <w:bCs w:val="0"/>
              <w:noProof/>
              <w:color w:val="auto"/>
              <w:sz w:val="22"/>
              <w:szCs w:val="22"/>
            </w:rPr>
          </w:pPr>
          <w:hyperlink w:anchor="_Toc4511379" w:history="1">
            <w:r w:rsidRPr="00EF6E1D">
              <w:rPr>
                <w:rStyle w:val="Hyperlink"/>
                <w:noProof/>
                <w:lang w:val="fr-FR"/>
              </w:rPr>
              <w:t>Répartition du matériel ICT dans les écoles au 31/12/2018</w:t>
            </w:r>
            <w:r>
              <w:rPr>
                <w:noProof/>
                <w:webHidden/>
              </w:rPr>
              <w:tab/>
            </w:r>
            <w:r>
              <w:rPr>
                <w:noProof/>
                <w:webHidden/>
              </w:rPr>
              <w:fldChar w:fldCharType="begin"/>
            </w:r>
            <w:r>
              <w:rPr>
                <w:noProof/>
                <w:webHidden/>
              </w:rPr>
              <w:instrText xml:space="preserve"> PAGEREF _Toc4511379 \h </w:instrText>
            </w:r>
            <w:r>
              <w:rPr>
                <w:noProof/>
                <w:webHidden/>
              </w:rPr>
            </w:r>
            <w:r>
              <w:rPr>
                <w:noProof/>
                <w:webHidden/>
              </w:rPr>
              <w:fldChar w:fldCharType="separate"/>
            </w:r>
            <w:r>
              <w:rPr>
                <w:noProof/>
                <w:webHidden/>
              </w:rPr>
              <w:t>19</w:t>
            </w:r>
            <w:r>
              <w:rPr>
                <w:noProof/>
                <w:webHidden/>
              </w:rPr>
              <w:fldChar w:fldCharType="end"/>
            </w:r>
          </w:hyperlink>
        </w:p>
        <w:p w:rsidR="007D4FCD" w:rsidRDefault="007D4FCD">
          <w:pPr>
            <w:pStyle w:val="TOC1"/>
            <w:tabs>
              <w:tab w:val="right" w:leader="dot" w:pos="9469"/>
            </w:tabs>
            <w:rPr>
              <w:rFonts w:asciiTheme="minorHAnsi" w:eastAsiaTheme="minorEastAsia" w:hAnsiTheme="minorHAnsi" w:cstheme="minorBidi"/>
              <w:b w:val="0"/>
              <w:bCs w:val="0"/>
              <w:noProof/>
              <w:color w:val="auto"/>
              <w:sz w:val="22"/>
              <w:szCs w:val="22"/>
            </w:rPr>
          </w:pPr>
          <w:hyperlink w:anchor="_Toc4511380" w:history="1">
            <w:r w:rsidRPr="00EF6E1D">
              <w:rPr>
                <w:rStyle w:val="Hyperlink"/>
                <w:noProof/>
                <w:lang w:val="fr-FR"/>
              </w:rPr>
              <w:t>Evolution des budgets</w:t>
            </w:r>
            <w:r>
              <w:rPr>
                <w:noProof/>
                <w:webHidden/>
              </w:rPr>
              <w:tab/>
            </w:r>
            <w:r>
              <w:rPr>
                <w:noProof/>
                <w:webHidden/>
              </w:rPr>
              <w:fldChar w:fldCharType="begin"/>
            </w:r>
            <w:r>
              <w:rPr>
                <w:noProof/>
                <w:webHidden/>
              </w:rPr>
              <w:instrText xml:space="preserve"> PAGEREF _Toc4511380 \h </w:instrText>
            </w:r>
            <w:r>
              <w:rPr>
                <w:noProof/>
                <w:webHidden/>
              </w:rPr>
            </w:r>
            <w:r>
              <w:rPr>
                <w:noProof/>
                <w:webHidden/>
              </w:rPr>
              <w:fldChar w:fldCharType="separate"/>
            </w:r>
            <w:r>
              <w:rPr>
                <w:noProof/>
                <w:webHidden/>
              </w:rPr>
              <w:t>25</w:t>
            </w:r>
            <w:r>
              <w:rPr>
                <w:noProof/>
                <w:webHidden/>
              </w:rPr>
              <w:fldChar w:fldCharType="end"/>
            </w:r>
          </w:hyperlink>
        </w:p>
        <w:p w:rsidR="007D4FCD" w:rsidRDefault="007D4FCD">
          <w:pPr>
            <w:pStyle w:val="TOC1"/>
            <w:tabs>
              <w:tab w:val="right" w:leader="dot" w:pos="9469"/>
            </w:tabs>
            <w:rPr>
              <w:rFonts w:asciiTheme="minorHAnsi" w:eastAsiaTheme="minorEastAsia" w:hAnsiTheme="minorHAnsi" w:cstheme="minorBidi"/>
              <w:b w:val="0"/>
              <w:bCs w:val="0"/>
              <w:noProof/>
              <w:color w:val="auto"/>
              <w:sz w:val="22"/>
              <w:szCs w:val="22"/>
            </w:rPr>
          </w:pPr>
          <w:hyperlink w:anchor="_Toc4511381" w:history="1">
            <w:r w:rsidRPr="00EF6E1D">
              <w:rPr>
                <w:rStyle w:val="Hyperlink"/>
                <w:noProof/>
                <w:lang w:val="fr-FR"/>
              </w:rPr>
              <w:t>Proposition</w:t>
            </w:r>
            <w:r>
              <w:rPr>
                <w:noProof/>
                <w:webHidden/>
              </w:rPr>
              <w:tab/>
            </w:r>
            <w:r>
              <w:rPr>
                <w:noProof/>
                <w:webHidden/>
              </w:rPr>
              <w:fldChar w:fldCharType="begin"/>
            </w:r>
            <w:r>
              <w:rPr>
                <w:noProof/>
                <w:webHidden/>
              </w:rPr>
              <w:instrText xml:space="preserve"> PAGEREF _Toc4511381 \h </w:instrText>
            </w:r>
            <w:r>
              <w:rPr>
                <w:noProof/>
                <w:webHidden/>
              </w:rPr>
            </w:r>
            <w:r>
              <w:rPr>
                <w:noProof/>
                <w:webHidden/>
              </w:rPr>
              <w:fldChar w:fldCharType="separate"/>
            </w:r>
            <w:r>
              <w:rPr>
                <w:noProof/>
                <w:webHidden/>
              </w:rPr>
              <w:t>27</w:t>
            </w:r>
            <w:r>
              <w:rPr>
                <w:noProof/>
                <w:webHidden/>
              </w:rPr>
              <w:fldChar w:fldCharType="end"/>
            </w:r>
          </w:hyperlink>
        </w:p>
        <w:p w:rsidR="000954E2" w:rsidRPr="00E27E50" w:rsidRDefault="00B946A5">
          <w:pPr>
            <w:rPr>
              <w:lang w:val="fr-FR"/>
            </w:rPr>
          </w:pPr>
          <w:r w:rsidRPr="00E27E50">
            <w:rPr>
              <w:b/>
              <w:bCs/>
              <w:sz w:val="24"/>
              <w:szCs w:val="24"/>
              <w:lang w:val="fr-FR"/>
            </w:rPr>
            <w:fldChar w:fldCharType="end"/>
          </w:r>
        </w:p>
      </w:sdtContent>
    </w:sdt>
    <w:p w:rsidR="00294915" w:rsidRPr="00E27E50" w:rsidRDefault="00294915">
      <w:pPr>
        <w:rPr>
          <w:lang w:val="fr-FR"/>
        </w:rPr>
      </w:pPr>
    </w:p>
    <w:p w:rsidR="000954E2" w:rsidRPr="00E27E50" w:rsidRDefault="000954E2">
      <w:pPr>
        <w:rPr>
          <w:lang w:val="fr-FR"/>
        </w:rPr>
      </w:pPr>
      <w:r w:rsidRPr="00E27E50">
        <w:rPr>
          <w:lang w:val="fr-FR"/>
        </w:rPr>
        <w:br w:type="page"/>
      </w:r>
    </w:p>
    <w:p w:rsidR="00F27F72" w:rsidRPr="00E27E50" w:rsidRDefault="00A00AC3" w:rsidP="00782822">
      <w:pPr>
        <w:pStyle w:val="Heading1"/>
        <w:rPr>
          <w:lang w:val="fr-FR"/>
        </w:rPr>
      </w:pPr>
      <w:bookmarkStart w:id="6" w:name="_Toc2092699"/>
      <w:bookmarkStart w:id="7" w:name="_Toc4511362"/>
      <w:bookmarkEnd w:id="5"/>
      <w:r w:rsidRPr="00E27E50">
        <w:rPr>
          <w:lang w:val="fr-FR"/>
        </w:rPr>
        <w:lastRenderedPageBreak/>
        <w:t>Introduction</w:t>
      </w:r>
      <w:bookmarkEnd w:id="6"/>
      <w:bookmarkEnd w:id="7"/>
    </w:p>
    <w:p w:rsidR="00A00AC3" w:rsidRPr="00E27E50" w:rsidRDefault="00A00AC3" w:rsidP="00AB3C49">
      <w:pPr>
        <w:pStyle w:val="BodyText1"/>
        <w:rPr>
          <w:color w:val="auto"/>
          <w:lang w:val="fr-FR"/>
        </w:rPr>
      </w:pPr>
      <w:r w:rsidRPr="00E27E50">
        <w:rPr>
          <w:color w:val="auto"/>
          <w:lang w:val="fr-FR"/>
        </w:rPr>
        <w:t xml:space="preserve">Le document a pour but de fournir un rapport </w:t>
      </w:r>
      <w:r w:rsidR="00843DC7" w:rsidRPr="00E27E50">
        <w:rPr>
          <w:color w:val="auto"/>
          <w:lang w:val="fr-FR"/>
        </w:rPr>
        <w:t xml:space="preserve">ICT </w:t>
      </w:r>
      <w:r w:rsidRPr="00E27E50">
        <w:rPr>
          <w:color w:val="auto"/>
          <w:lang w:val="fr-FR"/>
        </w:rPr>
        <w:t>détaillé sur l’année 201</w:t>
      </w:r>
      <w:r w:rsidR="00D57F3C" w:rsidRPr="00E27E50">
        <w:rPr>
          <w:color w:val="auto"/>
          <w:lang w:val="fr-FR"/>
        </w:rPr>
        <w:t>8</w:t>
      </w:r>
      <w:r w:rsidRPr="00E27E50">
        <w:rPr>
          <w:color w:val="auto"/>
          <w:lang w:val="fr-FR"/>
        </w:rPr>
        <w:t xml:space="preserve">, à savoir </w:t>
      </w:r>
      <w:r w:rsidR="00807884" w:rsidRPr="00E27E50">
        <w:rPr>
          <w:color w:val="auto"/>
          <w:lang w:val="fr-FR"/>
        </w:rPr>
        <w:t>communiquer</w:t>
      </w:r>
    </w:p>
    <w:p w:rsidR="00807884" w:rsidRPr="00E27E50" w:rsidRDefault="00096DE1" w:rsidP="00D057FF">
      <w:pPr>
        <w:pStyle w:val="BodyText1"/>
        <w:numPr>
          <w:ilvl w:val="0"/>
          <w:numId w:val="1"/>
        </w:numPr>
        <w:rPr>
          <w:color w:val="auto"/>
          <w:lang w:val="fr-FR"/>
        </w:rPr>
      </w:pPr>
      <w:r w:rsidRPr="00E27E50">
        <w:rPr>
          <w:color w:val="auto"/>
          <w:lang w:val="fr-FR"/>
        </w:rPr>
        <w:t>Un</w:t>
      </w:r>
      <w:r w:rsidR="00807884" w:rsidRPr="00E27E50">
        <w:rPr>
          <w:color w:val="auto"/>
          <w:lang w:val="fr-FR"/>
        </w:rPr>
        <w:t xml:space="preserve"> statut sur les principaux obj</w:t>
      </w:r>
      <w:r w:rsidR="00D57F3C" w:rsidRPr="00E27E50">
        <w:rPr>
          <w:color w:val="auto"/>
          <w:lang w:val="fr-FR"/>
        </w:rPr>
        <w:t>ectifs définis pour l’année 2018</w:t>
      </w:r>
      <w:r w:rsidR="00126BAC" w:rsidRPr="00E27E50">
        <w:rPr>
          <w:color w:val="auto"/>
          <w:lang w:val="fr-FR"/>
        </w:rPr>
        <w:t xml:space="preserve"> </w:t>
      </w:r>
      <w:r w:rsidR="00807884" w:rsidRPr="00E27E50">
        <w:rPr>
          <w:color w:val="auto"/>
          <w:lang w:val="fr-FR"/>
        </w:rPr>
        <w:t>au travers du rapport ICT précédent : les missions accomplies, non</w:t>
      </w:r>
      <w:r w:rsidR="000D0E12">
        <w:rPr>
          <w:color w:val="auto"/>
          <w:lang w:val="fr-FR"/>
        </w:rPr>
        <w:t xml:space="preserve"> </w:t>
      </w:r>
      <w:r w:rsidR="00807884" w:rsidRPr="00E27E50">
        <w:rPr>
          <w:color w:val="auto"/>
          <w:lang w:val="fr-FR"/>
        </w:rPr>
        <w:t>achevées et/ou non démarrées ;</w:t>
      </w:r>
    </w:p>
    <w:p w:rsidR="00807884" w:rsidRPr="00E27E50" w:rsidRDefault="00096DE1" w:rsidP="00D057FF">
      <w:pPr>
        <w:pStyle w:val="BodyText1"/>
        <w:numPr>
          <w:ilvl w:val="0"/>
          <w:numId w:val="1"/>
        </w:numPr>
        <w:rPr>
          <w:color w:val="auto"/>
          <w:lang w:val="fr-FR"/>
        </w:rPr>
      </w:pPr>
      <w:r w:rsidRPr="00E27E50">
        <w:rPr>
          <w:color w:val="auto"/>
          <w:lang w:val="fr-FR"/>
        </w:rPr>
        <w:t>Un</w:t>
      </w:r>
      <w:r w:rsidR="00807884" w:rsidRPr="00E27E50">
        <w:rPr>
          <w:color w:val="auto"/>
          <w:lang w:val="fr-FR"/>
        </w:rPr>
        <w:t xml:space="preserve"> aperçu sur les événements marquants de l’année 201</w:t>
      </w:r>
      <w:r w:rsidR="00D57F3C" w:rsidRPr="00E27E50">
        <w:rPr>
          <w:color w:val="auto"/>
          <w:lang w:val="fr-FR"/>
        </w:rPr>
        <w:t>8</w:t>
      </w:r>
      <w:r w:rsidR="00807884" w:rsidRPr="00E27E50">
        <w:rPr>
          <w:color w:val="auto"/>
          <w:lang w:val="fr-FR"/>
        </w:rPr>
        <w:t xml:space="preserve"> dans le cadre du système d’information (SI) des Ecoles </w:t>
      </w:r>
      <w:r w:rsidR="000D0E12">
        <w:rPr>
          <w:color w:val="auto"/>
          <w:lang w:val="fr-FR"/>
        </w:rPr>
        <w:t>e</w:t>
      </w:r>
      <w:r w:rsidR="00807884" w:rsidRPr="00E27E50">
        <w:rPr>
          <w:color w:val="auto"/>
          <w:lang w:val="fr-FR"/>
        </w:rPr>
        <w:t>uropéennes et de ses ressources IT</w:t>
      </w:r>
      <w:r w:rsidR="00311166" w:rsidRPr="00E27E50">
        <w:rPr>
          <w:color w:val="auto"/>
          <w:lang w:val="fr-FR"/>
        </w:rPr>
        <w:t>.</w:t>
      </w:r>
    </w:p>
    <w:p w:rsidR="00807884" w:rsidRPr="00E27E50" w:rsidRDefault="00311166" w:rsidP="00311166">
      <w:pPr>
        <w:pStyle w:val="BodyText1"/>
        <w:rPr>
          <w:color w:val="auto"/>
          <w:lang w:val="fr-FR"/>
        </w:rPr>
      </w:pPr>
      <w:r w:rsidRPr="00E27E50">
        <w:rPr>
          <w:color w:val="auto"/>
          <w:lang w:val="fr-FR"/>
        </w:rPr>
        <w:t>Il informe également</w:t>
      </w:r>
      <w:r w:rsidR="00012C0E" w:rsidRPr="00E27E50">
        <w:rPr>
          <w:color w:val="auto"/>
          <w:lang w:val="fr-FR"/>
        </w:rPr>
        <w:t xml:space="preserve"> </w:t>
      </w:r>
      <w:r w:rsidR="00126BAC" w:rsidRPr="00E27E50">
        <w:rPr>
          <w:color w:val="auto"/>
          <w:lang w:val="fr-FR"/>
        </w:rPr>
        <w:t>des</w:t>
      </w:r>
      <w:r w:rsidR="00012C0E" w:rsidRPr="00E27E50">
        <w:rPr>
          <w:color w:val="auto"/>
          <w:lang w:val="fr-FR"/>
        </w:rPr>
        <w:t xml:space="preserve"> objectifs actuels et futurs.</w:t>
      </w:r>
    </w:p>
    <w:p w:rsidR="00843DC7" w:rsidRPr="00E27E50" w:rsidRDefault="00703A20" w:rsidP="00311166">
      <w:pPr>
        <w:pStyle w:val="BodyText1"/>
        <w:rPr>
          <w:color w:val="auto"/>
          <w:lang w:val="fr-FR"/>
        </w:rPr>
      </w:pPr>
      <w:r w:rsidRPr="00E27E50">
        <w:rPr>
          <w:color w:val="auto"/>
          <w:lang w:val="fr-FR"/>
        </w:rPr>
        <w:t>Ce document s’adresse à un très large public :</w:t>
      </w:r>
      <w:r w:rsidR="00843DC7" w:rsidRPr="00E27E50">
        <w:rPr>
          <w:color w:val="auto"/>
          <w:lang w:val="fr-FR"/>
        </w:rPr>
        <w:t xml:space="preserve"> chefs de délé</w:t>
      </w:r>
      <w:r w:rsidRPr="00E27E50">
        <w:rPr>
          <w:color w:val="auto"/>
          <w:lang w:val="fr-FR"/>
        </w:rPr>
        <w:t xml:space="preserve">gation, spécialistes IT, directeurs des écoles, </w:t>
      </w:r>
      <w:r w:rsidR="00DA432B" w:rsidRPr="00E27E50">
        <w:rPr>
          <w:color w:val="auto"/>
          <w:lang w:val="fr-FR"/>
        </w:rPr>
        <w:t>directeurs adjoints de finance et de l’administration</w:t>
      </w:r>
      <w:r w:rsidRPr="00E27E50">
        <w:rPr>
          <w:color w:val="auto"/>
          <w:lang w:val="fr-FR"/>
        </w:rPr>
        <w:t>,</w:t>
      </w:r>
      <w:r w:rsidR="00843DC7" w:rsidRPr="00E27E50">
        <w:rPr>
          <w:color w:val="auto"/>
          <w:lang w:val="fr-FR"/>
        </w:rPr>
        <w:t xml:space="preserve"> </w:t>
      </w:r>
      <w:r w:rsidR="00096DE1" w:rsidRPr="00E27E50">
        <w:rPr>
          <w:color w:val="auto"/>
          <w:lang w:val="fr-FR"/>
        </w:rPr>
        <w:t>collègues</w:t>
      </w:r>
      <w:r w:rsidR="00FF170B" w:rsidRPr="00E27E50">
        <w:rPr>
          <w:color w:val="auto"/>
          <w:lang w:val="fr-FR"/>
        </w:rPr>
        <w:t>…</w:t>
      </w:r>
      <w:r w:rsidR="00096DE1" w:rsidRPr="00E27E50">
        <w:rPr>
          <w:color w:val="auto"/>
          <w:lang w:val="fr-FR"/>
        </w:rPr>
        <w:t xml:space="preserve"> </w:t>
      </w:r>
      <w:r w:rsidRPr="00E27E50">
        <w:rPr>
          <w:color w:val="auto"/>
          <w:lang w:val="fr-FR"/>
        </w:rPr>
        <w:t>Or l</w:t>
      </w:r>
      <w:r w:rsidR="00311166" w:rsidRPr="00E27E50">
        <w:rPr>
          <w:color w:val="auto"/>
          <w:lang w:val="fr-FR"/>
        </w:rPr>
        <w:t xml:space="preserve">’informatique est un domaine </w:t>
      </w:r>
      <w:r w:rsidRPr="00E27E50">
        <w:rPr>
          <w:color w:val="auto"/>
          <w:lang w:val="fr-FR"/>
        </w:rPr>
        <w:t xml:space="preserve">très </w:t>
      </w:r>
      <w:r w:rsidR="00311166" w:rsidRPr="00E27E50">
        <w:rPr>
          <w:color w:val="auto"/>
          <w:lang w:val="fr-FR"/>
        </w:rPr>
        <w:t>vaste, spécialiste et très technique. A cela, s’ajoute la complexité de l’infrastructure</w:t>
      </w:r>
      <w:r w:rsidRPr="00E27E50">
        <w:rPr>
          <w:color w:val="auto"/>
          <w:lang w:val="fr-FR"/>
        </w:rPr>
        <w:t xml:space="preserve"> IT des Ecoles </w:t>
      </w:r>
      <w:r w:rsidR="000D0E12">
        <w:rPr>
          <w:color w:val="auto"/>
          <w:lang w:val="fr-FR"/>
        </w:rPr>
        <w:t>e</w:t>
      </w:r>
      <w:r w:rsidRPr="00E27E50">
        <w:rPr>
          <w:color w:val="auto"/>
          <w:lang w:val="fr-FR"/>
        </w:rPr>
        <w:t xml:space="preserve">uropéennes, ainsi que son </w:t>
      </w:r>
      <w:r w:rsidR="00887B9C" w:rsidRPr="00E27E50">
        <w:rPr>
          <w:color w:val="auto"/>
          <w:lang w:val="fr-FR"/>
        </w:rPr>
        <w:t>système de fonctionnement unique</w:t>
      </w:r>
      <w:r w:rsidRPr="00E27E50">
        <w:rPr>
          <w:color w:val="auto"/>
          <w:lang w:val="fr-FR"/>
        </w:rPr>
        <w:t xml:space="preserve">. </w:t>
      </w:r>
      <w:r w:rsidR="00E81149" w:rsidRPr="00E27E50">
        <w:rPr>
          <w:color w:val="auto"/>
          <w:lang w:val="fr-FR"/>
        </w:rPr>
        <w:t>Dès lors</w:t>
      </w:r>
      <w:r w:rsidRPr="00E27E50">
        <w:rPr>
          <w:color w:val="auto"/>
          <w:lang w:val="fr-FR"/>
        </w:rPr>
        <w:t>, autant que possible</w:t>
      </w:r>
      <w:r w:rsidR="00843DC7" w:rsidRPr="00E27E50">
        <w:rPr>
          <w:color w:val="auto"/>
          <w:lang w:val="fr-FR"/>
        </w:rPr>
        <w:t>,</w:t>
      </w:r>
      <w:r w:rsidRPr="00E27E50">
        <w:rPr>
          <w:color w:val="auto"/>
          <w:lang w:val="fr-FR"/>
        </w:rPr>
        <w:t xml:space="preserve"> </w:t>
      </w:r>
      <w:r w:rsidR="00843DC7" w:rsidRPr="00E27E50">
        <w:rPr>
          <w:color w:val="auto"/>
          <w:lang w:val="fr-FR"/>
        </w:rPr>
        <w:t xml:space="preserve">ce document a été vulgarisé en évitant </w:t>
      </w:r>
      <w:r w:rsidRPr="00E27E50">
        <w:rPr>
          <w:color w:val="auto"/>
          <w:lang w:val="fr-FR"/>
        </w:rPr>
        <w:t>les termes</w:t>
      </w:r>
      <w:r w:rsidR="00843DC7" w:rsidRPr="00E27E50">
        <w:rPr>
          <w:color w:val="auto"/>
          <w:lang w:val="fr-FR"/>
        </w:rPr>
        <w:t xml:space="preserve"> et les explications</w:t>
      </w:r>
      <w:r w:rsidRPr="00E27E50">
        <w:rPr>
          <w:color w:val="auto"/>
          <w:lang w:val="fr-FR"/>
        </w:rPr>
        <w:t xml:space="preserve"> techniques</w:t>
      </w:r>
      <w:r w:rsidR="00843DC7" w:rsidRPr="00E27E50">
        <w:rPr>
          <w:color w:val="auto"/>
          <w:lang w:val="fr-FR"/>
        </w:rPr>
        <w:t xml:space="preserve">. </w:t>
      </w:r>
    </w:p>
    <w:p w:rsidR="00126BAC" w:rsidRDefault="00126BAC" w:rsidP="00311166">
      <w:pPr>
        <w:pStyle w:val="BodyText1"/>
        <w:rPr>
          <w:color w:val="auto"/>
          <w:lang w:val="fr-FR"/>
        </w:rPr>
      </w:pPr>
      <w:r w:rsidRPr="00E27E50">
        <w:rPr>
          <w:color w:val="auto"/>
          <w:lang w:val="fr-FR"/>
        </w:rPr>
        <w:t>Ce rapport a été réalisé exclusivement par l’</w:t>
      </w:r>
      <w:r w:rsidR="000D0E12">
        <w:rPr>
          <w:color w:val="auto"/>
          <w:lang w:val="fr-FR"/>
        </w:rPr>
        <w:t>U</w:t>
      </w:r>
      <w:r w:rsidRPr="00E27E50">
        <w:rPr>
          <w:color w:val="auto"/>
          <w:lang w:val="fr-FR"/>
        </w:rPr>
        <w:t xml:space="preserve">nité </w:t>
      </w:r>
      <w:r w:rsidR="000D0E12">
        <w:rPr>
          <w:color w:val="auto"/>
          <w:lang w:val="fr-FR"/>
        </w:rPr>
        <w:t>I</w:t>
      </w:r>
      <w:r w:rsidRPr="00E27E50">
        <w:rPr>
          <w:color w:val="auto"/>
          <w:lang w:val="fr-FR"/>
        </w:rPr>
        <w:t xml:space="preserve">nformatique et </w:t>
      </w:r>
      <w:r w:rsidR="000D0E12">
        <w:rPr>
          <w:color w:val="auto"/>
          <w:lang w:val="fr-FR"/>
        </w:rPr>
        <w:t>S</w:t>
      </w:r>
      <w:r w:rsidRPr="00E27E50">
        <w:rPr>
          <w:color w:val="auto"/>
          <w:lang w:val="fr-FR"/>
        </w:rPr>
        <w:t>tatistiques du BSGEE.</w:t>
      </w:r>
    </w:p>
    <w:p w:rsidR="00810CDF" w:rsidRPr="00E27E50" w:rsidRDefault="00810CDF" w:rsidP="00311166">
      <w:pPr>
        <w:pStyle w:val="BodyText1"/>
        <w:rPr>
          <w:color w:val="auto"/>
          <w:lang w:val="fr-FR"/>
        </w:rPr>
      </w:pPr>
    </w:p>
    <w:p w:rsidR="00810CDF" w:rsidRPr="00E368D0" w:rsidRDefault="00810CDF" w:rsidP="00810CDF">
      <w:pPr>
        <w:pStyle w:val="Heading1"/>
        <w:rPr>
          <w:lang w:val="fr-BE"/>
        </w:rPr>
      </w:pPr>
      <w:bookmarkStart w:id="8" w:name="_Toc478380256"/>
      <w:bookmarkStart w:id="9" w:name="_Toc510694392"/>
      <w:bookmarkStart w:id="10" w:name="_Toc4511363"/>
      <w:r w:rsidRPr="00E368D0">
        <w:rPr>
          <w:lang w:val="fr-BE"/>
        </w:rPr>
        <w:t>Avis du Comité budgétaire</w:t>
      </w:r>
      <w:bookmarkEnd w:id="8"/>
      <w:bookmarkEnd w:id="9"/>
      <w:bookmarkEnd w:id="10"/>
    </w:p>
    <w:p w:rsidR="00810CDF" w:rsidRPr="00E368D0" w:rsidRDefault="00810CDF" w:rsidP="00810CDF">
      <w:pPr>
        <w:pStyle w:val="BodyText1"/>
        <w:rPr>
          <w:color w:val="auto"/>
          <w:lang w:val="fr-BE"/>
        </w:rPr>
      </w:pPr>
      <w:r w:rsidRPr="00E368D0">
        <w:rPr>
          <w:color w:val="auto"/>
          <w:lang w:val="fr-BE"/>
        </w:rPr>
        <w:t xml:space="preserve">Le Comité budgétaire </w:t>
      </w:r>
      <w:r>
        <w:rPr>
          <w:color w:val="auto"/>
          <w:lang w:val="fr-BE"/>
        </w:rPr>
        <w:t>a pris</w:t>
      </w:r>
      <w:r w:rsidRPr="00E368D0">
        <w:rPr>
          <w:color w:val="auto"/>
          <w:lang w:val="fr-BE"/>
        </w:rPr>
        <w:t xml:space="preserve"> note du rapport et invite le Conseil supérieur à </w:t>
      </w:r>
      <w:r>
        <w:rPr>
          <w:color w:val="auto"/>
          <w:lang w:val="fr-BE"/>
        </w:rPr>
        <w:t>en prendre note également.</w:t>
      </w:r>
    </w:p>
    <w:p w:rsidR="00843DC7" w:rsidRPr="00E27E50" w:rsidRDefault="00843DC7" w:rsidP="00E81149">
      <w:pPr>
        <w:pStyle w:val="BodyText1"/>
        <w:rPr>
          <w:lang w:val="fr-FR"/>
        </w:rPr>
      </w:pPr>
      <w:r w:rsidRPr="00E27E50">
        <w:rPr>
          <w:lang w:val="fr-FR"/>
        </w:rPr>
        <w:br w:type="page"/>
      </w:r>
    </w:p>
    <w:p w:rsidR="00E24955" w:rsidRPr="00E27E50" w:rsidRDefault="00843DC7" w:rsidP="007414D0">
      <w:pPr>
        <w:pStyle w:val="Heading1"/>
        <w:rPr>
          <w:lang w:val="fr-FR"/>
        </w:rPr>
      </w:pPr>
      <w:bookmarkStart w:id="11" w:name="_Toc2092700"/>
      <w:bookmarkStart w:id="12" w:name="_Toc4511364"/>
      <w:r w:rsidRPr="00E27E50">
        <w:rPr>
          <w:lang w:val="fr-FR"/>
        </w:rPr>
        <w:lastRenderedPageBreak/>
        <w:t>Année 201</w:t>
      </w:r>
      <w:r w:rsidR="00D57F3C" w:rsidRPr="00E27E50">
        <w:rPr>
          <w:lang w:val="fr-FR"/>
        </w:rPr>
        <w:t>8</w:t>
      </w:r>
      <w:bookmarkEnd w:id="11"/>
      <w:bookmarkEnd w:id="12"/>
    </w:p>
    <w:p w:rsidR="00CB19C2" w:rsidRPr="00E27E50" w:rsidRDefault="007B055A" w:rsidP="00DA432B">
      <w:pPr>
        <w:pStyle w:val="Heading2"/>
      </w:pPr>
      <w:bookmarkStart w:id="13" w:name="_Toc2092701"/>
      <w:bookmarkStart w:id="14" w:name="_Toc4511365"/>
      <w:r w:rsidRPr="00E27E50">
        <w:t>Stratégie ICT</w:t>
      </w:r>
      <w:r w:rsidR="000E0A9B">
        <w:t> </w:t>
      </w:r>
      <w:r w:rsidRPr="00E27E50">
        <w:t>: groupe de gouvernance ICT</w:t>
      </w:r>
      <w:bookmarkEnd w:id="13"/>
      <w:bookmarkEnd w:id="14"/>
    </w:p>
    <w:p w:rsidR="005B2D41" w:rsidRPr="00E27E50" w:rsidRDefault="005B2D41" w:rsidP="006C6004">
      <w:pPr>
        <w:pStyle w:val="BodyText1"/>
        <w:rPr>
          <w:color w:val="auto"/>
          <w:lang w:val="fr-FR"/>
        </w:rPr>
      </w:pPr>
      <w:r w:rsidRPr="00E27E50">
        <w:rPr>
          <w:color w:val="auto"/>
          <w:lang w:val="fr-FR"/>
        </w:rPr>
        <w:t>Le groupe de stratégie IT s’est réuni à de multiples reprises en 201</w:t>
      </w:r>
      <w:r w:rsidR="00D57F3C" w:rsidRPr="00E27E50">
        <w:rPr>
          <w:color w:val="auto"/>
          <w:lang w:val="fr-FR"/>
        </w:rPr>
        <w:t>8</w:t>
      </w:r>
      <w:r w:rsidRPr="00E27E50">
        <w:rPr>
          <w:color w:val="auto"/>
          <w:lang w:val="fr-FR"/>
        </w:rPr>
        <w:t> :</w:t>
      </w:r>
    </w:p>
    <w:p w:rsidR="005B2D41" w:rsidRPr="00E27E50" w:rsidRDefault="005B2D41" w:rsidP="006C6004">
      <w:pPr>
        <w:pStyle w:val="BodyText1"/>
        <w:numPr>
          <w:ilvl w:val="0"/>
          <w:numId w:val="1"/>
        </w:numPr>
        <w:rPr>
          <w:color w:val="auto"/>
          <w:lang w:val="fr-FR"/>
        </w:rPr>
      </w:pPr>
      <w:proofErr w:type="gramStart"/>
      <w:r w:rsidRPr="00E27E50">
        <w:rPr>
          <w:color w:val="auto"/>
          <w:lang w:val="fr-FR"/>
        </w:rPr>
        <w:t>que</w:t>
      </w:r>
      <w:proofErr w:type="gramEnd"/>
      <w:r w:rsidRPr="00E27E50">
        <w:rPr>
          <w:color w:val="auto"/>
          <w:lang w:val="fr-FR"/>
        </w:rPr>
        <w:t xml:space="preserve"> ce soient des réunions du sous-groupe ADM (présidé par le chef de l’unité IT) pour tous les aspects administratifs, financiers et de sécurité ;</w:t>
      </w:r>
    </w:p>
    <w:p w:rsidR="005B2D41" w:rsidRPr="00E27E50" w:rsidRDefault="005B2D41" w:rsidP="006C6004">
      <w:pPr>
        <w:pStyle w:val="BodyText1"/>
        <w:numPr>
          <w:ilvl w:val="0"/>
          <w:numId w:val="1"/>
        </w:numPr>
        <w:rPr>
          <w:color w:val="auto"/>
          <w:lang w:val="fr-FR"/>
        </w:rPr>
      </w:pPr>
      <w:proofErr w:type="gramStart"/>
      <w:r w:rsidRPr="00E27E50">
        <w:rPr>
          <w:color w:val="auto"/>
          <w:lang w:val="fr-FR"/>
        </w:rPr>
        <w:t>que</w:t>
      </w:r>
      <w:proofErr w:type="gramEnd"/>
      <w:r w:rsidRPr="00E27E50">
        <w:rPr>
          <w:color w:val="auto"/>
          <w:lang w:val="fr-FR"/>
        </w:rPr>
        <w:t xml:space="preserve"> ce soient des réunions du sous-groupe PEDA (présidé par le chef de l’unité de développement pédagogique) pour tous les aspects pédagogiques ;</w:t>
      </w:r>
    </w:p>
    <w:p w:rsidR="005B2D41" w:rsidRPr="00E27E50" w:rsidRDefault="005B2D41" w:rsidP="006C6004">
      <w:pPr>
        <w:pStyle w:val="BodyText1"/>
        <w:numPr>
          <w:ilvl w:val="0"/>
          <w:numId w:val="1"/>
        </w:numPr>
        <w:rPr>
          <w:color w:val="auto"/>
          <w:lang w:val="fr-FR"/>
        </w:rPr>
      </w:pPr>
      <w:proofErr w:type="gramStart"/>
      <w:r w:rsidRPr="00E27E50">
        <w:rPr>
          <w:color w:val="auto"/>
          <w:lang w:val="fr-FR"/>
        </w:rPr>
        <w:t>que</w:t>
      </w:r>
      <w:proofErr w:type="gramEnd"/>
      <w:r w:rsidRPr="00E27E50">
        <w:rPr>
          <w:color w:val="auto"/>
          <w:lang w:val="fr-FR"/>
        </w:rPr>
        <w:t xml:space="preserve"> ce soient des réunions conjointes avec les deux sous-groupes réunis (présidé par le secrétaire général) pour les aspects pédagogiques également ;</w:t>
      </w:r>
    </w:p>
    <w:p w:rsidR="008E0ED3" w:rsidRPr="00E27E50" w:rsidRDefault="008E0ED3" w:rsidP="006C6004">
      <w:pPr>
        <w:pStyle w:val="BodyText1"/>
        <w:rPr>
          <w:color w:val="auto"/>
          <w:lang w:val="fr-FR"/>
        </w:rPr>
      </w:pPr>
      <w:r w:rsidRPr="00E27E50">
        <w:rPr>
          <w:color w:val="auto"/>
          <w:lang w:val="fr-FR"/>
        </w:rPr>
        <w:t>Suite aux conclusions du Conseil Supérieur d’avril 2018, le dossier « révision du profile des préparateurs IT </w:t>
      </w:r>
      <w:r w:rsidR="00D10BA4" w:rsidRPr="00E27E50">
        <w:rPr>
          <w:color w:val="auto"/>
          <w:lang w:val="fr-FR"/>
        </w:rPr>
        <w:t>» a</w:t>
      </w:r>
      <w:r w:rsidRPr="00E27E50">
        <w:rPr>
          <w:color w:val="auto"/>
          <w:lang w:val="fr-FR"/>
        </w:rPr>
        <w:t xml:space="preserve"> été transféré au Groupe de Travail PAS. Ce </w:t>
      </w:r>
      <w:r w:rsidR="00234CC3" w:rsidRPr="00E27E50">
        <w:rPr>
          <w:color w:val="auto"/>
          <w:lang w:val="fr-FR"/>
        </w:rPr>
        <w:t>dossier propose la création d’un nouveau profile «</w:t>
      </w:r>
      <w:r w:rsidR="00B27DDC" w:rsidRPr="00E27E50">
        <w:rPr>
          <w:color w:val="auto"/>
          <w:lang w:val="fr-FR"/>
        </w:rPr>
        <w:t xml:space="preserve"> </w:t>
      </w:r>
      <w:r w:rsidR="00234CC3" w:rsidRPr="00E27E50">
        <w:rPr>
          <w:color w:val="auto"/>
          <w:lang w:val="fr-FR"/>
        </w:rPr>
        <w:t>Service Desk » et comprend un projet de description des postes IT.</w:t>
      </w:r>
    </w:p>
    <w:p w:rsidR="00336010" w:rsidRPr="00E27E50" w:rsidRDefault="00336010" w:rsidP="00336010">
      <w:pPr>
        <w:pStyle w:val="BodyText1"/>
        <w:rPr>
          <w:color w:val="auto"/>
          <w:lang w:val="fr-FR"/>
        </w:rPr>
      </w:pPr>
      <w:r w:rsidRPr="00E27E50">
        <w:rPr>
          <w:color w:val="auto"/>
          <w:lang w:val="fr-FR"/>
        </w:rPr>
        <w:t>Un travail conséquent a été réalisé par le groupe pour élaborer un nouveau plan informatique 2018-2022 des écoles européennes (référence : 2018-01-D-79-fr-4). Celui-ci a été approuvé par le Conseil Supérieur de décembre 2018. Dans une perspective pluriannuelle, il permet d’identifier non seulement les priorités mais également les moyens et ressources à mettre en œuvre pour les réaliser.</w:t>
      </w:r>
    </w:p>
    <w:p w:rsidR="00336010" w:rsidRPr="00E27E50" w:rsidRDefault="00336010" w:rsidP="00336010">
      <w:pPr>
        <w:pStyle w:val="BodyText1"/>
        <w:rPr>
          <w:color w:val="auto"/>
          <w:lang w:val="fr-FR"/>
        </w:rPr>
      </w:pPr>
      <w:r w:rsidRPr="00E27E50">
        <w:rPr>
          <w:color w:val="auto"/>
          <w:lang w:val="fr-FR"/>
        </w:rPr>
        <w:t>Outre cet effort de définition d’une vision stratégique, le groupe a continué à travailler sur le registre des risques IT. En coopération avec chaque responsable de cellule IT du BSGEE, des actions prioritaires ont été défini</w:t>
      </w:r>
      <w:r w:rsidR="000D0E12">
        <w:rPr>
          <w:color w:val="auto"/>
          <w:lang w:val="fr-FR"/>
        </w:rPr>
        <w:t>e</w:t>
      </w:r>
      <w:r w:rsidRPr="00E27E50">
        <w:rPr>
          <w:color w:val="auto"/>
          <w:lang w:val="fr-FR"/>
        </w:rPr>
        <w:t>s pour améliorer la stabilité et la sécurité des systèmes et garantir une meilleure continuité des services IT.  Vu l’état critique de certains services, ce registre permet ensuite d’évaluer les priorités des projets concrets. Le groupe IT-ADM s’est réuni en novembre 2018 pour se mettre d’accord sur une liste de projets prioritaires permettant de mieux organiser et planifier les activités opérationnelles de l</w:t>
      </w:r>
      <w:r w:rsidR="00C76E50">
        <w:rPr>
          <w:color w:val="auto"/>
          <w:lang w:val="fr-FR"/>
        </w:rPr>
        <w:t>’</w:t>
      </w:r>
      <w:r w:rsidRPr="00E27E50">
        <w:rPr>
          <w:color w:val="auto"/>
          <w:lang w:val="fr-FR"/>
        </w:rPr>
        <w:t>équipe ICT.</w:t>
      </w:r>
    </w:p>
    <w:p w:rsidR="00C80080" w:rsidRPr="00E27E50" w:rsidRDefault="00C80080" w:rsidP="00C80080">
      <w:pPr>
        <w:pStyle w:val="BodyText1"/>
        <w:rPr>
          <w:color w:val="auto"/>
          <w:lang w:val="fr-FR"/>
        </w:rPr>
      </w:pPr>
      <w:r w:rsidRPr="00E27E50">
        <w:rPr>
          <w:color w:val="auto"/>
          <w:lang w:val="fr-FR"/>
        </w:rPr>
        <w:t xml:space="preserve">Le sous-groupe PEDA (présidé par le chef de l’unité de développement pédagogique) pour tous les aspects pédagogiques, s’est quant à lui réuni plusieurs fois au cours de l’année 2018. Tout en se basant sur les priorités, en termes pédagogiques, exprimées dans le plan </w:t>
      </w:r>
      <w:proofErr w:type="spellStart"/>
      <w:r w:rsidRPr="00E27E50">
        <w:rPr>
          <w:color w:val="auto"/>
          <w:lang w:val="fr-FR"/>
        </w:rPr>
        <w:t>multiannuel</w:t>
      </w:r>
      <w:proofErr w:type="spellEnd"/>
      <w:r w:rsidRPr="00E27E50">
        <w:rPr>
          <w:color w:val="auto"/>
          <w:lang w:val="fr-FR"/>
        </w:rPr>
        <w:t xml:space="preserve"> IT approuvé par le CS d’avril 2018, le sous-groupe PEDA a produit plusieurs documents tels que notamment : le Cadre commun pour la compétence numérique</w:t>
      </w:r>
      <w:r w:rsidR="00C76E50">
        <w:rPr>
          <w:color w:val="auto"/>
          <w:lang w:val="fr-FR"/>
        </w:rPr>
        <w:t> </w:t>
      </w:r>
      <w:r w:rsidRPr="00E27E50">
        <w:rPr>
          <w:color w:val="auto"/>
          <w:lang w:val="fr-FR"/>
        </w:rPr>
        <w:t>; la Réglementation en matière de formation IT dans le cadre du développement professionnel continu des enseignants</w:t>
      </w:r>
      <w:r w:rsidR="00C76E50">
        <w:rPr>
          <w:color w:val="auto"/>
          <w:lang w:val="fr-FR"/>
        </w:rPr>
        <w:t> </w:t>
      </w:r>
      <w:r w:rsidRPr="00E27E50">
        <w:rPr>
          <w:color w:val="auto"/>
          <w:lang w:val="fr-FR"/>
        </w:rPr>
        <w:t>; la Vision de l’éducation numérique dans les Ecoles européennes</w:t>
      </w:r>
      <w:r w:rsidR="00C76E50">
        <w:rPr>
          <w:color w:val="auto"/>
          <w:lang w:val="fr-FR"/>
        </w:rPr>
        <w:t> </w:t>
      </w:r>
      <w:r w:rsidRPr="00E27E50">
        <w:rPr>
          <w:color w:val="auto"/>
          <w:lang w:val="fr-FR"/>
        </w:rPr>
        <w:t xml:space="preserve">; la Nouvelle terminologie numérique… Tous ces documents, selon leur degré d’implication, sont et seront présentés dans les divers Conseils et Comités concernés afin d’être approuvés. </w:t>
      </w:r>
    </w:p>
    <w:p w:rsidR="00C80080" w:rsidRPr="00E27E50" w:rsidRDefault="00C80080" w:rsidP="00C80080">
      <w:pPr>
        <w:pStyle w:val="BodyText1"/>
        <w:rPr>
          <w:color w:val="auto"/>
          <w:lang w:val="fr-FR"/>
        </w:rPr>
      </w:pPr>
      <w:r w:rsidRPr="00E27E50">
        <w:rPr>
          <w:color w:val="auto"/>
          <w:lang w:val="fr-FR"/>
        </w:rPr>
        <w:lastRenderedPageBreak/>
        <w:t>Un rapport plus détaillé des activités du GT de Stratégie IT-PEDA (</w:t>
      </w:r>
      <w:r w:rsidR="00EF56A1" w:rsidRPr="00E27E50">
        <w:rPr>
          <w:color w:val="auto"/>
          <w:lang w:val="fr-FR"/>
        </w:rPr>
        <w:t>réf</w:t>
      </w:r>
      <w:r w:rsidRPr="00E27E50">
        <w:rPr>
          <w:color w:val="auto"/>
          <w:lang w:val="fr-FR"/>
        </w:rPr>
        <w:t> : 2019-02-D-16) sera joint au Rapport du Secrétaire général.</w:t>
      </w:r>
    </w:p>
    <w:p w:rsidR="00906834" w:rsidRPr="00E27E50" w:rsidRDefault="00906834" w:rsidP="00906834">
      <w:pPr>
        <w:pStyle w:val="Heading2"/>
        <w:numPr>
          <w:ilvl w:val="0"/>
          <w:numId w:val="2"/>
        </w:numPr>
      </w:pPr>
      <w:bookmarkStart w:id="15" w:name="_Toc2092702"/>
      <w:bookmarkStart w:id="16" w:name="_Toc4511366"/>
      <w:r w:rsidRPr="00E27E50">
        <w:rPr>
          <w:bCs/>
        </w:rPr>
        <w:t>Cellule Système et réseaux</w:t>
      </w:r>
      <w:bookmarkEnd w:id="16"/>
      <w:r w:rsidRPr="00E27E50">
        <w:rPr>
          <w:bCs/>
        </w:rPr>
        <w:t xml:space="preserve"> </w:t>
      </w:r>
      <w:bookmarkEnd w:id="15"/>
    </w:p>
    <w:p w:rsidR="00906834" w:rsidRPr="00E27E50" w:rsidRDefault="00906834" w:rsidP="00906834">
      <w:pPr>
        <w:pStyle w:val="BodyText1"/>
        <w:rPr>
          <w:color w:val="auto"/>
          <w:lang w:val="fr-FR"/>
        </w:rPr>
      </w:pPr>
      <w:r w:rsidRPr="00E27E50">
        <w:rPr>
          <w:color w:val="auto"/>
          <w:lang w:val="fr-FR"/>
        </w:rPr>
        <w:t>En 2018 également, la gouvernance des TIC a été difficile.</w:t>
      </w:r>
    </w:p>
    <w:p w:rsidR="00906834" w:rsidRPr="00E27E50" w:rsidRDefault="00906834" w:rsidP="00906834">
      <w:pPr>
        <w:pStyle w:val="BodyText1"/>
        <w:rPr>
          <w:color w:val="auto"/>
          <w:lang w:val="fr-FR"/>
        </w:rPr>
      </w:pPr>
      <w:r w:rsidRPr="00E27E50">
        <w:rPr>
          <w:color w:val="auto"/>
          <w:lang w:val="fr-FR"/>
        </w:rPr>
        <w:t>L</w:t>
      </w:r>
      <w:r w:rsidR="00C76E50">
        <w:rPr>
          <w:color w:val="auto"/>
          <w:lang w:val="fr-FR"/>
        </w:rPr>
        <w:t>’</w:t>
      </w:r>
      <w:r w:rsidRPr="00E27E50">
        <w:rPr>
          <w:color w:val="auto"/>
          <w:lang w:val="fr-FR"/>
        </w:rPr>
        <w:t>expérience acquise en 2018 a démontré qu</w:t>
      </w:r>
      <w:r w:rsidR="00C76E50">
        <w:rPr>
          <w:color w:val="auto"/>
          <w:lang w:val="fr-FR"/>
        </w:rPr>
        <w:t>’</w:t>
      </w:r>
      <w:r w:rsidRPr="00E27E50">
        <w:rPr>
          <w:color w:val="auto"/>
          <w:lang w:val="fr-FR"/>
        </w:rPr>
        <w:t>avec des ressources et des budgets limités, une planification à long terme fiable impliquant toutes les parties prenantes concernées est cruciale, et que la gestion des risques et des incidents en vue d</w:t>
      </w:r>
      <w:r w:rsidR="00C76E50">
        <w:rPr>
          <w:color w:val="auto"/>
          <w:lang w:val="fr-FR"/>
        </w:rPr>
        <w:t>’</w:t>
      </w:r>
      <w:r w:rsidRPr="00E27E50">
        <w:rPr>
          <w:color w:val="auto"/>
          <w:lang w:val="fr-FR"/>
        </w:rPr>
        <w:t>assurer la continuité des activités doit être notre premier objectif.</w:t>
      </w:r>
    </w:p>
    <w:p w:rsidR="00906834" w:rsidRPr="00E27E50" w:rsidRDefault="00906834" w:rsidP="00906834">
      <w:pPr>
        <w:pStyle w:val="BodyText1"/>
        <w:rPr>
          <w:color w:val="auto"/>
          <w:lang w:val="fr-FR"/>
        </w:rPr>
      </w:pPr>
      <w:r w:rsidRPr="00E27E50">
        <w:rPr>
          <w:color w:val="auto"/>
          <w:lang w:val="fr-FR"/>
        </w:rPr>
        <w:t>En particulier, la migration de l</w:t>
      </w:r>
      <w:r w:rsidR="00C76E50">
        <w:rPr>
          <w:color w:val="auto"/>
          <w:lang w:val="fr-FR"/>
        </w:rPr>
        <w:t>’</w:t>
      </w:r>
      <w:r w:rsidRPr="00E27E50">
        <w:rPr>
          <w:color w:val="auto"/>
          <w:lang w:val="fr-FR"/>
        </w:rPr>
        <w:t>infrastructure de SAP vers le cloud a été un projet difficile, qui a influencé le travail de la cellule d</w:t>
      </w:r>
      <w:r w:rsidR="00C76E50">
        <w:rPr>
          <w:color w:val="auto"/>
          <w:lang w:val="fr-FR"/>
        </w:rPr>
        <w:t>’</w:t>
      </w:r>
      <w:r w:rsidRPr="00E27E50">
        <w:rPr>
          <w:color w:val="auto"/>
          <w:lang w:val="fr-FR"/>
        </w:rPr>
        <w:t>une manière imprévue.</w:t>
      </w:r>
    </w:p>
    <w:p w:rsidR="00906834" w:rsidRPr="00E27E50" w:rsidRDefault="00906834" w:rsidP="00906834">
      <w:pPr>
        <w:pStyle w:val="BodyText1"/>
        <w:rPr>
          <w:color w:val="auto"/>
          <w:lang w:val="fr-FR"/>
        </w:rPr>
      </w:pPr>
      <w:r w:rsidRPr="00E27E50">
        <w:rPr>
          <w:color w:val="auto"/>
          <w:lang w:val="fr-FR"/>
        </w:rPr>
        <w:t>Ce projet a nécessité la participation non planifiée de l</w:t>
      </w:r>
      <w:r w:rsidR="00C76E50">
        <w:rPr>
          <w:color w:val="auto"/>
          <w:lang w:val="fr-FR"/>
        </w:rPr>
        <w:t>’</w:t>
      </w:r>
      <w:r w:rsidRPr="00E27E50">
        <w:rPr>
          <w:color w:val="auto"/>
          <w:lang w:val="fr-FR"/>
        </w:rPr>
        <w:t>ensemble de la cellule Système et réseaux afin de respecter l</w:t>
      </w:r>
      <w:r w:rsidR="00C76E50">
        <w:rPr>
          <w:color w:val="auto"/>
          <w:lang w:val="fr-FR"/>
        </w:rPr>
        <w:t>’</w:t>
      </w:r>
      <w:r w:rsidRPr="00E27E50">
        <w:rPr>
          <w:color w:val="auto"/>
          <w:lang w:val="fr-FR"/>
        </w:rPr>
        <w:t>échéance du 18 mai 2018. Au cours de la phase de finalisation du projet, l</w:t>
      </w:r>
      <w:r w:rsidR="00C76E50">
        <w:rPr>
          <w:color w:val="auto"/>
          <w:lang w:val="fr-FR"/>
        </w:rPr>
        <w:t>’</w:t>
      </w:r>
      <w:r w:rsidRPr="00E27E50">
        <w:rPr>
          <w:color w:val="auto"/>
          <w:lang w:val="fr-FR"/>
        </w:rPr>
        <w:t>équipe Système et réseaux a été confrontée au fait que le SAP Solution Manager (système de gestion des incidents) n</w:t>
      </w:r>
      <w:r w:rsidR="00C76E50">
        <w:rPr>
          <w:color w:val="auto"/>
          <w:lang w:val="fr-FR"/>
        </w:rPr>
        <w:t>’</w:t>
      </w:r>
      <w:r w:rsidRPr="00E27E50">
        <w:rPr>
          <w:color w:val="auto"/>
          <w:lang w:val="fr-FR"/>
        </w:rPr>
        <w:t>avait pas été pris en compte dans la définition du projet initial. En fin de compte, grâce aux efforts conjoints de l</w:t>
      </w:r>
      <w:r w:rsidR="00C76E50">
        <w:rPr>
          <w:color w:val="auto"/>
          <w:lang w:val="fr-FR"/>
        </w:rPr>
        <w:t>’</w:t>
      </w:r>
      <w:r w:rsidRPr="00E27E50">
        <w:rPr>
          <w:color w:val="auto"/>
          <w:lang w:val="fr-FR"/>
        </w:rPr>
        <w:t>équipe Système et réseaux et du service d</w:t>
      </w:r>
      <w:r w:rsidR="00C76E50">
        <w:rPr>
          <w:color w:val="auto"/>
          <w:lang w:val="fr-FR"/>
        </w:rPr>
        <w:t>’</w:t>
      </w:r>
      <w:r w:rsidRPr="00E27E50">
        <w:rPr>
          <w:color w:val="auto"/>
          <w:lang w:val="fr-FR"/>
        </w:rPr>
        <w:t xml:space="preserve">assistance, tous les incidents, y compris leur historique, ont été transférés vers la solution interne de gestion des incidents. Depuis lors, une seule </w:t>
      </w:r>
      <w:r w:rsidR="005A75F1">
        <w:rPr>
          <w:color w:val="auto"/>
          <w:lang w:val="fr-FR"/>
        </w:rPr>
        <w:t>plateforme</w:t>
      </w:r>
      <w:r w:rsidRPr="00E27E50">
        <w:rPr>
          <w:color w:val="auto"/>
          <w:lang w:val="fr-FR"/>
        </w:rPr>
        <w:t xml:space="preserve"> est utilisée pour traiter les incidents relatifs à SAP et aux TIC, ce qui permet un meilleur suivi et une homogénéisation de l</w:t>
      </w:r>
      <w:r w:rsidR="00C76E50">
        <w:rPr>
          <w:color w:val="auto"/>
          <w:lang w:val="fr-FR"/>
        </w:rPr>
        <w:t>’</w:t>
      </w:r>
      <w:r w:rsidRPr="00E27E50">
        <w:rPr>
          <w:color w:val="auto"/>
          <w:lang w:val="fr-FR"/>
        </w:rPr>
        <w:t>environnement.</w:t>
      </w:r>
    </w:p>
    <w:p w:rsidR="00906834" w:rsidRPr="00E27E50" w:rsidRDefault="00906834" w:rsidP="00906834">
      <w:pPr>
        <w:pStyle w:val="BodyText1"/>
        <w:rPr>
          <w:color w:val="auto"/>
          <w:lang w:val="fr-FR"/>
        </w:rPr>
      </w:pPr>
      <w:r w:rsidRPr="00E27E50">
        <w:rPr>
          <w:color w:val="auto"/>
          <w:lang w:val="fr-FR"/>
        </w:rPr>
        <w:t xml:space="preserve"> Cela a eu un impact considérable sur le traitement en temps opportun des grandes priorités prévues de la cellule Système, telles que : </w:t>
      </w:r>
    </w:p>
    <w:p w:rsidR="00906834" w:rsidRPr="00E27E50" w:rsidRDefault="00906834" w:rsidP="00906834">
      <w:pPr>
        <w:pStyle w:val="BodyText1"/>
        <w:rPr>
          <w:color w:val="auto"/>
          <w:lang w:val="fr-FR"/>
        </w:rPr>
      </w:pPr>
      <w:r w:rsidRPr="00E27E50">
        <w:rPr>
          <w:color w:val="auto"/>
          <w:lang w:val="fr-FR"/>
        </w:rPr>
        <w:t>•</w:t>
      </w:r>
      <w:r w:rsidRPr="00E27E50">
        <w:rPr>
          <w:color w:val="auto"/>
          <w:lang w:val="fr-FR"/>
        </w:rPr>
        <w:tab/>
        <w:t>la mise à niveau du centre de données</w:t>
      </w:r>
      <w:r w:rsidR="00C76E50">
        <w:rPr>
          <w:color w:val="auto"/>
          <w:lang w:val="fr-FR"/>
        </w:rPr>
        <w:t> </w:t>
      </w:r>
      <w:r w:rsidRPr="00E27E50">
        <w:rPr>
          <w:color w:val="auto"/>
          <w:lang w:val="fr-FR"/>
        </w:rPr>
        <w:t>;</w:t>
      </w:r>
    </w:p>
    <w:p w:rsidR="00906834" w:rsidRPr="00E27E50" w:rsidRDefault="00906834" w:rsidP="00906834">
      <w:pPr>
        <w:pStyle w:val="BodyText1"/>
        <w:rPr>
          <w:color w:val="auto"/>
          <w:lang w:val="fr-FR"/>
        </w:rPr>
      </w:pPr>
      <w:r w:rsidRPr="00E27E50">
        <w:rPr>
          <w:color w:val="auto"/>
          <w:lang w:val="fr-FR"/>
        </w:rPr>
        <w:t>•</w:t>
      </w:r>
      <w:r w:rsidRPr="00E27E50">
        <w:rPr>
          <w:color w:val="auto"/>
          <w:lang w:val="fr-FR"/>
        </w:rPr>
        <w:tab/>
        <w:t>l</w:t>
      </w:r>
      <w:r w:rsidR="00C76E50">
        <w:rPr>
          <w:color w:val="auto"/>
          <w:lang w:val="fr-FR"/>
        </w:rPr>
        <w:t>’</w:t>
      </w:r>
      <w:r w:rsidRPr="00E27E50">
        <w:rPr>
          <w:color w:val="auto"/>
          <w:lang w:val="fr-FR"/>
        </w:rPr>
        <w:t>extension du deuxième centre de données</w:t>
      </w:r>
      <w:r w:rsidR="00C76E50">
        <w:rPr>
          <w:color w:val="auto"/>
          <w:lang w:val="fr-FR"/>
        </w:rPr>
        <w:t> </w:t>
      </w:r>
      <w:r w:rsidRPr="00E27E50">
        <w:rPr>
          <w:color w:val="auto"/>
          <w:lang w:val="fr-FR"/>
        </w:rPr>
        <w:t xml:space="preserve">; </w:t>
      </w:r>
    </w:p>
    <w:p w:rsidR="00906834" w:rsidRPr="00E27E50" w:rsidRDefault="00906834" w:rsidP="00906834">
      <w:pPr>
        <w:pStyle w:val="BodyText1"/>
        <w:rPr>
          <w:color w:val="auto"/>
          <w:lang w:val="fr-FR"/>
        </w:rPr>
      </w:pPr>
      <w:r w:rsidRPr="00E27E50">
        <w:rPr>
          <w:color w:val="auto"/>
          <w:lang w:val="fr-FR"/>
        </w:rPr>
        <w:t>•</w:t>
      </w:r>
      <w:r w:rsidRPr="00E27E50">
        <w:rPr>
          <w:color w:val="auto"/>
          <w:lang w:val="fr-FR"/>
        </w:rPr>
        <w:tab/>
        <w:t>la consolidation du réseau</w:t>
      </w:r>
      <w:r w:rsidR="00C76E50">
        <w:rPr>
          <w:color w:val="auto"/>
          <w:lang w:val="fr-FR"/>
        </w:rPr>
        <w:t> </w:t>
      </w:r>
      <w:r w:rsidRPr="00E27E50">
        <w:rPr>
          <w:color w:val="auto"/>
          <w:lang w:val="fr-FR"/>
        </w:rPr>
        <w:t xml:space="preserve">;  </w:t>
      </w:r>
    </w:p>
    <w:p w:rsidR="00906834" w:rsidRPr="00E27E50" w:rsidRDefault="00906834" w:rsidP="00906834">
      <w:pPr>
        <w:pStyle w:val="BodyText1"/>
        <w:rPr>
          <w:color w:val="auto"/>
          <w:lang w:val="fr-FR"/>
        </w:rPr>
      </w:pPr>
      <w:r w:rsidRPr="00E27E50">
        <w:rPr>
          <w:color w:val="auto"/>
          <w:lang w:val="fr-FR"/>
        </w:rPr>
        <w:t>•</w:t>
      </w:r>
      <w:r w:rsidRPr="00E27E50">
        <w:rPr>
          <w:color w:val="auto"/>
          <w:lang w:val="fr-FR"/>
        </w:rPr>
        <w:tab/>
        <w:t>la mise en œuvre d</w:t>
      </w:r>
      <w:r w:rsidR="00C76E50">
        <w:rPr>
          <w:color w:val="auto"/>
          <w:lang w:val="fr-FR"/>
        </w:rPr>
        <w:t>’</w:t>
      </w:r>
      <w:r w:rsidRPr="00E27E50">
        <w:rPr>
          <w:color w:val="auto"/>
          <w:lang w:val="fr-FR"/>
        </w:rPr>
        <w:t>une stratégie et d</w:t>
      </w:r>
      <w:r w:rsidR="00C76E50">
        <w:rPr>
          <w:color w:val="auto"/>
          <w:lang w:val="fr-FR"/>
        </w:rPr>
        <w:t>’</w:t>
      </w:r>
      <w:r w:rsidRPr="00E27E50">
        <w:rPr>
          <w:color w:val="auto"/>
          <w:lang w:val="fr-FR"/>
        </w:rPr>
        <w:t>une solution de sauvegarde</w:t>
      </w:r>
      <w:r w:rsidR="00C76E50">
        <w:rPr>
          <w:color w:val="auto"/>
          <w:lang w:val="fr-FR"/>
        </w:rPr>
        <w:t> </w:t>
      </w:r>
      <w:r w:rsidRPr="00E27E50">
        <w:rPr>
          <w:color w:val="auto"/>
          <w:lang w:val="fr-FR"/>
        </w:rPr>
        <w:t xml:space="preserve">; </w:t>
      </w:r>
    </w:p>
    <w:p w:rsidR="00906834" w:rsidRPr="00E27E50" w:rsidRDefault="00906834" w:rsidP="00906834">
      <w:pPr>
        <w:pStyle w:val="BodyText1"/>
        <w:rPr>
          <w:color w:val="auto"/>
          <w:lang w:val="fr-FR"/>
        </w:rPr>
      </w:pPr>
      <w:r w:rsidRPr="00E27E50">
        <w:rPr>
          <w:color w:val="auto"/>
          <w:lang w:val="fr-FR"/>
        </w:rPr>
        <w:t>•</w:t>
      </w:r>
      <w:r w:rsidRPr="00E27E50">
        <w:rPr>
          <w:color w:val="auto"/>
          <w:lang w:val="fr-FR"/>
        </w:rPr>
        <w:tab/>
        <w:t>la mise en œuvre d</w:t>
      </w:r>
      <w:r w:rsidR="00C76E50">
        <w:rPr>
          <w:color w:val="auto"/>
          <w:lang w:val="fr-FR"/>
        </w:rPr>
        <w:t>’</w:t>
      </w:r>
      <w:r w:rsidRPr="00E27E50">
        <w:rPr>
          <w:color w:val="auto"/>
          <w:lang w:val="fr-FR"/>
        </w:rPr>
        <w:t>un plan de reprise après sinistre</w:t>
      </w:r>
      <w:r w:rsidR="00C76E50">
        <w:rPr>
          <w:color w:val="auto"/>
          <w:lang w:val="fr-FR"/>
        </w:rPr>
        <w:t> </w:t>
      </w:r>
      <w:r w:rsidRPr="00E27E50">
        <w:rPr>
          <w:color w:val="auto"/>
          <w:lang w:val="fr-FR"/>
        </w:rPr>
        <w:t xml:space="preserve">; </w:t>
      </w:r>
    </w:p>
    <w:p w:rsidR="00906834" w:rsidRPr="00E27E50" w:rsidRDefault="00906834" w:rsidP="00906834">
      <w:pPr>
        <w:pStyle w:val="BodyText1"/>
        <w:rPr>
          <w:color w:val="auto"/>
          <w:lang w:val="fr-FR"/>
        </w:rPr>
      </w:pPr>
      <w:r w:rsidRPr="00E27E50">
        <w:rPr>
          <w:color w:val="auto"/>
          <w:lang w:val="fr-FR"/>
        </w:rPr>
        <w:t>•</w:t>
      </w:r>
      <w:r w:rsidRPr="00E27E50">
        <w:rPr>
          <w:color w:val="auto"/>
          <w:lang w:val="fr-FR"/>
        </w:rPr>
        <w:tab/>
        <w:t>le déploiement d</w:t>
      </w:r>
      <w:r w:rsidR="00C76E50">
        <w:rPr>
          <w:color w:val="auto"/>
          <w:lang w:val="fr-FR"/>
        </w:rPr>
        <w:t>’</w:t>
      </w:r>
      <w:r w:rsidRPr="00E27E50">
        <w:rPr>
          <w:color w:val="auto"/>
          <w:lang w:val="fr-FR"/>
        </w:rPr>
        <w:t>EURSC.EU dans toutes les écoles et le démantèlement d</w:t>
      </w:r>
      <w:r w:rsidR="00C76E50">
        <w:rPr>
          <w:color w:val="auto"/>
          <w:lang w:val="fr-FR"/>
        </w:rPr>
        <w:t>’</w:t>
      </w:r>
      <w:r w:rsidRPr="00E27E50">
        <w:rPr>
          <w:color w:val="auto"/>
          <w:lang w:val="fr-FR"/>
        </w:rPr>
        <w:t>EURSC.ORG</w:t>
      </w:r>
      <w:r w:rsidR="00C76E50">
        <w:rPr>
          <w:color w:val="auto"/>
          <w:lang w:val="fr-FR"/>
        </w:rPr>
        <w:t> </w:t>
      </w:r>
      <w:r w:rsidRPr="00E27E50">
        <w:rPr>
          <w:color w:val="auto"/>
          <w:lang w:val="fr-FR"/>
        </w:rPr>
        <w:t>;</w:t>
      </w:r>
    </w:p>
    <w:p w:rsidR="00906834" w:rsidRPr="00E27E50" w:rsidRDefault="00906834" w:rsidP="00906834">
      <w:pPr>
        <w:pStyle w:val="BodyText1"/>
        <w:rPr>
          <w:color w:val="auto"/>
          <w:lang w:val="fr-FR"/>
        </w:rPr>
      </w:pPr>
      <w:r w:rsidRPr="00E27E50">
        <w:rPr>
          <w:color w:val="auto"/>
          <w:lang w:val="fr-FR"/>
        </w:rPr>
        <w:t>•</w:t>
      </w:r>
      <w:r w:rsidRPr="00E27E50">
        <w:rPr>
          <w:color w:val="auto"/>
          <w:lang w:val="fr-FR"/>
        </w:rPr>
        <w:tab/>
        <w:t>le renforcement de la plate-forme de sécurité et de communication</w:t>
      </w:r>
      <w:r w:rsidR="00C76E50">
        <w:rPr>
          <w:color w:val="auto"/>
          <w:lang w:val="fr-FR"/>
        </w:rPr>
        <w:t> </w:t>
      </w:r>
      <w:r w:rsidRPr="00E27E50">
        <w:rPr>
          <w:color w:val="auto"/>
          <w:lang w:val="fr-FR"/>
        </w:rPr>
        <w:t xml:space="preserve">; </w:t>
      </w:r>
    </w:p>
    <w:p w:rsidR="00906834" w:rsidRPr="00E27E50" w:rsidRDefault="00906834" w:rsidP="00906834">
      <w:pPr>
        <w:pStyle w:val="BodyText1"/>
        <w:rPr>
          <w:color w:val="auto"/>
          <w:lang w:val="fr-FR"/>
        </w:rPr>
      </w:pPr>
      <w:r w:rsidRPr="00E27E50">
        <w:rPr>
          <w:color w:val="auto"/>
          <w:lang w:val="fr-FR"/>
        </w:rPr>
        <w:t>•</w:t>
      </w:r>
      <w:r w:rsidRPr="00E27E50">
        <w:rPr>
          <w:color w:val="auto"/>
          <w:lang w:val="fr-FR"/>
        </w:rPr>
        <w:tab/>
        <w:t>le renouvellement de l</w:t>
      </w:r>
      <w:r w:rsidR="00C76E50">
        <w:rPr>
          <w:color w:val="auto"/>
          <w:lang w:val="fr-FR"/>
        </w:rPr>
        <w:t>’</w:t>
      </w:r>
      <w:r w:rsidRPr="00E27E50">
        <w:rPr>
          <w:color w:val="auto"/>
          <w:lang w:val="fr-FR"/>
        </w:rPr>
        <w:t>infrastructure d</w:t>
      </w:r>
      <w:r w:rsidR="00C76E50">
        <w:rPr>
          <w:color w:val="auto"/>
          <w:lang w:val="fr-FR"/>
        </w:rPr>
        <w:t>’</w:t>
      </w:r>
      <w:r w:rsidRPr="00E27E50">
        <w:rPr>
          <w:color w:val="auto"/>
          <w:lang w:val="fr-FR"/>
        </w:rPr>
        <w:t>hébergement des serveurs</w:t>
      </w:r>
      <w:r w:rsidR="00C76E50">
        <w:rPr>
          <w:color w:val="auto"/>
          <w:lang w:val="fr-FR"/>
        </w:rPr>
        <w:t> </w:t>
      </w:r>
      <w:r w:rsidRPr="00E27E50">
        <w:rPr>
          <w:color w:val="auto"/>
          <w:lang w:val="fr-FR"/>
        </w:rPr>
        <w:t xml:space="preserve">; </w:t>
      </w:r>
    </w:p>
    <w:p w:rsidR="00906834" w:rsidRPr="00E27E50" w:rsidRDefault="00906834" w:rsidP="00906834">
      <w:pPr>
        <w:pStyle w:val="BodyText1"/>
        <w:rPr>
          <w:color w:val="auto"/>
          <w:lang w:val="fr-FR"/>
        </w:rPr>
      </w:pPr>
      <w:r w:rsidRPr="00E27E50">
        <w:rPr>
          <w:color w:val="auto"/>
          <w:lang w:val="fr-FR"/>
        </w:rPr>
        <w:t>•</w:t>
      </w:r>
      <w:r w:rsidRPr="00E27E50">
        <w:rPr>
          <w:color w:val="auto"/>
          <w:lang w:val="fr-FR"/>
        </w:rPr>
        <w:tab/>
        <w:t>la mise en place d</w:t>
      </w:r>
      <w:r w:rsidR="00C76E50">
        <w:rPr>
          <w:color w:val="auto"/>
          <w:lang w:val="fr-FR"/>
        </w:rPr>
        <w:t>’</w:t>
      </w:r>
      <w:r w:rsidRPr="00E27E50">
        <w:rPr>
          <w:color w:val="auto"/>
          <w:lang w:val="fr-FR"/>
        </w:rPr>
        <w:t>une solution de surveillance</w:t>
      </w:r>
      <w:r w:rsidR="00C76E50">
        <w:rPr>
          <w:color w:val="auto"/>
          <w:lang w:val="fr-FR"/>
        </w:rPr>
        <w:t> </w:t>
      </w:r>
      <w:r w:rsidRPr="00E27E50">
        <w:rPr>
          <w:color w:val="auto"/>
          <w:lang w:val="fr-FR"/>
        </w:rPr>
        <w:t xml:space="preserve">; </w:t>
      </w:r>
    </w:p>
    <w:p w:rsidR="00906834" w:rsidRPr="00E27E50" w:rsidRDefault="00906834" w:rsidP="00906834">
      <w:pPr>
        <w:pStyle w:val="BodyText1"/>
        <w:rPr>
          <w:color w:val="auto"/>
          <w:lang w:val="fr-FR"/>
        </w:rPr>
      </w:pPr>
      <w:r w:rsidRPr="00E27E50">
        <w:rPr>
          <w:color w:val="auto"/>
          <w:lang w:val="fr-FR"/>
        </w:rPr>
        <w:lastRenderedPageBreak/>
        <w:t>•</w:t>
      </w:r>
      <w:r w:rsidRPr="00E27E50">
        <w:rPr>
          <w:color w:val="auto"/>
          <w:lang w:val="fr-FR"/>
        </w:rPr>
        <w:tab/>
        <w:t>le renforcement des serveurs de messagerie</w:t>
      </w:r>
      <w:r w:rsidR="00C76E50">
        <w:rPr>
          <w:color w:val="auto"/>
          <w:lang w:val="fr-FR"/>
        </w:rPr>
        <w:t> </w:t>
      </w:r>
      <w:r w:rsidRPr="00E27E50">
        <w:rPr>
          <w:color w:val="auto"/>
          <w:lang w:val="fr-FR"/>
        </w:rPr>
        <w:t>;</w:t>
      </w:r>
    </w:p>
    <w:p w:rsidR="00906834" w:rsidRPr="00E27E50" w:rsidRDefault="00906834" w:rsidP="00906834">
      <w:pPr>
        <w:pStyle w:val="BodyText1"/>
        <w:rPr>
          <w:color w:val="auto"/>
          <w:lang w:val="fr-FR"/>
        </w:rPr>
      </w:pPr>
      <w:r w:rsidRPr="00E27E50">
        <w:rPr>
          <w:color w:val="auto"/>
          <w:lang w:val="fr-FR"/>
        </w:rPr>
        <w:t>•</w:t>
      </w:r>
      <w:r w:rsidRPr="00E27E50">
        <w:rPr>
          <w:color w:val="auto"/>
          <w:lang w:val="fr-FR"/>
        </w:rPr>
        <w:tab/>
        <w:t xml:space="preserve">le renforcement des serveurs des bases de données. </w:t>
      </w:r>
    </w:p>
    <w:p w:rsidR="00906834" w:rsidRPr="00E27E50" w:rsidRDefault="00906834" w:rsidP="00906834">
      <w:pPr>
        <w:pStyle w:val="BodyText1"/>
        <w:rPr>
          <w:color w:val="auto"/>
          <w:lang w:val="fr-FR"/>
        </w:rPr>
      </w:pPr>
      <w:r w:rsidRPr="00E27E50">
        <w:rPr>
          <w:color w:val="auto"/>
          <w:lang w:val="fr-FR"/>
        </w:rPr>
        <w:t xml:space="preserve">En partie à cause de cette situation, les services ont été interrompus deux fois en 2018 : pendant 5 jours en mai et 3 jours en novembre. </w:t>
      </w:r>
    </w:p>
    <w:p w:rsidR="00906834" w:rsidRPr="00E27E50" w:rsidRDefault="00906834" w:rsidP="00906834">
      <w:pPr>
        <w:pStyle w:val="BodyText1"/>
        <w:rPr>
          <w:color w:val="auto"/>
          <w:lang w:val="fr-FR"/>
        </w:rPr>
      </w:pPr>
      <w:r w:rsidRPr="00E27E50">
        <w:rPr>
          <w:color w:val="auto"/>
          <w:lang w:val="fr-FR"/>
        </w:rPr>
        <w:t>C</w:t>
      </w:r>
      <w:r w:rsidR="00C76E50">
        <w:rPr>
          <w:color w:val="auto"/>
          <w:lang w:val="fr-FR"/>
        </w:rPr>
        <w:t>’</w:t>
      </w:r>
      <w:r w:rsidRPr="00E27E50">
        <w:rPr>
          <w:color w:val="auto"/>
          <w:lang w:val="fr-FR"/>
        </w:rPr>
        <w:t xml:space="preserve">est pourquoi en novembre 2018, des mesures ont été prises pour améliorer la gestion des risques et des incidents. Voici les principales mesures qui ont été prises :  </w:t>
      </w:r>
    </w:p>
    <w:p w:rsidR="00E27E50" w:rsidRPr="00E27E50" w:rsidRDefault="00E27E50" w:rsidP="00BC55C6">
      <w:pPr>
        <w:pStyle w:val="BodyText1"/>
        <w:ind w:left="720" w:hanging="720"/>
        <w:rPr>
          <w:color w:val="auto"/>
          <w:lang w:val="fr-FR"/>
        </w:rPr>
      </w:pPr>
      <w:r w:rsidRPr="00E27E50">
        <w:rPr>
          <w:color w:val="auto"/>
          <w:lang w:val="fr-FR"/>
        </w:rPr>
        <w:t>•</w:t>
      </w:r>
      <w:r w:rsidRPr="00E27E50">
        <w:rPr>
          <w:color w:val="auto"/>
          <w:lang w:val="fr-FR"/>
        </w:rPr>
        <w:tab/>
        <w:t>Un audit des centres de données a été réalisé et les éléments critiques identifiés ont été mis en conformité</w:t>
      </w:r>
      <w:r w:rsidR="00C76E50">
        <w:rPr>
          <w:color w:val="auto"/>
          <w:lang w:val="fr-FR"/>
        </w:rPr>
        <w:t> </w:t>
      </w:r>
      <w:r w:rsidRPr="00E27E50">
        <w:rPr>
          <w:color w:val="auto"/>
          <w:lang w:val="fr-FR"/>
        </w:rPr>
        <w:t xml:space="preserve">; </w:t>
      </w:r>
    </w:p>
    <w:p w:rsidR="00E27E50" w:rsidRPr="00E27E50" w:rsidRDefault="00E27E50" w:rsidP="00BC55C6">
      <w:pPr>
        <w:pStyle w:val="BodyText1"/>
        <w:ind w:left="720" w:hanging="720"/>
        <w:rPr>
          <w:color w:val="auto"/>
          <w:lang w:val="fr-FR"/>
        </w:rPr>
      </w:pPr>
      <w:r w:rsidRPr="00E27E50">
        <w:rPr>
          <w:color w:val="auto"/>
          <w:lang w:val="fr-FR"/>
        </w:rPr>
        <w:t>•</w:t>
      </w:r>
      <w:r w:rsidRPr="00E27E50">
        <w:rPr>
          <w:color w:val="auto"/>
          <w:lang w:val="fr-FR"/>
        </w:rPr>
        <w:tab/>
        <w:t>Un service de permanence a été mis en place (y compris en dehors des heures de bureau)</w:t>
      </w:r>
      <w:r w:rsidR="00BC55C6">
        <w:rPr>
          <w:color w:val="auto"/>
          <w:lang w:val="fr-FR"/>
        </w:rPr>
        <w:t xml:space="preserve"> </w:t>
      </w:r>
      <w:r w:rsidRPr="00E27E50">
        <w:rPr>
          <w:color w:val="auto"/>
          <w:lang w:val="fr-FR"/>
        </w:rPr>
        <w:t>afin d</w:t>
      </w:r>
      <w:r w:rsidR="00C76E50">
        <w:rPr>
          <w:color w:val="auto"/>
          <w:lang w:val="fr-FR"/>
        </w:rPr>
        <w:t>’</w:t>
      </w:r>
      <w:r w:rsidRPr="00E27E50">
        <w:rPr>
          <w:color w:val="auto"/>
          <w:lang w:val="fr-FR"/>
        </w:rPr>
        <w:t>intervenir en cas d</w:t>
      </w:r>
      <w:r w:rsidR="00C76E50">
        <w:rPr>
          <w:color w:val="auto"/>
          <w:lang w:val="fr-FR"/>
        </w:rPr>
        <w:t>’</w:t>
      </w:r>
      <w:r w:rsidRPr="00E27E50">
        <w:rPr>
          <w:color w:val="auto"/>
          <w:lang w:val="fr-FR"/>
        </w:rPr>
        <w:t>urgence</w:t>
      </w:r>
      <w:r w:rsidR="00C76E50">
        <w:rPr>
          <w:color w:val="auto"/>
          <w:lang w:val="fr-FR"/>
        </w:rPr>
        <w:t> </w:t>
      </w:r>
      <w:r w:rsidRPr="00E27E50">
        <w:rPr>
          <w:color w:val="auto"/>
          <w:lang w:val="fr-FR"/>
        </w:rPr>
        <w:t xml:space="preserve">; </w:t>
      </w:r>
    </w:p>
    <w:p w:rsidR="00E27E50" w:rsidRPr="00E27E50" w:rsidRDefault="00E27E50" w:rsidP="00E27E50">
      <w:pPr>
        <w:pStyle w:val="BodyText1"/>
        <w:rPr>
          <w:color w:val="auto"/>
          <w:lang w:val="fr-FR"/>
        </w:rPr>
      </w:pPr>
      <w:r w:rsidRPr="00E27E50">
        <w:rPr>
          <w:color w:val="auto"/>
          <w:lang w:val="fr-FR"/>
        </w:rPr>
        <w:t>•</w:t>
      </w:r>
      <w:r w:rsidRPr="00E27E50">
        <w:rPr>
          <w:color w:val="auto"/>
          <w:lang w:val="fr-FR"/>
        </w:rPr>
        <w:tab/>
        <w:t>Un système de surveillance des centres de données et d</w:t>
      </w:r>
      <w:r w:rsidR="00C76E50">
        <w:rPr>
          <w:color w:val="auto"/>
          <w:lang w:val="fr-FR"/>
        </w:rPr>
        <w:t>’</w:t>
      </w:r>
      <w:r w:rsidRPr="00E27E50">
        <w:rPr>
          <w:color w:val="auto"/>
          <w:lang w:val="fr-FR"/>
        </w:rPr>
        <w:t>alarme par SMS a été installé</w:t>
      </w:r>
      <w:r w:rsidR="00C76E50">
        <w:rPr>
          <w:color w:val="auto"/>
          <w:lang w:val="fr-FR"/>
        </w:rPr>
        <w:t> </w:t>
      </w:r>
      <w:r w:rsidRPr="00E27E50">
        <w:rPr>
          <w:color w:val="auto"/>
          <w:lang w:val="fr-FR"/>
        </w:rPr>
        <w:t>;</w:t>
      </w:r>
    </w:p>
    <w:p w:rsidR="00E27E50" w:rsidRPr="00E27E50" w:rsidRDefault="00E27E50" w:rsidP="00E27E50">
      <w:pPr>
        <w:pStyle w:val="BodyText1"/>
        <w:rPr>
          <w:color w:val="auto"/>
          <w:lang w:val="fr-FR"/>
        </w:rPr>
      </w:pPr>
      <w:r w:rsidRPr="00E27E50">
        <w:rPr>
          <w:color w:val="auto"/>
          <w:lang w:val="fr-FR"/>
        </w:rPr>
        <w:t>•</w:t>
      </w:r>
      <w:r w:rsidRPr="00E27E50">
        <w:rPr>
          <w:color w:val="auto"/>
          <w:lang w:val="fr-FR"/>
        </w:rPr>
        <w:tab/>
        <w:t>Les services qui ont un impact important sur l</w:t>
      </w:r>
      <w:r w:rsidR="00C76E50">
        <w:rPr>
          <w:color w:val="auto"/>
          <w:lang w:val="fr-FR"/>
        </w:rPr>
        <w:t>’</w:t>
      </w:r>
      <w:r w:rsidRPr="00E27E50">
        <w:rPr>
          <w:color w:val="auto"/>
          <w:lang w:val="fr-FR"/>
        </w:rPr>
        <w:t xml:space="preserve">organisation ont été identifiés. </w:t>
      </w:r>
    </w:p>
    <w:p w:rsidR="00E27E50" w:rsidRPr="00E27E50" w:rsidRDefault="00E27E50" w:rsidP="00E27E50">
      <w:pPr>
        <w:pStyle w:val="BodyText1"/>
        <w:rPr>
          <w:color w:val="auto"/>
          <w:lang w:val="fr-FR"/>
        </w:rPr>
      </w:pPr>
      <w:r w:rsidRPr="00E27E50">
        <w:rPr>
          <w:color w:val="auto"/>
          <w:lang w:val="fr-FR"/>
        </w:rPr>
        <w:t>En outre, la planification à long terme de l</w:t>
      </w:r>
      <w:r w:rsidR="00C76E50">
        <w:rPr>
          <w:color w:val="auto"/>
          <w:lang w:val="fr-FR"/>
        </w:rPr>
        <w:t>’</w:t>
      </w:r>
      <w:r w:rsidRPr="00E27E50">
        <w:rPr>
          <w:color w:val="auto"/>
          <w:lang w:val="fr-FR"/>
        </w:rPr>
        <w:t>Unité Informatique a été revue afin d</w:t>
      </w:r>
      <w:r w:rsidR="00C76E50">
        <w:rPr>
          <w:color w:val="auto"/>
          <w:lang w:val="fr-FR"/>
        </w:rPr>
        <w:t>’</w:t>
      </w:r>
      <w:r w:rsidRPr="00E27E50">
        <w:rPr>
          <w:color w:val="auto"/>
          <w:lang w:val="fr-FR"/>
        </w:rPr>
        <w:t>atténuer les risques et d</w:t>
      </w:r>
      <w:r w:rsidR="00C76E50">
        <w:rPr>
          <w:color w:val="auto"/>
          <w:lang w:val="fr-FR"/>
        </w:rPr>
        <w:t>’</w:t>
      </w:r>
      <w:r w:rsidRPr="00E27E50">
        <w:rPr>
          <w:color w:val="auto"/>
          <w:lang w:val="fr-FR"/>
        </w:rPr>
        <w:t>affecter aux projets prioritaires les ressources nécessaires.</w:t>
      </w:r>
    </w:p>
    <w:p w:rsidR="00E27E50" w:rsidRPr="00E27E50" w:rsidRDefault="00E27E50" w:rsidP="00E27E50">
      <w:pPr>
        <w:pStyle w:val="BodyText1"/>
        <w:rPr>
          <w:color w:val="auto"/>
          <w:lang w:val="fr-FR"/>
        </w:rPr>
      </w:pPr>
      <w:r w:rsidRPr="00E27E50">
        <w:rPr>
          <w:color w:val="auto"/>
          <w:lang w:val="fr-FR"/>
        </w:rPr>
        <w:t>A l</w:t>
      </w:r>
      <w:r w:rsidR="00C76E50">
        <w:rPr>
          <w:color w:val="auto"/>
          <w:lang w:val="fr-FR"/>
        </w:rPr>
        <w:t>’</w:t>
      </w:r>
      <w:r w:rsidRPr="00E27E50">
        <w:rPr>
          <w:color w:val="auto"/>
          <w:lang w:val="fr-FR"/>
        </w:rPr>
        <w:t>issue d</w:t>
      </w:r>
      <w:r w:rsidR="00C76E50">
        <w:rPr>
          <w:color w:val="auto"/>
          <w:lang w:val="fr-FR"/>
        </w:rPr>
        <w:t>’</w:t>
      </w:r>
      <w:r w:rsidRPr="00E27E50">
        <w:rPr>
          <w:color w:val="auto"/>
          <w:lang w:val="fr-FR"/>
        </w:rPr>
        <w:t>une consultation interne ouverte, les trois équipes informatiques ont présenté une liste de priorités au groupe Stratégie informatique. Désormais, une amélioration de la hiérarchisation des projets et de l</w:t>
      </w:r>
      <w:r w:rsidR="00C76E50">
        <w:rPr>
          <w:color w:val="auto"/>
          <w:lang w:val="fr-FR"/>
        </w:rPr>
        <w:t>’</w:t>
      </w:r>
      <w:r w:rsidRPr="00E27E50">
        <w:rPr>
          <w:color w:val="auto"/>
          <w:lang w:val="fr-FR"/>
        </w:rPr>
        <w:t>orientation stratégique des initiatives informatiques est en cours, qui tient compte des ressources de l</w:t>
      </w:r>
      <w:r w:rsidR="00C76E50">
        <w:rPr>
          <w:color w:val="auto"/>
          <w:lang w:val="fr-FR"/>
        </w:rPr>
        <w:t>’</w:t>
      </w:r>
      <w:r w:rsidRPr="00E27E50">
        <w:rPr>
          <w:color w:val="auto"/>
          <w:lang w:val="fr-FR"/>
        </w:rPr>
        <w:t xml:space="preserve">équipe Système et réseaux. </w:t>
      </w:r>
    </w:p>
    <w:p w:rsidR="00E27E50" w:rsidRPr="00E27E50" w:rsidRDefault="00E27E50" w:rsidP="00E27E50">
      <w:pPr>
        <w:pStyle w:val="BodyText1"/>
        <w:rPr>
          <w:color w:val="auto"/>
          <w:lang w:val="fr-FR"/>
        </w:rPr>
      </w:pPr>
      <w:r w:rsidRPr="00E27E50">
        <w:rPr>
          <w:color w:val="auto"/>
          <w:lang w:val="fr-FR"/>
        </w:rPr>
        <w:t>Malgré ces événements survenus en 2018, qui ont touché l</w:t>
      </w:r>
      <w:r w:rsidR="00C76E50">
        <w:rPr>
          <w:color w:val="auto"/>
          <w:lang w:val="fr-FR"/>
        </w:rPr>
        <w:t>’</w:t>
      </w:r>
      <w:r w:rsidRPr="00E27E50">
        <w:rPr>
          <w:color w:val="auto"/>
          <w:lang w:val="fr-FR"/>
        </w:rPr>
        <w:t>équipe Système et réseaux, il a été possible d</w:t>
      </w:r>
      <w:r w:rsidR="00C76E50">
        <w:rPr>
          <w:color w:val="auto"/>
          <w:lang w:val="fr-FR"/>
        </w:rPr>
        <w:t>’</w:t>
      </w:r>
      <w:r w:rsidRPr="00E27E50">
        <w:rPr>
          <w:color w:val="auto"/>
          <w:lang w:val="fr-FR"/>
        </w:rPr>
        <w:t xml:space="preserve">accomplir des tâches considérables. </w:t>
      </w:r>
    </w:p>
    <w:p w:rsidR="00E27E50" w:rsidRPr="00E27E50" w:rsidRDefault="00E27E50" w:rsidP="00E27E50">
      <w:pPr>
        <w:pStyle w:val="BodyText1"/>
        <w:rPr>
          <w:color w:val="auto"/>
          <w:lang w:val="fr-FR"/>
        </w:rPr>
      </w:pPr>
      <w:r w:rsidRPr="00E27E50">
        <w:rPr>
          <w:color w:val="auto"/>
          <w:lang w:val="fr-FR"/>
        </w:rPr>
        <w:t>Comme prévu, un programme d</w:t>
      </w:r>
      <w:r w:rsidR="00C76E50">
        <w:rPr>
          <w:color w:val="auto"/>
          <w:lang w:val="fr-FR"/>
        </w:rPr>
        <w:t>’</w:t>
      </w:r>
      <w:r w:rsidRPr="00E27E50">
        <w:rPr>
          <w:color w:val="auto"/>
          <w:lang w:val="fr-FR"/>
        </w:rPr>
        <w:t>évaluation des risques «</w:t>
      </w:r>
      <w:r w:rsidR="00C76E50">
        <w:rPr>
          <w:color w:val="auto"/>
          <w:lang w:val="fr-FR"/>
        </w:rPr>
        <w:t> </w:t>
      </w:r>
      <w:r w:rsidRPr="00E27E50">
        <w:rPr>
          <w:color w:val="auto"/>
          <w:lang w:val="fr-FR"/>
        </w:rPr>
        <w:t>Microsoft RAP (</w:t>
      </w:r>
      <w:proofErr w:type="spellStart"/>
      <w:r w:rsidRPr="00E27E50">
        <w:rPr>
          <w:color w:val="auto"/>
          <w:lang w:val="fr-FR"/>
        </w:rPr>
        <w:t>Risk</w:t>
      </w:r>
      <w:proofErr w:type="spellEnd"/>
      <w:r w:rsidRPr="00E27E50">
        <w:rPr>
          <w:color w:val="auto"/>
          <w:lang w:val="fr-FR"/>
        </w:rPr>
        <w:t xml:space="preserve"> </w:t>
      </w:r>
      <w:proofErr w:type="spellStart"/>
      <w:r w:rsidRPr="00E27E50">
        <w:rPr>
          <w:color w:val="auto"/>
          <w:lang w:val="fr-FR"/>
        </w:rPr>
        <w:t>Assessment</w:t>
      </w:r>
      <w:proofErr w:type="spellEnd"/>
      <w:r w:rsidRPr="00E27E50">
        <w:rPr>
          <w:color w:val="auto"/>
          <w:lang w:val="fr-FR"/>
        </w:rPr>
        <w:t xml:space="preserve"> Program)</w:t>
      </w:r>
      <w:r w:rsidR="00C76E50">
        <w:rPr>
          <w:color w:val="auto"/>
          <w:lang w:val="fr-FR"/>
        </w:rPr>
        <w:t> </w:t>
      </w:r>
      <w:r w:rsidRPr="00E27E50">
        <w:rPr>
          <w:color w:val="auto"/>
          <w:lang w:val="fr-FR"/>
        </w:rPr>
        <w:t>» de l</w:t>
      </w:r>
      <w:r w:rsidR="00C76E50">
        <w:rPr>
          <w:color w:val="auto"/>
          <w:lang w:val="fr-FR"/>
        </w:rPr>
        <w:t>’</w:t>
      </w:r>
      <w:r w:rsidRPr="00E27E50">
        <w:rPr>
          <w:color w:val="auto"/>
          <w:lang w:val="fr-FR"/>
        </w:rPr>
        <w:t>environnement Hyper-V a été mené à bien avec Microsoft en avril 2018. Celui-ci a permis de réaliser une évaluation de la situation actuelle, qui a entraîné la correction des insuffisances considérées comme critiques. L</w:t>
      </w:r>
      <w:r w:rsidR="00C76E50">
        <w:rPr>
          <w:color w:val="auto"/>
          <w:lang w:val="fr-FR"/>
        </w:rPr>
        <w:t>’</w:t>
      </w:r>
      <w:r w:rsidRPr="00E27E50">
        <w:rPr>
          <w:color w:val="auto"/>
          <w:lang w:val="fr-FR"/>
        </w:rPr>
        <w:t xml:space="preserve">objectif était de consolider ce qui existe afin de trouver la meilleure approche à mettre en œuvre pour migrer vers la nouvelle infrastructure. </w:t>
      </w:r>
    </w:p>
    <w:p w:rsidR="00E27E50" w:rsidRPr="00E27E50" w:rsidRDefault="00E27E50" w:rsidP="00E27E50">
      <w:pPr>
        <w:pStyle w:val="BodyText1"/>
        <w:rPr>
          <w:color w:val="auto"/>
          <w:lang w:val="fr-FR"/>
        </w:rPr>
      </w:pPr>
      <w:r w:rsidRPr="00E27E50">
        <w:rPr>
          <w:color w:val="auto"/>
          <w:lang w:val="fr-FR"/>
        </w:rPr>
        <w:t>Une attention particulière a été portée à la stabilisation du serveur de sauvegarde. L</w:t>
      </w:r>
      <w:r w:rsidR="00C76E50">
        <w:rPr>
          <w:color w:val="auto"/>
          <w:lang w:val="fr-FR"/>
        </w:rPr>
        <w:t>’</w:t>
      </w:r>
      <w:r w:rsidRPr="00E27E50">
        <w:rPr>
          <w:color w:val="auto"/>
          <w:lang w:val="fr-FR"/>
        </w:rPr>
        <w:t>équipe Système et réseaux a également bénéficié de l</w:t>
      </w:r>
      <w:r w:rsidR="00C76E50">
        <w:rPr>
          <w:color w:val="auto"/>
          <w:lang w:val="fr-FR"/>
        </w:rPr>
        <w:t>’</w:t>
      </w:r>
      <w:r w:rsidRPr="00E27E50">
        <w:rPr>
          <w:color w:val="auto"/>
          <w:lang w:val="fr-FR"/>
        </w:rPr>
        <w:t>arrivée d</w:t>
      </w:r>
      <w:r w:rsidR="00C76E50">
        <w:rPr>
          <w:color w:val="auto"/>
          <w:lang w:val="fr-FR"/>
        </w:rPr>
        <w:t>’</w:t>
      </w:r>
      <w:r w:rsidRPr="00E27E50">
        <w:rPr>
          <w:color w:val="auto"/>
          <w:lang w:val="fr-FR"/>
        </w:rPr>
        <w:t>un administrateur de base de données dans l</w:t>
      </w:r>
      <w:r w:rsidR="00C76E50">
        <w:rPr>
          <w:color w:val="auto"/>
          <w:lang w:val="fr-FR"/>
        </w:rPr>
        <w:t>’</w:t>
      </w:r>
      <w:r w:rsidRPr="00E27E50">
        <w:rPr>
          <w:color w:val="auto"/>
          <w:lang w:val="fr-FR"/>
        </w:rPr>
        <w:t>équipe de développement, et elle lui a délégué une partie de la surveillance. Une solution et une stratégie de sauvegarde n</w:t>
      </w:r>
      <w:r w:rsidR="00C76E50">
        <w:rPr>
          <w:color w:val="auto"/>
          <w:lang w:val="fr-FR"/>
        </w:rPr>
        <w:t>’</w:t>
      </w:r>
      <w:r w:rsidRPr="00E27E50">
        <w:rPr>
          <w:color w:val="auto"/>
          <w:lang w:val="fr-FR"/>
        </w:rPr>
        <w:t xml:space="preserve">ont pas encore pu être mises en place en 2018. </w:t>
      </w:r>
    </w:p>
    <w:p w:rsidR="00E27E50" w:rsidRPr="00E27E50" w:rsidRDefault="00E27E50" w:rsidP="00E27E50">
      <w:pPr>
        <w:pStyle w:val="BodyText1"/>
        <w:rPr>
          <w:color w:val="auto"/>
          <w:lang w:val="fr-FR"/>
        </w:rPr>
      </w:pPr>
      <w:r w:rsidRPr="00E27E50">
        <w:rPr>
          <w:color w:val="auto"/>
          <w:lang w:val="fr-FR"/>
        </w:rPr>
        <w:t>Le projet de renforcement de la partie administrative des serveurs de messagerie, qui ne disposait plus de suffisamment d</w:t>
      </w:r>
      <w:r w:rsidR="00C76E50">
        <w:rPr>
          <w:color w:val="auto"/>
          <w:lang w:val="fr-FR"/>
        </w:rPr>
        <w:t>’</w:t>
      </w:r>
      <w:r w:rsidRPr="00E27E50">
        <w:rPr>
          <w:color w:val="auto"/>
          <w:lang w:val="fr-FR"/>
        </w:rPr>
        <w:t xml:space="preserve">espace disque, a été annulé. Seule la première phase a été réalisée, avec </w:t>
      </w:r>
      <w:r w:rsidRPr="00E27E50">
        <w:rPr>
          <w:color w:val="auto"/>
          <w:lang w:val="fr-FR"/>
        </w:rPr>
        <w:lastRenderedPageBreak/>
        <w:t>l</w:t>
      </w:r>
      <w:r w:rsidR="00C76E50">
        <w:rPr>
          <w:color w:val="auto"/>
          <w:lang w:val="fr-FR"/>
        </w:rPr>
        <w:t>’</w:t>
      </w:r>
      <w:r w:rsidRPr="00E27E50">
        <w:rPr>
          <w:color w:val="auto"/>
          <w:lang w:val="fr-FR"/>
        </w:rPr>
        <w:t>aide de Microsoft, bien que l</w:t>
      </w:r>
      <w:r w:rsidR="00C76E50">
        <w:rPr>
          <w:color w:val="auto"/>
          <w:lang w:val="fr-FR"/>
        </w:rPr>
        <w:t>’</w:t>
      </w:r>
      <w:r w:rsidRPr="00E27E50">
        <w:rPr>
          <w:color w:val="auto"/>
          <w:lang w:val="fr-FR"/>
        </w:rPr>
        <w:t>une des recommandations formulées à l</w:t>
      </w:r>
      <w:r w:rsidR="00C76E50">
        <w:rPr>
          <w:color w:val="auto"/>
          <w:lang w:val="fr-FR"/>
        </w:rPr>
        <w:t>’</w:t>
      </w:r>
      <w:r w:rsidRPr="00E27E50">
        <w:rPr>
          <w:color w:val="auto"/>
          <w:lang w:val="fr-FR"/>
        </w:rPr>
        <w:t>issue de l</w:t>
      </w:r>
      <w:r w:rsidR="00C76E50">
        <w:rPr>
          <w:color w:val="auto"/>
          <w:lang w:val="fr-FR"/>
        </w:rPr>
        <w:t>’</w:t>
      </w:r>
      <w:r w:rsidRPr="00E27E50">
        <w:rPr>
          <w:color w:val="auto"/>
          <w:lang w:val="fr-FR"/>
        </w:rPr>
        <w:t>audit eût consisté à étendre ce service au second centre de données. Cette recommandation s</w:t>
      </w:r>
      <w:r w:rsidR="00C76E50">
        <w:rPr>
          <w:color w:val="auto"/>
          <w:lang w:val="fr-FR"/>
        </w:rPr>
        <w:t>’</w:t>
      </w:r>
      <w:r w:rsidRPr="00E27E50">
        <w:rPr>
          <w:color w:val="auto"/>
          <w:lang w:val="fr-FR"/>
        </w:rPr>
        <w:t>applique également aux serveurs des bases de données.</w:t>
      </w:r>
    </w:p>
    <w:p w:rsidR="00E27E50" w:rsidRPr="00E27E50" w:rsidRDefault="00E27E50" w:rsidP="00E27E50">
      <w:pPr>
        <w:pStyle w:val="BodyText1"/>
        <w:rPr>
          <w:color w:val="auto"/>
          <w:lang w:val="fr-FR"/>
        </w:rPr>
      </w:pPr>
      <w:r w:rsidRPr="00E27E50">
        <w:rPr>
          <w:color w:val="auto"/>
          <w:lang w:val="fr-FR"/>
        </w:rPr>
        <w:t xml:space="preserve"> L</w:t>
      </w:r>
      <w:r w:rsidR="00C76E50">
        <w:rPr>
          <w:color w:val="auto"/>
          <w:lang w:val="fr-FR"/>
        </w:rPr>
        <w:t>’</w:t>
      </w:r>
      <w:r w:rsidRPr="00E27E50">
        <w:rPr>
          <w:color w:val="auto"/>
          <w:lang w:val="fr-FR"/>
        </w:rPr>
        <w:t>équipe Système et réseaux a consacré la plus grande partie du temps qu</w:t>
      </w:r>
      <w:r w:rsidR="00C76E50">
        <w:rPr>
          <w:color w:val="auto"/>
          <w:lang w:val="fr-FR"/>
        </w:rPr>
        <w:t>’</w:t>
      </w:r>
      <w:r w:rsidRPr="00E27E50">
        <w:rPr>
          <w:color w:val="auto"/>
          <w:lang w:val="fr-FR"/>
        </w:rPr>
        <w:t>il lui restait au déploiement d</w:t>
      </w:r>
      <w:r w:rsidR="00C76E50">
        <w:rPr>
          <w:color w:val="auto"/>
          <w:lang w:val="fr-FR"/>
        </w:rPr>
        <w:t>’</w:t>
      </w:r>
      <w:r w:rsidRPr="00E27E50">
        <w:rPr>
          <w:color w:val="auto"/>
          <w:lang w:val="fr-FR"/>
        </w:rPr>
        <w:t>EURSC.EU dans les écoles. Des progrès ont été réalisés dans les écoles de Varèse, Uccle et Karlsruhe, mais les écoles ne peuvent pas encore en bénéficier car ils concernent le déploiement et la configuration des serveurs, et non la migration des utilisateurs finaux. Pour 2019, une planification à long terme fiable impliquant les ressources informatiques dans les écoles est envisagée.</w:t>
      </w:r>
    </w:p>
    <w:p w:rsidR="00E27E50" w:rsidRPr="00E27E50" w:rsidRDefault="00E27E50" w:rsidP="00E27E50">
      <w:pPr>
        <w:pStyle w:val="BodyText1"/>
        <w:rPr>
          <w:color w:val="auto"/>
          <w:lang w:val="fr-FR"/>
        </w:rPr>
      </w:pPr>
      <w:r w:rsidRPr="00E27E50">
        <w:rPr>
          <w:color w:val="auto"/>
          <w:lang w:val="fr-FR"/>
        </w:rPr>
        <w:t>En ce qui concerne la mobilité du personnel, la validation de principe basée sur la VDI/RDS (Virtual Desktop Infrastructure/</w:t>
      </w:r>
      <w:proofErr w:type="spellStart"/>
      <w:r w:rsidRPr="00E27E50">
        <w:rPr>
          <w:color w:val="auto"/>
          <w:lang w:val="fr-FR"/>
        </w:rPr>
        <w:t>Remote</w:t>
      </w:r>
      <w:proofErr w:type="spellEnd"/>
      <w:r w:rsidRPr="00E27E50">
        <w:rPr>
          <w:color w:val="auto"/>
          <w:lang w:val="fr-FR"/>
        </w:rPr>
        <w:t xml:space="preserve"> Desktop Services) a progressé, et une structure de test est mise en place dans le cloud. Cependant, compte tenu des incidents survenus en 2018, l</w:t>
      </w:r>
      <w:r w:rsidR="00C76E50">
        <w:rPr>
          <w:color w:val="auto"/>
          <w:lang w:val="fr-FR"/>
        </w:rPr>
        <w:t>’</w:t>
      </w:r>
      <w:r w:rsidRPr="00E27E50">
        <w:rPr>
          <w:color w:val="auto"/>
          <w:lang w:val="fr-FR"/>
        </w:rPr>
        <w:t>équipe Système et réseaux n</w:t>
      </w:r>
      <w:r w:rsidR="00C76E50">
        <w:rPr>
          <w:color w:val="auto"/>
          <w:lang w:val="fr-FR"/>
        </w:rPr>
        <w:t>’</w:t>
      </w:r>
      <w:r w:rsidRPr="00E27E50">
        <w:rPr>
          <w:color w:val="auto"/>
          <w:lang w:val="fr-FR"/>
        </w:rPr>
        <w:t>a pu faire plus qu</w:t>
      </w:r>
      <w:r w:rsidR="00C76E50">
        <w:rPr>
          <w:color w:val="auto"/>
          <w:lang w:val="fr-FR"/>
        </w:rPr>
        <w:t>’</w:t>
      </w:r>
      <w:r w:rsidRPr="00E27E50">
        <w:rPr>
          <w:color w:val="auto"/>
          <w:lang w:val="fr-FR"/>
        </w:rPr>
        <w:t xml:space="preserve">une petite présentation pour valider le projet. </w:t>
      </w:r>
    </w:p>
    <w:p w:rsidR="00E27E50" w:rsidRPr="00E27E50" w:rsidRDefault="00E27E50" w:rsidP="00E27E50">
      <w:pPr>
        <w:pStyle w:val="BodyText1"/>
        <w:rPr>
          <w:color w:val="auto"/>
          <w:lang w:val="fr-FR"/>
        </w:rPr>
      </w:pPr>
      <w:r w:rsidRPr="00E27E50">
        <w:rPr>
          <w:color w:val="auto"/>
          <w:lang w:val="fr-FR"/>
        </w:rPr>
        <w:t>En ce qui concerne la partie système, le contrat Microsoft Premier a joué un rôle important en 2018, en apportant expertise et support dans la résolution des incidents ainsi qu</w:t>
      </w:r>
      <w:r w:rsidR="00C76E50">
        <w:rPr>
          <w:color w:val="auto"/>
          <w:lang w:val="fr-FR"/>
        </w:rPr>
        <w:t>’</w:t>
      </w:r>
      <w:r w:rsidRPr="00E27E50">
        <w:rPr>
          <w:color w:val="auto"/>
          <w:lang w:val="fr-FR"/>
        </w:rPr>
        <w:t xml:space="preserve">en termes de ressources humaines. </w:t>
      </w:r>
    </w:p>
    <w:p w:rsidR="00E27E50" w:rsidRPr="00E27E50" w:rsidRDefault="00E27E50" w:rsidP="00E27E50">
      <w:pPr>
        <w:pStyle w:val="BodyText1"/>
        <w:rPr>
          <w:color w:val="auto"/>
          <w:lang w:val="fr-FR"/>
        </w:rPr>
      </w:pPr>
      <w:r w:rsidRPr="00E27E50">
        <w:rPr>
          <w:color w:val="auto"/>
          <w:lang w:val="fr-FR"/>
        </w:rPr>
        <w:t>En ce qui concerne la partie réseaux, un examen complet effectué en 2017 avait révélé d</w:t>
      </w:r>
      <w:r w:rsidR="00C76E50">
        <w:rPr>
          <w:color w:val="auto"/>
          <w:lang w:val="fr-FR"/>
        </w:rPr>
        <w:t>’</w:t>
      </w:r>
      <w:r w:rsidRPr="00E27E50">
        <w:rPr>
          <w:color w:val="auto"/>
          <w:lang w:val="fr-FR"/>
        </w:rPr>
        <w:t>importantes lacunes quant à la maintenance et au remplacement du matériel. La partie du réseau d</w:t>
      </w:r>
      <w:r w:rsidR="00C76E50">
        <w:rPr>
          <w:color w:val="auto"/>
          <w:lang w:val="fr-FR"/>
        </w:rPr>
        <w:t>’</w:t>
      </w:r>
      <w:r w:rsidRPr="00E27E50">
        <w:rPr>
          <w:color w:val="auto"/>
          <w:lang w:val="fr-FR"/>
        </w:rPr>
        <w:t>infrastructure qui n</w:t>
      </w:r>
      <w:r w:rsidR="00C76E50">
        <w:rPr>
          <w:color w:val="auto"/>
          <w:lang w:val="fr-FR"/>
        </w:rPr>
        <w:t>’</w:t>
      </w:r>
      <w:r w:rsidRPr="00E27E50">
        <w:rPr>
          <w:color w:val="auto"/>
          <w:lang w:val="fr-FR"/>
        </w:rPr>
        <w:t>était plus couverte par le contrat de maintenance est à nouveau couverte par celui-ci. Les machines qui étaient en fin de vie ont été commandées fin 2018. Un outil de suivi a été installé, mais il ne répond pas pleinement aux besoins d</w:t>
      </w:r>
      <w:r w:rsidR="00C76E50">
        <w:rPr>
          <w:color w:val="auto"/>
          <w:lang w:val="fr-FR"/>
        </w:rPr>
        <w:t>’</w:t>
      </w:r>
      <w:r w:rsidRPr="00E27E50">
        <w:rPr>
          <w:color w:val="auto"/>
          <w:lang w:val="fr-FR"/>
        </w:rPr>
        <w:t>un point de vue administratif ni sur le plan de la sécurité. Cependant, cette avancée majeure permet une meilleure compréhension et définition de nos besoins, en vue de trouver la meilleure solution possible.</w:t>
      </w:r>
    </w:p>
    <w:p w:rsidR="00E27E50" w:rsidRPr="00E27E50" w:rsidRDefault="00E27E50" w:rsidP="00E27E50">
      <w:pPr>
        <w:pStyle w:val="BodyText1"/>
        <w:rPr>
          <w:color w:val="auto"/>
          <w:lang w:val="fr-FR"/>
        </w:rPr>
      </w:pPr>
      <w:r w:rsidRPr="00E27E50">
        <w:rPr>
          <w:color w:val="auto"/>
          <w:lang w:val="fr-FR"/>
        </w:rPr>
        <w:t>Enfin, il importe de souligner que les résultats décrits dans le présent document ont été obtenus au cours d</w:t>
      </w:r>
      <w:r w:rsidR="00C76E50">
        <w:rPr>
          <w:color w:val="auto"/>
          <w:lang w:val="fr-FR"/>
        </w:rPr>
        <w:t>’</w:t>
      </w:r>
      <w:r w:rsidRPr="00E27E50">
        <w:rPr>
          <w:color w:val="auto"/>
          <w:lang w:val="fr-FR"/>
        </w:rPr>
        <w:t xml:space="preserve">une année très difficile, marquée par une réorientation stratégique et un manque de personnel.  </w:t>
      </w:r>
    </w:p>
    <w:p w:rsidR="00E27E50" w:rsidRPr="00E27E50" w:rsidRDefault="00E27E50" w:rsidP="00E27E50">
      <w:pPr>
        <w:pStyle w:val="BodyText1"/>
        <w:rPr>
          <w:color w:val="auto"/>
          <w:lang w:val="fr-FR"/>
        </w:rPr>
      </w:pPr>
      <w:r w:rsidRPr="00E27E50">
        <w:rPr>
          <w:color w:val="auto"/>
          <w:lang w:val="fr-FR"/>
        </w:rPr>
        <w:t>Ces circonstances exceptionnelles n</w:t>
      </w:r>
      <w:r w:rsidR="00C76E50">
        <w:rPr>
          <w:color w:val="auto"/>
          <w:lang w:val="fr-FR"/>
        </w:rPr>
        <w:t>’</w:t>
      </w:r>
      <w:r w:rsidRPr="00E27E50">
        <w:rPr>
          <w:color w:val="auto"/>
          <w:lang w:val="fr-FR"/>
        </w:rPr>
        <w:t>ont pas empêché l</w:t>
      </w:r>
      <w:r w:rsidR="00C76E50">
        <w:rPr>
          <w:color w:val="auto"/>
          <w:lang w:val="fr-FR"/>
        </w:rPr>
        <w:t>’</w:t>
      </w:r>
      <w:r w:rsidRPr="00E27E50">
        <w:rPr>
          <w:color w:val="auto"/>
          <w:lang w:val="fr-FR"/>
        </w:rPr>
        <w:t>équipe de donner le meilleur d</w:t>
      </w:r>
      <w:r w:rsidR="00C76E50">
        <w:rPr>
          <w:color w:val="auto"/>
          <w:lang w:val="fr-FR"/>
        </w:rPr>
        <w:t>’</w:t>
      </w:r>
      <w:r w:rsidRPr="00E27E50">
        <w:rPr>
          <w:color w:val="auto"/>
          <w:lang w:val="fr-FR"/>
        </w:rPr>
        <w:t>elle-même, et elles n</w:t>
      </w:r>
      <w:r w:rsidR="00C76E50">
        <w:rPr>
          <w:color w:val="auto"/>
          <w:lang w:val="fr-FR"/>
        </w:rPr>
        <w:t>’</w:t>
      </w:r>
      <w:r w:rsidRPr="00E27E50">
        <w:rPr>
          <w:color w:val="auto"/>
          <w:lang w:val="fr-FR"/>
        </w:rPr>
        <w:t>ont pas eu d</w:t>
      </w:r>
      <w:r w:rsidR="00C76E50">
        <w:rPr>
          <w:color w:val="auto"/>
          <w:lang w:val="fr-FR"/>
        </w:rPr>
        <w:t>’</w:t>
      </w:r>
      <w:r w:rsidRPr="00E27E50">
        <w:rPr>
          <w:color w:val="auto"/>
          <w:lang w:val="fr-FR"/>
        </w:rPr>
        <w:t>incidences sur son dévouement à l</w:t>
      </w:r>
      <w:r w:rsidR="00C76E50">
        <w:rPr>
          <w:color w:val="auto"/>
          <w:lang w:val="fr-FR"/>
        </w:rPr>
        <w:t>’</w:t>
      </w:r>
      <w:r w:rsidRPr="00E27E50">
        <w:rPr>
          <w:color w:val="auto"/>
          <w:lang w:val="fr-FR"/>
        </w:rPr>
        <w:t>égard des Ecoles européennes.</w:t>
      </w:r>
    </w:p>
    <w:p w:rsidR="00524E14" w:rsidRPr="00E27E50" w:rsidRDefault="00524E14" w:rsidP="00524E14">
      <w:pPr>
        <w:pStyle w:val="BodyText1"/>
        <w:rPr>
          <w:color w:val="auto"/>
          <w:lang w:val="fr-FR"/>
        </w:rPr>
      </w:pPr>
    </w:p>
    <w:p w:rsidR="00D10BA4" w:rsidRPr="00E27E50" w:rsidRDefault="00D10BA4" w:rsidP="005B6FCC">
      <w:pPr>
        <w:pStyle w:val="BodyText1"/>
        <w:rPr>
          <w:color w:val="auto"/>
          <w:lang w:val="fr-FR"/>
        </w:rPr>
      </w:pPr>
    </w:p>
    <w:p w:rsidR="005B6FCC" w:rsidRPr="00E27E50" w:rsidRDefault="004973A2" w:rsidP="00DA432B">
      <w:pPr>
        <w:pStyle w:val="Heading2"/>
        <w:numPr>
          <w:ilvl w:val="0"/>
          <w:numId w:val="2"/>
        </w:numPr>
      </w:pPr>
      <w:bookmarkStart w:id="17" w:name="_Toc2092703"/>
      <w:bookmarkStart w:id="18" w:name="_Toc4511367"/>
      <w:r w:rsidRPr="00E27E50">
        <w:lastRenderedPageBreak/>
        <w:t xml:space="preserve">Cellule </w:t>
      </w:r>
      <w:r w:rsidR="005B6FCC" w:rsidRPr="00E27E50">
        <w:t>Développement et Statistiques</w:t>
      </w:r>
      <w:bookmarkEnd w:id="17"/>
      <w:bookmarkEnd w:id="18"/>
    </w:p>
    <w:p w:rsidR="005B6FCC" w:rsidRPr="00E27E50" w:rsidRDefault="005B6FCC" w:rsidP="00BC55C6">
      <w:pPr>
        <w:pStyle w:val="Heading3"/>
        <w:numPr>
          <w:ilvl w:val="1"/>
          <w:numId w:val="33"/>
        </w:numPr>
        <w:rPr>
          <w:lang w:val="fr-FR"/>
        </w:rPr>
      </w:pPr>
      <w:r w:rsidRPr="00E27E50">
        <w:rPr>
          <w:lang w:val="fr-FR"/>
        </w:rPr>
        <w:t>Application administrative de gestion des écoles (SMS)</w:t>
      </w:r>
    </w:p>
    <w:p w:rsidR="005B6FCC" w:rsidRPr="00E27E50" w:rsidRDefault="005B6FCC" w:rsidP="003B1DC9">
      <w:pPr>
        <w:pStyle w:val="BodyText1"/>
        <w:rPr>
          <w:color w:val="auto"/>
          <w:lang w:val="fr-FR"/>
        </w:rPr>
      </w:pPr>
      <w:r w:rsidRPr="00E27E50">
        <w:rPr>
          <w:color w:val="auto"/>
          <w:lang w:val="fr-FR"/>
        </w:rPr>
        <w:t>Comme les années précédentes, seulement les modifications nécessaires au respect des nouvelles réglementations ont été implémentées dans SMS.</w:t>
      </w:r>
    </w:p>
    <w:p w:rsidR="005B6FCC" w:rsidRPr="00E27E50" w:rsidRDefault="00CF758B" w:rsidP="00EF56A1">
      <w:pPr>
        <w:pStyle w:val="Heading3"/>
        <w:numPr>
          <w:ilvl w:val="1"/>
          <w:numId w:val="36"/>
        </w:numPr>
        <w:rPr>
          <w:lang w:val="fr-FR"/>
        </w:rPr>
      </w:pPr>
      <w:r w:rsidRPr="00E27E50">
        <w:rPr>
          <w:lang w:val="fr-FR"/>
        </w:rPr>
        <w:t>Nouvelle échelle de notation</w:t>
      </w:r>
    </w:p>
    <w:p w:rsidR="005B6FCC" w:rsidRPr="00E27E50" w:rsidRDefault="005B6FCC" w:rsidP="003B1DC9">
      <w:pPr>
        <w:pStyle w:val="BodyText1"/>
        <w:rPr>
          <w:color w:val="auto"/>
          <w:lang w:val="fr-FR"/>
        </w:rPr>
      </w:pPr>
      <w:r w:rsidRPr="00E27E50">
        <w:rPr>
          <w:color w:val="auto"/>
          <w:lang w:val="fr-FR"/>
        </w:rPr>
        <w:t xml:space="preserve">Suite à la révision des Articles 59 à 61 du Règlement général des Ecoles </w:t>
      </w:r>
      <w:r w:rsidR="000D0E12">
        <w:rPr>
          <w:color w:val="auto"/>
          <w:lang w:val="fr-FR"/>
        </w:rPr>
        <w:t>e</w:t>
      </w:r>
      <w:r w:rsidRPr="00E27E50">
        <w:rPr>
          <w:color w:val="auto"/>
          <w:lang w:val="fr-FR"/>
        </w:rPr>
        <w:t>uropéennes, il a fallu demander à la société propriétaire de SMS d’adapter les programmes qui font référence aux notes qui permettent l’évaluation des élèves.</w:t>
      </w:r>
    </w:p>
    <w:p w:rsidR="005B6FCC" w:rsidRPr="00E27E50" w:rsidRDefault="005B6FCC" w:rsidP="003B1DC9">
      <w:pPr>
        <w:pStyle w:val="BodyText1"/>
        <w:rPr>
          <w:color w:val="auto"/>
          <w:lang w:val="fr-FR"/>
        </w:rPr>
      </w:pPr>
      <w:r w:rsidRPr="00E27E50">
        <w:rPr>
          <w:color w:val="auto"/>
          <w:lang w:val="fr-FR"/>
        </w:rPr>
        <w:t>Pour les niveaux s1, s2 et s3, l’évaluation ne se fait plus par note chiffrée mais par note alphabétique. Pour les autres niveaux, les notes chiffrées sont utilisées.</w:t>
      </w:r>
    </w:p>
    <w:p w:rsidR="005B6FCC" w:rsidRPr="00E27E50" w:rsidRDefault="005B6FCC" w:rsidP="003B1DC9">
      <w:pPr>
        <w:pStyle w:val="BodyText1"/>
        <w:rPr>
          <w:color w:val="auto"/>
          <w:lang w:val="fr-FR"/>
        </w:rPr>
      </w:pPr>
      <w:r w:rsidRPr="00E27E50">
        <w:rPr>
          <w:color w:val="auto"/>
          <w:lang w:val="fr-FR"/>
        </w:rPr>
        <w:t>Les écrans permettant l’encodage des notes trimestrielles, semestrielles, finales et des commentaires ont été modifiés. En plus de ces changements, une nouvelle fonctionnalité a été implémentée. Maintenant il est possible, pour les titulaires de classes, d’encoder un commentaire global. Ce commentaire peut être encod</w:t>
      </w:r>
      <w:r w:rsidR="000D0E12">
        <w:rPr>
          <w:color w:val="auto"/>
          <w:lang w:val="fr-FR"/>
        </w:rPr>
        <w:t>é</w:t>
      </w:r>
      <w:r w:rsidRPr="00E27E50">
        <w:rPr>
          <w:color w:val="auto"/>
          <w:lang w:val="fr-FR"/>
        </w:rPr>
        <w:t xml:space="preserve"> par trimestre, semestre ainsi que pour les rapports intermédiaires. Tous les rapports, tels que bulletins trimestriels/semestriels, rapports intermédiaires ont été adaptés. </w:t>
      </w:r>
    </w:p>
    <w:p w:rsidR="005B6FCC" w:rsidRPr="00E27E50" w:rsidRDefault="005B6FCC" w:rsidP="003B1DC9">
      <w:pPr>
        <w:pStyle w:val="BodyText1"/>
        <w:rPr>
          <w:color w:val="auto"/>
          <w:lang w:val="fr-FR"/>
        </w:rPr>
      </w:pPr>
      <w:r w:rsidRPr="00E27E50">
        <w:rPr>
          <w:color w:val="auto"/>
          <w:lang w:val="fr-FR"/>
        </w:rPr>
        <w:t xml:space="preserve">La logique pour définir le passage dans la classe supérieure a été mise à jour. Les tableaux servant aux conseils de classe ont été également révisés. </w:t>
      </w:r>
    </w:p>
    <w:p w:rsidR="005B6FCC" w:rsidRPr="00E27E50" w:rsidRDefault="005B6FCC" w:rsidP="00EF56A1">
      <w:pPr>
        <w:pStyle w:val="Heading3"/>
        <w:numPr>
          <w:ilvl w:val="1"/>
          <w:numId w:val="36"/>
        </w:numPr>
        <w:rPr>
          <w:lang w:val="fr-FR"/>
        </w:rPr>
      </w:pPr>
      <w:r w:rsidRPr="00E27E50">
        <w:rPr>
          <w:lang w:val="fr-FR"/>
        </w:rPr>
        <w:t xml:space="preserve">Respect </w:t>
      </w:r>
      <w:r w:rsidR="000D0E12">
        <w:rPr>
          <w:lang w:val="fr-FR"/>
        </w:rPr>
        <w:t>du RGPD</w:t>
      </w:r>
    </w:p>
    <w:p w:rsidR="005B6FCC" w:rsidRPr="00E27E50" w:rsidRDefault="005B6FCC" w:rsidP="003B1DC9">
      <w:pPr>
        <w:pStyle w:val="BodyText1"/>
        <w:rPr>
          <w:color w:val="auto"/>
          <w:lang w:val="fr-FR"/>
        </w:rPr>
      </w:pPr>
      <w:r w:rsidRPr="00E27E50">
        <w:rPr>
          <w:color w:val="auto"/>
          <w:lang w:val="fr-FR"/>
        </w:rPr>
        <w:t>Afin de se conformer à la législation relative à la protection des données, il a été demandé aux parents/représentants légaux d’autoriser ou de refuser à ce que les enfants apparaissent sur les photographies, vidéos</w:t>
      </w:r>
      <w:r w:rsidR="000D0E12">
        <w:rPr>
          <w:color w:val="auto"/>
          <w:lang w:val="fr-FR"/>
        </w:rPr>
        <w:t>..</w:t>
      </w:r>
      <w:r w:rsidRPr="00E27E50">
        <w:rPr>
          <w:color w:val="auto"/>
          <w:lang w:val="fr-FR"/>
        </w:rPr>
        <w:t>. Afin que cette information soit accessible aisément par l’école, il a été demandé de gérer ces consentements dans l’application SMS.</w:t>
      </w:r>
    </w:p>
    <w:p w:rsidR="005B6FCC" w:rsidRPr="00E27E50" w:rsidRDefault="005B6FCC" w:rsidP="003B1DC9">
      <w:pPr>
        <w:pStyle w:val="BodyText1"/>
        <w:rPr>
          <w:color w:val="auto"/>
          <w:lang w:val="fr-FR"/>
        </w:rPr>
      </w:pPr>
      <w:r w:rsidRPr="00E27E50">
        <w:rPr>
          <w:color w:val="auto"/>
          <w:lang w:val="fr-FR"/>
        </w:rPr>
        <w:t>L’implémentation de cette nouvelle fonctionnalité se fait en deux phases :</w:t>
      </w:r>
    </w:p>
    <w:p w:rsidR="005B6FCC" w:rsidRDefault="005B6FCC" w:rsidP="00297C8D">
      <w:pPr>
        <w:pStyle w:val="ListParagraph"/>
        <w:numPr>
          <w:ilvl w:val="0"/>
          <w:numId w:val="5"/>
        </w:numPr>
        <w:spacing w:after="160" w:line="259" w:lineRule="auto"/>
        <w:rPr>
          <w:lang w:val="fr-FR"/>
        </w:rPr>
      </w:pPr>
      <w:r w:rsidRPr="00E27E50">
        <w:rPr>
          <w:lang w:val="fr-FR"/>
        </w:rPr>
        <w:t>Une 1</w:t>
      </w:r>
      <w:r w:rsidRPr="000D0E12">
        <w:rPr>
          <w:vertAlign w:val="superscript"/>
          <w:lang w:val="fr-FR"/>
        </w:rPr>
        <w:t>re</w:t>
      </w:r>
      <w:r w:rsidRPr="00E27E50">
        <w:rPr>
          <w:lang w:val="fr-FR"/>
        </w:rPr>
        <w:t xml:space="preserve"> phase où l’école a demandé aux parents/représentants légaux de remplir un formulaire de consentement (papier). L’information reçue est par la suite introduite dans SMS soit manuellement, soit importée massivement à partir d’un fichier Excel. De nouveaux rôles ont été créés pour gérer la sécurité de ces données, un rôle permettant la modification des données et un autre permettant uniquement la visualisation des données. Vu la sensibilité des données, tous les changements fait</w:t>
      </w:r>
      <w:r w:rsidR="005A75F1">
        <w:rPr>
          <w:lang w:val="fr-FR"/>
        </w:rPr>
        <w:t>s</w:t>
      </w:r>
      <w:r w:rsidRPr="00E27E50">
        <w:rPr>
          <w:lang w:val="fr-FR"/>
        </w:rPr>
        <w:t xml:space="preserve"> sont audités. Il est donc possible de retrouver qui a donné ou refusé le consentement pour un élève et quand ce </w:t>
      </w:r>
      <w:r w:rsidRPr="00E27E50">
        <w:rPr>
          <w:lang w:val="fr-FR"/>
        </w:rPr>
        <w:lastRenderedPageBreak/>
        <w:t>consentement a été modifié. Un rapport permettant l’export en Excel de ces données a été créé.  Cette 1</w:t>
      </w:r>
      <w:r w:rsidR="000D0E12" w:rsidRPr="000D0E12">
        <w:rPr>
          <w:vertAlign w:val="superscript"/>
          <w:lang w:val="fr-FR"/>
        </w:rPr>
        <w:t xml:space="preserve"> </w:t>
      </w:r>
      <w:proofErr w:type="spellStart"/>
      <w:r w:rsidR="000D0E12" w:rsidRPr="000D0E12">
        <w:rPr>
          <w:vertAlign w:val="superscript"/>
          <w:lang w:val="fr-FR"/>
        </w:rPr>
        <w:t>re</w:t>
      </w:r>
      <w:proofErr w:type="spellEnd"/>
      <w:r w:rsidRPr="00E27E50">
        <w:rPr>
          <w:lang w:val="fr-FR"/>
        </w:rPr>
        <w:t xml:space="preserve"> phase a été implémentée au mois de décembre 2018.</w:t>
      </w:r>
    </w:p>
    <w:p w:rsidR="00297C8D" w:rsidRPr="00E27E50" w:rsidRDefault="00297C8D" w:rsidP="00297C8D">
      <w:pPr>
        <w:pStyle w:val="ListParagraph"/>
        <w:spacing w:after="160" w:line="259" w:lineRule="auto"/>
        <w:rPr>
          <w:lang w:val="fr-FR"/>
        </w:rPr>
      </w:pPr>
    </w:p>
    <w:p w:rsidR="005B6FCC" w:rsidRPr="00E27E50" w:rsidRDefault="005B6FCC" w:rsidP="00297C8D">
      <w:pPr>
        <w:pStyle w:val="ListParagraph"/>
        <w:numPr>
          <w:ilvl w:val="0"/>
          <w:numId w:val="5"/>
        </w:numPr>
        <w:spacing w:after="160" w:line="259" w:lineRule="auto"/>
        <w:rPr>
          <w:lang w:val="fr-FR"/>
        </w:rPr>
      </w:pPr>
      <w:r w:rsidRPr="00E27E50">
        <w:rPr>
          <w:lang w:val="fr-FR"/>
        </w:rPr>
        <w:t>Une 2</w:t>
      </w:r>
      <w:r w:rsidR="000D0E12" w:rsidRPr="000D0E12">
        <w:rPr>
          <w:vertAlign w:val="superscript"/>
          <w:lang w:val="fr-FR"/>
        </w:rPr>
        <w:t>e</w:t>
      </w:r>
      <w:r w:rsidR="000D0E12">
        <w:rPr>
          <w:lang w:val="fr-FR"/>
        </w:rPr>
        <w:t xml:space="preserve"> </w:t>
      </w:r>
      <w:r w:rsidRPr="00E27E50">
        <w:rPr>
          <w:lang w:val="fr-FR"/>
        </w:rPr>
        <w:t>phase où se seront les parents eux-mêmes qui encoderont les consentements à partir de l’application «</w:t>
      </w:r>
      <w:r w:rsidR="00C76E50">
        <w:rPr>
          <w:lang w:val="fr-FR"/>
        </w:rPr>
        <w:t> </w:t>
      </w:r>
      <w:r w:rsidRPr="00E27E50">
        <w:rPr>
          <w:lang w:val="fr-FR"/>
        </w:rPr>
        <w:t>SMS – Web parents</w:t>
      </w:r>
      <w:r w:rsidR="00C76E50">
        <w:rPr>
          <w:lang w:val="fr-FR"/>
        </w:rPr>
        <w:t> </w:t>
      </w:r>
      <w:r w:rsidRPr="00E27E50">
        <w:rPr>
          <w:lang w:val="fr-FR"/>
        </w:rPr>
        <w:t>». Cette phase sera mise en production à la rentrée scolaire 2019-2020.</w:t>
      </w:r>
    </w:p>
    <w:p w:rsidR="005B6FCC" w:rsidRPr="00E27E50" w:rsidRDefault="005B6FCC" w:rsidP="00BC55C6">
      <w:pPr>
        <w:pStyle w:val="Heading3"/>
        <w:numPr>
          <w:ilvl w:val="1"/>
          <w:numId w:val="33"/>
        </w:numPr>
        <w:rPr>
          <w:lang w:val="fr-FR"/>
        </w:rPr>
      </w:pPr>
      <w:r w:rsidRPr="00E27E50">
        <w:rPr>
          <w:lang w:val="fr-FR"/>
        </w:rPr>
        <w:t>Plateforme Stat</w:t>
      </w:r>
      <w:r w:rsidR="00DF2268" w:rsidRPr="00E27E50">
        <w:rPr>
          <w:lang w:val="fr-FR"/>
        </w:rPr>
        <w:t>istique – Business Intelligence</w:t>
      </w:r>
    </w:p>
    <w:p w:rsidR="005B6FCC" w:rsidRPr="00E27E50" w:rsidRDefault="005B6FCC" w:rsidP="003B1DC9">
      <w:pPr>
        <w:pStyle w:val="BodyText1"/>
        <w:rPr>
          <w:color w:val="auto"/>
          <w:lang w:val="fr-FR"/>
        </w:rPr>
      </w:pPr>
      <w:r w:rsidRPr="00E27E50">
        <w:rPr>
          <w:color w:val="auto"/>
          <w:lang w:val="fr-FR"/>
        </w:rPr>
        <w:t xml:space="preserve">La plateforme BO a été mise à jour pour reprendre les adaptations faites </w:t>
      </w:r>
      <w:r w:rsidR="004973A2" w:rsidRPr="00E27E50">
        <w:rPr>
          <w:color w:val="auto"/>
          <w:lang w:val="fr-FR"/>
        </w:rPr>
        <w:t xml:space="preserve">dans SMS. Les mises à jour de l’outil n’ont pas été implémentées. En 2019, avec l’analyse d’une nouvelle structure de la base de données, l’outil sera mis à jour.  </w:t>
      </w:r>
    </w:p>
    <w:p w:rsidR="005B6FCC" w:rsidRPr="00E27E50" w:rsidRDefault="005B6FCC" w:rsidP="00BC55C6">
      <w:pPr>
        <w:pStyle w:val="Heading3"/>
        <w:numPr>
          <w:ilvl w:val="1"/>
          <w:numId w:val="33"/>
        </w:numPr>
        <w:rPr>
          <w:lang w:val="fr-FR"/>
        </w:rPr>
      </w:pPr>
      <w:r w:rsidRPr="00E27E50">
        <w:rPr>
          <w:lang w:val="fr-FR"/>
        </w:rPr>
        <w:t>Application de l’Autorité Centrale d</w:t>
      </w:r>
      <w:r w:rsidR="00DF2268" w:rsidRPr="00E27E50">
        <w:rPr>
          <w:lang w:val="fr-FR"/>
        </w:rPr>
        <w:t>’inscription de Bruxelles (ACI)</w:t>
      </w:r>
    </w:p>
    <w:p w:rsidR="005B6FCC" w:rsidRPr="00E27E50" w:rsidRDefault="005B6FCC" w:rsidP="003B1DC9">
      <w:pPr>
        <w:pStyle w:val="BodyText1"/>
        <w:rPr>
          <w:color w:val="auto"/>
          <w:lang w:val="fr-FR"/>
        </w:rPr>
      </w:pPr>
      <w:r w:rsidRPr="00E27E50">
        <w:rPr>
          <w:color w:val="auto"/>
          <w:lang w:val="fr-FR"/>
        </w:rPr>
        <w:t>Comme les années précédentes, l’application a été mise à jour pour répondre aux nouvelles règles de la politique d’inscription.</w:t>
      </w:r>
    </w:p>
    <w:p w:rsidR="005B6FCC" w:rsidRPr="00E27E50" w:rsidRDefault="005B6FCC" w:rsidP="00BC55C6">
      <w:pPr>
        <w:pStyle w:val="Heading3"/>
        <w:numPr>
          <w:ilvl w:val="1"/>
          <w:numId w:val="33"/>
        </w:numPr>
        <w:rPr>
          <w:lang w:val="fr-FR"/>
        </w:rPr>
      </w:pPr>
      <w:r w:rsidRPr="00E27E50">
        <w:rPr>
          <w:lang w:val="fr-FR"/>
        </w:rPr>
        <w:t>Application d</w:t>
      </w:r>
      <w:r w:rsidR="00DF2268" w:rsidRPr="00E27E50">
        <w:rPr>
          <w:lang w:val="fr-FR"/>
        </w:rPr>
        <w:t>e gestion du personnel (PERSEE)</w:t>
      </w:r>
    </w:p>
    <w:p w:rsidR="005B6FCC" w:rsidRPr="00E27E50" w:rsidRDefault="005B6FCC" w:rsidP="003B1DC9">
      <w:pPr>
        <w:pStyle w:val="BodyText1"/>
        <w:rPr>
          <w:color w:val="auto"/>
          <w:lang w:val="fr-FR"/>
        </w:rPr>
      </w:pPr>
      <w:r w:rsidRPr="00E27E50">
        <w:rPr>
          <w:color w:val="auto"/>
          <w:lang w:val="fr-FR"/>
        </w:rPr>
        <w:t xml:space="preserve">Comme l’année précédente, des problèmes récurrents (problèmes avec le CIPAL, problèmes fichier incomplet, problèmes de doublons…) ont dû être réglés.  </w:t>
      </w:r>
    </w:p>
    <w:p w:rsidR="005B6FCC" w:rsidRPr="00E27E50" w:rsidRDefault="00DF2268" w:rsidP="00BC55C6">
      <w:pPr>
        <w:pStyle w:val="Heading3"/>
        <w:numPr>
          <w:ilvl w:val="1"/>
          <w:numId w:val="33"/>
        </w:numPr>
        <w:rPr>
          <w:lang w:val="fr-FR"/>
        </w:rPr>
      </w:pPr>
      <w:r w:rsidRPr="00E27E50">
        <w:rPr>
          <w:lang w:val="fr-FR"/>
        </w:rPr>
        <w:t>Gestion des frais de mission</w:t>
      </w:r>
    </w:p>
    <w:p w:rsidR="005B6FCC" w:rsidRPr="00E27E50" w:rsidRDefault="005B6FCC" w:rsidP="003B1DC9">
      <w:pPr>
        <w:pStyle w:val="BodyText1"/>
        <w:rPr>
          <w:color w:val="auto"/>
          <w:lang w:val="fr-FR"/>
        </w:rPr>
      </w:pPr>
      <w:r w:rsidRPr="00E27E50">
        <w:rPr>
          <w:color w:val="auto"/>
          <w:lang w:val="fr-FR"/>
        </w:rPr>
        <w:t>L’application est toujours en phase de test au BSGEE. Dès que les tests seront finalisés et après approbation du BSGEE, l’application sera accessible par les écoles.</w:t>
      </w:r>
    </w:p>
    <w:p w:rsidR="005B6FCC" w:rsidRPr="00E27E50" w:rsidRDefault="005B6FCC" w:rsidP="00BC55C6">
      <w:pPr>
        <w:pStyle w:val="Heading3"/>
        <w:numPr>
          <w:ilvl w:val="1"/>
          <w:numId w:val="33"/>
        </w:numPr>
        <w:rPr>
          <w:lang w:val="fr-FR"/>
        </w:rPr>
      </w:pPr>
      <w:r w:rsidRPr="00E27E50">
        <w:rPr>
          <w:lang w:val="fr-FR"/>
        </w:rPr>
        <w:t>Formulaire d’inscription en ligne</w:t>
      </w:r>
    </w:p>
    <w:p w:rsidR="005B6FCC" w:rsidRPr="00E27E50" w:rsidRDefault="005B6FCC" w:rsidP="003B1DC9">
      <w:pPr>
        <w:pStyle w:val="BodyText1"/>
        <w:rPr>
          <w:color w:val="auto"/>
          <w:lang w:val="fr-FR"/>
        </w:rPr>
      </w:pPr>
      <w:r w:rsidRPr="00E27E50">
        <w:rPr>
          <w:color w:val="auto"/>
          <w:lang w:val="fr-FR"/>
        </w:rPr>
        <w:t>Le projet du formulaire en ligne a été initié en mars 2018 afin de proposer une plateforme pour les inscriptions des élèves dans les Ecoles européennes. Ce projet avait pour but d’harmoniser et de simplifier les multiples formulaires papier de toutes les Ecoles. Parallèlement, cette plateforme devait alléger la charge de travail et le temps passé à encoder les informations sur les différentes applications pour une inscription.</w:t>
      </w:r>
    </w:p>
    <w:p w:rsidR="005B6FCC" w:rsidRPr="00E27E50" w:rsidRDefault="005B6FCC" w:rsidP="003B1DC9">
      <w:pPr>
        <w:pStyle w:val="BodyText1"/>
        <w:rPr>
          <w:color w:val="auto"/>
          <w:lang w:val="fr-FR"/>
        </w:rPr>
      </w:pPr>
      <w:r w:rsidRPr="00E27E50">
        <w:rPr>
          <w:color w:val="auto"/>
          <w:lang w:val="fr-FR"/>
        </w:rPr>
        <w:lastRenderedPageBreak/>
        <w:t>L’équipe en charge de produire la plateforme a utilisé la méthodologie Agile/</w:t>
      </w:r>
      <w:proofErr w:type="spellStart"/>
      <w:r w:rsidRPr="00E27E50">
        <w:rPr>
          <w:color w:val="auto"/>
          <w:lang w:val="fr-FR"/>
        </w:rPr>
        <w:t>Scrum</w:t>
      </w:r>
      <w:proofErr w:type="spellEnd"/>
      <w:r w:rsidRPr="00E27E50">
        <w:rPr>
          <w:color w:val="auto"/>
          <w:lang w:val="fr-FR"/>
        </w:rPr>
        <w:t xml:space="preserve"> pour le développement. Cette méthodologie permet une coordination plus intime avec les Ecoles, et par conséquent, un développement avec les dernières informations.</w:t>
      </w:r>
    </w:p>
    <w:p w:rsidR="005B6FCC" w:rsidRPr="00E27E50" w:rsidRDefault="005B6FCC" w:rsidP="003B1DC9">
      <w:pPr>
        <w:pStyle w:val="BodyText1"/>
        <w:rPr>
          <w:color w:val="auto"/>
          <w:lang w:val="fr-FR"/>
        </w:rPr>
      </w:pPr>
      <w:r w:rsidRPr="00E27E50">
        <w:rPr>
          <w:color w:val="auto"/>
          <w:lang w:val="fr-FR"/>
        </w:rPr>
        <w:t xml:space="preserve">Cependant, même si le développement se passait relativement bien, il manquait un réel MVP (Minimum Viable Product), un produit minimum de départ. </w:t>
      </w:r>
      <w:r w:rsidR="00BC55C6">
        <w:rPr>
          <w:color w:val="auto"/>
          <w:lang w:val="fr-FR"/>
        </w:rPr>
        <w:t xml:space="preserve">Dans le contexte de la révision des priorités de l’unité ICT </w:t>
      </w:r>
      <w:r w:rsidR="000D38F8">
        <w:rPr>
          <w:color w:val="auto"/>
          <w:lang w:val="fr-FR"/>
        </w:rPr>
        <w:t>et de</w:t>
      </w:r>
      <w:r w:rsidR="00BC55C6">
        <w:rPr>
          <w:color w:val="auto"/>
          <w:lang w:val="fr-FR"/>
        </w:rPr>
        <w:t xml:space="preserve"> la cellule développement, le projet a été suspendu pour permettre à l’équipe de se concentrer sur des priorités à court terme.</w:t>
      </w:r>
    </w:p>
    <w:p w:rsidR="005B6FCC" w:rsidRPr="00E27E50" w:rsidRDefault="005B6FCC" w:rsidP="00BC55C6">
      <w:pPr>
        <w:pStyle w:val="Heading3"/>
        <w:numPr>
          <w:ilvl w:val="1"/>
          <w:numId w:val="33"/>
        </w:numPr>
        <w:rPr>
          <w:lang w:val="fr-FR"/>
        </w:rPr>
      </w:pPr>
      <w:r w:rsidRPr="00E27E50">
        <w:rPr>
          <w:lang w:val="fr-FR"/>
        </w:rPr>
        <w:t>Plateforme de collabor</w:t>
      </w:r>
      <w:r w:rsidR="00DF2268" w:rsidRPr="00E27E50">
        <w:rPr>
          <w:lang w:val="fr-FR"/>
        </w:rPr>
        <w:t>ation à finalité administrative</w:t>
      </w:r>
    </w:p>
    <w:p w:rsidR="005B6FCC" w:rsidRPr="00E27E50" w:rsidRDefault="005B6FCC" w:rsidP="00DF2268">
      <w:pPr>
        <w:pStyle w:val="Heading3"/>
        <w:numPr>
          <w:ilvl w:val="0"/>
          <w:numId w:val="0"/>
        </w:numPr>
        <w:rPr>
          <w:lang w:val="fr-FR"/>
        </w:rPr>
      </w:pPr>
      <w:r w:rsidRPr="00E27E50">
        <w:rPr>
          <w:lang w:val="fr-FR"/>
        </w:rPr>
        <w:t>Baccalauréat</w:t>
      </w:r>
    </w:p>
    <w:p w:rsidR="005B6FCC" w:rsidRPr="00E27E50" w:rsidRDefault="005B6FCC" w:rsidP="003B1DC9">
      <w:pPr>
        <w:pStyle w:val="BodyText1"/>
        <w:rPr>
          <w:color w:val="auto"/>
          <w:lang w:val="fr-FR"/>
        </w:rPr>
      </w:pPr>
      <w:r w:rsidRPr="00E27E50">
        <w:rPr>
          <w:color w:val="auto"/>
          <w:lang w:val="fr-FR"/>
        </w:rPr>
        <w:t>Vers la fin de l’année 2018, le département BAC a demandé une plateforme de partage de dossiers personnalisés afin de répondre aux demandes croissantes pour les élèves SEN dans le cadre des examens BAC.</w:t>
      </w:r>
    </w:p>
    <w:p w:rsidR="005B6FCC" w:rsidRPr="00E27E50" w:rsidRDefault="005B6FCC" w:rsidP="003B1DC9">
      <w:pPr>
        <w:pStyle w:val="BodyText1"/>
        <w:rPr>
          <w:color w:val="auto"/>
          <w:lang w:val="fr-FR"/>
        </w:rPr>
      </w:pPr>
      <w:r w:rsidRPr="00E27E50">
        <w:rPr>
          <w:color w:val="auto"/>
          <w:lang w:val="fr-FR"/>
        </w:rPr>
        <w:t xml:space="preserve">Un nouveau site SharePoint a été développé pour répondre à cette demande. Ce site est bénéfique pour les Ecoles européennes, les Ecoles européennes agréées et le Bureau Central. Comme les dossiers déposés dans ce site SharePoint comprennent des données sensibles, la priorité a été mise pour la sécurisation de cette plateforme. Chaque école possède son propre espace dans lequel elle dépose les dossiers. L’unité BAC du Bureau </w:t>
      </w:r>
      <w:r w:rsidR="005A75F1">
        <w:rPr>
          <w:color w:val="auto"/>
          <w:lang w:val="fr-FR"/>
        </w:rPr>
        <w:t>c</w:t>
      </w:r>
      <w:r w:rsidRPr="00E27E50">
        <w:rPr>
          <w:color w:val="auto"/>
          <w:lang w:val="fr-FR"/>
        </w:rPr>
        <w:t>entral a accès à tout le site SharePoint et c’est elle qui donnera l’accès aux différentes personnes.</w:t>
      </w:r>
    </w:p>
    <w:p w:rsidR="005B6FCC" w:rsidRPr="00E27E50" w:rsidRDefault="005B6FCC" w:rsidP="003B1DC9">
      <w:pPr>
        <w:pStyle w:val="BodyText1"/>
        <w:rPr>
          <w:color w:val="auto"/>
          <w:lang w:val="fr-FR"/>
        </w:rPr>
      </w:pPr>
      <w:r w:rsidRPr="00E27E50">
        <w:rPr>
          <w:color w:val="auto"/>
          <w:lang w:val="fr-FR"/>
        </w:rPr>
        <w:t xml:space="preserve">La mise en production de ce site a été fixée pour mi-mars 2019. Une première version a été présentée aux responsables du département BAC et a été reçue de manière positive. </w:t>
      </w:r>
    </w:p>
    <w:p w:rsidR="005B6FCC" w:rsidRPr="00E27E50" w:rsidRDefault="00DF2268" w:rsidP="00DF2268">
      <w:pPr>
        <w:pStyle w:val="Heading3"/>
        <w:numPr>
          <w:ilvl w:val="0"/>
          <w:numId w:val="0"/>
        </w:numPr>
        <w:rPr>
          <w:lang w:val="fr-FR"/>
        </w:rPr>
      </w:pPr>
      <w:r w:rsidRPr="00E27E50">
        <w:rPr>
          <w:lang w:val="fr-FR"/>
        </w:rPr>
        <w:t>Les autres sites SharePoint</w:t>
      </w:r>
    </w:p>
    <w:p w:rsidR="005B6FCC" w:rsidRPr="00E27E50" w:rsidRDefault="005B6FCC" w:rsidP="003B1DC9">
      <w:pPr>
        <w:pStyle w:val="BodyText1"/>
        <w:rPr>
          <w:color w:val="auto"/>
          <w:lang w:val="fr-FR"/>
        </w:rPr>
      </w:pPr>
      <w:r w:rsidRPr="00E27E50">
        <w:rPr>
          <w:color w:val="auto"/>
          <w:lang w:val="fr-FR"/>
        </w:rPr>
        <w:t>Il n’y a pas eu de changements significatifs dans les autres sites SharePoint.</w:t>
      </w:r>
      <w:r w:rsidR="00F85566" w:rsidRPr="00E27E50">
        <w:rPr>
          <w:color w:val="auto"/>
          <w:lang w:val="fr-FR"/>
        </w:rPr>
        <w:t xml:space="preserve"> En 2019, on aura de la consultance qui nous aidera à faire de la gouvernance sur SharePoint.</w:t>
      </w:r>
    </w:p>
    <w:p w:rsidR="005B6FCC" w:rsidRPr="00E27E50" w:rsidRDefault="005B6FCC" w:rsidP="00BC55C6">
      <w:pPr>
        <w:pStyle w:val="Heading3"/>
        <w:numPr>
          <w:ilvl w:val="1"/>
          <w:numId w:val="33"/>
        </w:numPr>
        <w:rPr>
          <w:lang w:val="fr-FR"/>
        </w:rPr>
      </w:pPr>
      <w:r w:rsidRPr="00E27E50">
        <w:rPr>
          <w:lang w:val="fr-FR"/>
        </w:rPr>
        <w:t>SAP : HEC et interfaces avec les banques</w:t>
      </w:r>
    </w:p>
    <w:p w:rsidR="005B6FCC" w:rsidRPr="00E27E50" w:rsidRDefault="005B6FCC" w:rsidP="003B1DC9">
      <w:pPr>
        <w:pStyle w:val="BodyText1"/>
        <w:rPr>
          <w:color w:val="auto"/>
          <w:lang w:val="fr-FR"/>
        </w:rPr>
      </w:pPr>
      <w:r w:rsidRPr="00E27E50">
        <w:rPr>
          <w:color w:val="auto"/>
          <w:lang w:val="fr-FR"/>
        </w:rPr>
        <w:t>Suite à la migration de SAP dans Azure, l’analyse de toutes les interfaces qu’il y a entre les applications et SAP a été revue. La migration des connexions est terminée. La documentation a été mise à jour.</w:t>
      </w:r>
    </w:p>
    <w:p w:rsidR="005B6FCC" w:rsidRPr="00E27E50" w:rsidRDefault="005B6FCC" w:rsidP="00BC55C6">
      <w:pPr>
        <w:pStyle w:val="Heading3"/>
        <w:numPr>
          <w:ilvl w:val="1"/>
          <w:numId w:val="33"/>
        </w:numPr>
        <w:rPr>
          <w:lang w:val="fr-FR"/>
        </w:rPr>
      </w:pPr>
      <w:proofErr w:type="spellStart"/>
      <w:r w:rsidRPr="00E27E50">
        <w:rPr>
          <w:lang w:val="fr-FR"/>
        </w:rPr>
        <w:lastRenderedPageBreak/>
        <w:t>Netsalary</w:t>
      </w:r>
      <w:proofErr w:type="spellEnd"/>
      <w:r w:rsidRPr="00E27E50">
        <w:rPr>
          <w:lang w:val="fr-FR"/>
        </w:rPr>
        <w:t xml:space="preserve"> </w:t>
      </w:r>
      <w:proofErr w:type="spellStart"/>
      <w:r w:rsidRPr="00E27E50">
        <w:rPr>
          <w:lang w:val="fr-FR"/>
        </w:rPr>
        <w:t>Upload</w:t>
      </w:r>
      <w:proofErr w:type="spellEnd"/>
    </w:p>
    <w:p w:rsidR="00CB03EA" w:rsidRPr="00E27E50" w:rsidRDefault="005B6FCC" w:rsidP="003B1DC9">
      <w:pPr>
        <w:pStyle w:val="BodyText1"/>
        <w:rPr>
          <w:color w:val="auto"/>
          <w:lang w:val="fr-FR"/>
        </w:rPr>
      </w:pPr>
      <w:r w:rsidRPr="00E27E50">
        <w:rPr>
          <w:color w:val="auto"/>
          <w:lang w:val="fr-FR"/>
        </w:rPr>
        <w:t>Précédemment, les différents secrétariats sociaux belges envoyaient par E-Mail le résultat des calculs de la paie du personnel PAS.  Par la suite, ces fichiers étaient déposés manuellement sur un serveur pour être traité</w:t>
      </w:r>
      <w:r w:rsidR="005A75F1">
        <w:rPr>
          <w:color w:val="auto"/>
          <w:lang w:val="fr-FR"/>
        </w:rPr>
        <w:t>s</w:t>
      </w:r>
      <w:r w:rsidRPr="00E27E50">
        <w:rPr>
          <w:color w:val="auto"/>
          <w:lang w:val="fr-FR"/>
        </w:rPr>
        <w:t xml:space="preserve"> par SAP. Une nouvelle application a été développée pour que l’</w:t>
      </w:r>
      <w:proofErr w:type="spellStart"/>
      <w:r w:rsidRPr="00E27E50">
        <w:rPr>
          <w:color w:val="auto"/>
          <w:lang w:val="fr-FR"/>
        </w:rPr>
        <w:t>upload</w:t>
      </w:r>
      <w:proofErr w:type="spellEnd"/>
      <w:r w:rsidRPr="00E27E50">
        <w:rPr>
          <w:color w:val="auto"/>
          <w:lang w:val="fr-FR"/>
        </w:rPr>
        <w:t xml:space="preserve"> des fichiers se fasse directement sur le serveur SAP. </w:t>
      </w:r>
    </w:p>
    <w:p w:rsidR="005B6FCC" w:rsidRPr="00E27E50" w:rsidRDefault="005B6FCC" w:rsidP="00BC55C6">
      <w:pPr>
        <w:pStyle w:val="Heading3"/>
        <w:numPr>
          <w:ilvl w:val="1"/>
          <w:numId w:val="33"/>
        </w:numPr>
        <w:rPr>
          <w:lang w:val="fr-FR"/>
        </w:rPr>
      </w:pPr>
      <w:r w:rsidRPr="00E27E50">
        <w:rPr>
          <w:lang w:val="fr-FR"/>
        </w:rPr>
        <w:t>Gestion des identités de manière active dans l’active directory (</w:t>
      </w:r>
      <w:r w:rsidR="00DF2268" w:rsidRPr="00E27E50">
        <w:rPr>
          <w:lang w:val="fr-FR"/>
        </w:rPr>
        <w:t>Projet MIM)</w:t>
      </w:r>
    </w:p>
    <w:p w:rsidR="005B6FCC" w:rsidRPr="00E27E50" w:rsidRDefault="005B6FCC" w:rsidP="003B1DC9">
      <w:pPr>
        <w:pStyle w:val="BodyText1"/>
        <w:rPr>
          <w:color w:val="auto"/>
          <w:lang w:val="fr-FR"/>
        </w:rPr>
      </w:pPr>
      <w:r w:rsidRPr="00E27E50">
        <w:rPr>
          <w:color w:val="auto"/>
          <w:lang w:val="fr-FR"/>
        </w:rPr>
        <w:t>Vu la complexité de cette application, le support se fait toujours via un partenaire expert dans le domaine.</w:t>
      </w:r>
      <w:r w:rsidR="00793432" w:rsidRPr="00E27E50">
        <w:rPr>
          <w:color w:val="auto"/>
          <w:lang w:val="fr-FR"/>
        </w:rPr>
        <w:t xml:space="preserve"> </w:t>
      </w:r>
      <w:r w:rsidRPr="00E27E50">
        <w:rPr>
          <w:color w:val="auto"/>
          <w:lang w:val="fr-FR"/>
        </w:rPr>
        <w:t>Du point de vue des changements, on peut noter</w:t>
      </w:r>
      <w:r w:rsidR="005A75F1">
        <w:rPr>
          <w:color w:val="auto"/>
          <w:lang w:val="fr-FR"/>
        </w:rPr>
        <w:t> </w:t>
      </w:r>
      <w:r w:rsidRPr="00E27E50">
        <w:rPr>
          <w:color w:val="auto"/>
          <w:lang w:val="fr-FR"/>
        </w:rPr>
        <w:t>:</w:t>
      </w:r>
    </w:p>
    <w:p w:rsidR="005B6FCC" w:rsidRPr="00E27E50" w:rsidRDefault="005B6FCC" w:rsidP="000D38F8">
      <w:pPr>
        <w:pStyle w:val="ListParagraph"/>
        <w:numPr>
          <w:ilvl w:val="0"/>
          <w:numId w:val="5"/>
        </w:numPr>
        <w:spacing w:after="160" w:line="259" w:lineRule="auto"/>
        <w:rPr>
          <w:lang w:val="fr-FR"/>
        </w:rPr>
      </w:pPr>
      <w:r w:rsidRPr="00E27E50">
        <w:rPr>
          <w:lang w:val="fr-FR"/>
        </w:rPr>
        <w:t>Les listes des parents</w:t>
      </w:r>
      <w:r w:rsidR="005A75F1">
        <w:rPr>
          <w:lang w:val="fr-FR"/>
        </w:rPr>
        <w:t> </w:t>
      </w:r>
      <w:r w:rsidRPr="00E27E50">
        <w:rPr>
          <w:lang w:val="fr-FR"/>
        </w:rPr>
        <w:t>: générées à partir des données de SMS, ces listes peuvent être utilisées pour l’envoi d’email vers les parents.</w:t>
      </w:r>
    </w:p>
    <w:p w:rsidR="005B6FCC" w:rsidRPr="00E27E50" w:rsidRDefault="005B6FCC" w:rsidP="000D38F8">
      <w:pPr>
        <w:pStyle w:val="ListParagraph"/>
        <w:numPr>
          <w:ilvl w:val="0"/>
          <w:numId w:val="5"/>
        </w:numPr>
        <w:spacing w:after="160" w:line="259" w:lineRule="auto"/>
        <w:rPr>
          <w:lang w:val="fr-FR"/>
        </w:rPr>
      </w:pPr>
      <w:r w:rsidRPr="00E27E50">
        <w:rPr>
          <w:lang w:val="fr-FR"/>
        </w:rPr>
        <w:t>Un changement dans la structure de la base de données utilisé</w:t>
      </w:r>
      <w:r w:rsidR="005A75F1">
        <w:rPr>
          <w:lang w:val="fr-FR"/>
        </w:rPr>
        <w:t>e</w:t>
      </w:r>
      <w:r w:rsidRPr="00E27E50">
        <w:rPr>
          <w:lang w:val="fr-FR"/>
        </w:rPr>
        <w:t xml:space="preserve"> par le robot a été demandé afin de permettre un meilleur trouble</w:t>
      </w:r>
      <w:r w:rsidR="009555D6" w:rsidRPr="00E27E50">
        <w:rPr>
          <w:lang w:val="fr-FR"/>
        </w:rPr>
        <w:t xml:space="preserve"> </w:t>
      </w:r>
      <w:r w:rsidRPr="00E27E50">
        <w:rPr>
          <w:lang w:val="fr-FR"/>
        </w:rPr>
        <w:t>shooting en cas de problème, ce changement a été initié et sera mis en production en juin 2019.</w:t>
      </w:r>
    </w:p>
    <w:p w:rsidR="005B6FCC" w:rsidRPr="00E27E50" w:rsidRDefault="005B6FCC" w:rsidP="000D38F8">
      <w:pPr>
        <w:pStyle w:val="ListParagraph"/>
        <w:numPr>
          <w:ilvl w:val="0"/>
          <w:numId w:val="5"/>
        </w:numPr>
        <w:spacing w:after="160" w:line="259" w:lineRule="auto"/>
        <w:rPr>
          <w:lang w:val="fr-FR"/>
        </w:rPr>
      </w:pPr>
      <w:r w:rsidRPr="00E27E50">
        <w:rPr>
          <w:lang w:val="fr-FR"/>
        </w:rPr>
        <w:t xml:space="preserve">La synchronisation vers TEAMS (via </w:t>
      </w:r>
      <w:proofErr w:type="spellStart"/>
      <w:r w:rsidRPr="00E27E50">
        <w:rPr>
          <w:lang w:val="fr-FR"/>
        </w:rPr>
        <w:t>School</w:t>
      </w:r>
      <w:proofErr w:type="spellEnd"/>
      <w:r w:rsidRPr="00E27E50">
        <w:rPr>
          <w:lang w:val="fr-FR"/>
        </w:rPr>
        <w:t xml:space="preserve"> Data </w:t>
      </w:r>
      <w:proofErr w:type="spellStart"/>
      <w:r w:rsidRPr="00E27E50">
        <w:rPr>
          <w:lang w:val="fr-FR"/>
        </w:rPr>
        <w:t>Sync</w:t>
      </w:r>
      <w:proofErr w:type="spellEnd"/>
      <w:r w:rsidRPr="00E27E50">
        <w:rPr>
          <w:lang w:val="fr-FR"/>
        </w:rPr>
        <w:t>) a été lancé</w:t>
      </w:r>
      <w:r w:rsidR="005A75F1">
        <w:rPr>
          <w:lang w:val="fr-FR"/>
        </w:rPr>
        <w:t>e</w:t>
      </w:r>
      <w:r w:rsidRPr="00E27E50">
        <w:rPr>
          <w:lang w:val="fr-FR"/>
        </w:rPr>
        <w:t xml:space="preserve"> manuellement en début d’année scolaire puis arrêté</w:t>
      </w:r>
      <w:r w:rsidR="005A75F1">
        <w:rPr>
          <w:lang w:val="fr-FR"/>
        </w:rPr>
        <w:t>e</w:t>
      </w:r>
      <w:r w:rsidRPr="00E27E50">
        <w:rPr>
          <w:lang w:val="fr-FR"/>
        </w:rPr>
        <w:t xml:space="preserve"> le 15</w:t>
      </w:r>
      <w:r w:rsidR="00C76E50">
        <w:rPr>
          <w:lang w:val="fr-FR"/>
        </w:rPr>
        <w:t> </w:t>
      </w:r>
      <w:r w:rsidRPr="00E27E50">
        <w:rPr>
          <w:lang w:val="fr-FR"/>
        </w:rPr>
        <w:t>novembre. Chaque professeur est maintenant invité à mettre à jour son TEAMS manuellement.</w:t>
      </w:r>
    </w:p>
    <w:p w:rsidR="005B6FCC" w:rsidRPr="00E27E50" w:rsidRDefault="005B6FCC" w:rsidP="000D38F8">
      <w:pPr>
        <w:pStyle w:val="ListParagraph"/>
        <w:numPr>
          <w:ilvl w:val="0"/>
          <w:numId w:val="5"/>
        </w:numPr>
        <w:spacing w:after="160" w:line="259" w:lineRule="auto"/>
        <w:rPr>
          <w:lang w:val="fr-FR"/>
        </w:rPr>
      </w:pPr>
      <w:r w:rsidRPr="00E27E50">
        <w:rPr>
          <w:lang w:val="fr-FR"/>
        </w:rPr>
        <w:t>Le système d’attribution des licences a été changé et se base maintenant sur des groupes, ceci permet de meilleure performance et souplesse.</w:t>
      </w:r>
    </w:p>
    <w:p w:rsidR="005B6FCC" w:rsidRPr="00E27E50" w:rsidRDefault="005B6FCC" w:rsidP="00BC55C6">
      <w:pPr>
        <w:pStyle w:val="Heading3"/>
        <w:numPr>
          <w:ilvl w:val="1"/>
          <w:numId w:val="33"/>
        </w:numPr>
        <w:rPr>
          <w:lang w:val="fr-FR"/>
        </w:rPr>
      </w:pPr>
      <w:r w:rsidRPr="00E27E50">
        <w:rPr>
          <w:lang w:val="fr-FR"/>
        </w:rPr>
        <w:t>Gestion des do</w:t>
      </w:r>
      <w:r w:rsidR="003B1DC9" w:rsidRPr="00E27E50">
        <w:rPr>
          <w:lang w:val="fr-FR"/>
        </w:rPr>
        <w:t>nnées de référence (</w:t>
      </w:r>
      <w:proofErr w:type="spellStart"/>
      <w:r w:rsidR="003B1DC9" w:rsidRPr="00E27E50">
        <w:rPr>
          <w:lang w:val="fr-FR"/>
        </w:rPr>
        <w:t>Masterdata</w:t>
      </w:r>
      <w:proofErr w:type="spellEnd"/>
      <w:r w:rsidR="003B1DC9" w:rsidRPr="00E27E50">
        <w:rPr>
          <w:lang w:val="fr-FR"/>
        </w:rPr>
        <w:t>)</w:t>
      </w:r>
    </w:p>
    <w:p w:rsidR="005B6FCC" w:rsidRPr="00E27E50" w:rsidRDefault="005B6FCC" w:rsidP="003B1DC9">
      <w:pPr>
        <w:pStyle w:val="BodyText1"/>
        <w:rPr>
          <w:color w:val="auto"/>
          <w:lang w:val="fr-FR"/>
        </w:rPr>
      </w:pPr>
      <w:r w:rsidRPr="00E27E50">
        <w:rPr>
          <w:color w:val="auto"/>
          <w:lang w:val="fr-FR"/>
        </w:rPr>
        <w:t xml:space="preserve">Une étude a été demandée à une firme tierce pour conseiller </w:t>
      </w:r>
      <w:r w:rsidR="009555D6" w:rsidRPr="00E27E50">
        <w:rPr>
          <w:color w:val="auto"/>
          <w:lang w:val="fr-FR"/>
        </w:rPr>
        <w:t xml:space="preserve">la cellule </w:t>
      </w:r>
      <w:r w:rsidRPr="00E27E50">
        <w:rPr>
          <w:color w:val="auto"/>
          <w:lang w:val="fr-FR"/>
        </w:rPr>
        <w:t xml:space="preserve">sur le choix de l’outil qui permettra </w:t>
      </w:r>
      <w:r w:rsidR="009555D6" w:rsidRPr="00E27E50">
        <w:rPr>
          <w:color w:val="auto"/>
          <w:lang w:val="fr-FR"/>
        </w:rPr>
        <w:t xml:space="preserve">au BSGEE </w:t>
      </w:r>
      <w:r w:rsidRPr="00E27E50">
        <w:rPr>
          <w:color w:val="auto"/>
          <w:lang w:val="fr-FR"/>
        </w:rPr>
        <w:t>la gestion de ces données.  Après analyse, on pourra soit trouver un outil existant qu’il faudra paramétrer, soit faire un dév</w:t>
      </w:r>
      <w:r w:rsidR="009555D6" w:rsidRPr="00E27E50">
        <w:rPr>
          <w:color w:val="auto"/>
          <w:lang w:val="fr-FR"/>
        </w:rPr>
        <w:t xml:space="preserve">eloppement qui répondra mieux aux </w:t>
      </w:r>
      <w:r w:rsidRPr="00E27E50">
        <w:rPr>
          <w:color w:val="auto"/>
          <w:lang w:val="fr-FR"/>
        </w:rPr>
        <w:t>besoins</w:t>
      </w:r>
      <w:r w:rsidR="009555D6" w:rsidRPr="00E27E50">
        <w:rPr>
          <w:color w:val="auto"/>
          <w:lang w:val="fr-FR"/>
        </w:rPr>
        <w:t xml:space="preserve"> des écoles</w:t>
      </w:r>
      <w:r w:rsidRPr="00E27E50">
        <w:rPr>
          <w:color w:val="auto"/>
          <w:lang w:val="fr-FR"/>
        </w:rPr>
        <w:t>.</w:t>
      </w:r>
    </w:p>
    <w:p w:rsidR="00AA04E2" w:rsidRPr="00E27E50" w:rsidRDefault="00B8435D" w:rsidP="00C64720">
      <w:pPr>
        <w:pStyle w:val="Heading2"/>
        <w:numPr>
          <w:ilvl w:val="0"/>
          <w:numId w:val="2"/>
        </w:numPr>
      </w:pPr>
      <w:bookmarkStart w:id="19" w:name="_Toc2092704"/>
      <w:bookmarkStart w:id="20" w:name="_Toc4511368"/>
      <w:r w:rsidRPr="00E27E50">
        <w:t xml:space="preserve">Cellule </w:t>
      </w:r>
      <w:r w:rsidR="003B1DD8" w:rsidRPr="00E27E50">
        <w:t>Service Desk</w:t>
      </w:r>
      <w:bookmarkEnd w:id="19"/>
      <w:bookmarkEnd w:id="20"/>
    </w:p>
    <w:p w:rsidR="00282F20" w:rsidRPr="00E27E50" w:rsidRDefault="00282F20" w:rsidP="00282F20">
      <w:pPr>
        <w:rPr>
          <w:lang w:val="fr-FR"/>
        </w:rPr>
      </w:pPr>
    </w:p>
    <w:p w:rsidR="00282F20" w:rsidRPr="00E27E50" w:rsidRDefault="00282F20" w:rsidP="00282F20">
      <w:pPr>
        <w:rPr>
          <w:lang w:val="fr-FR"/>
        </w:rPr>
      </w:pPr>
      <w:r w:rsidRPr="00E27E50">
        <w:rPr>
          <w:lang w:val="fr-FR"/>
        </w:rPr>
        <w:t>Le Service Desk ICT a été fortement sollicité tout au long de l’année 2018. Presque 5.000 tickets ont été envoyés par les informaticiens des écoles, les membres du personnel du BSGEE, les inspecteurs et les chefs de délégation :</w:t>
      </w:r>
    </w:p>
    <w:p w:rsidR="00282F20" w:rsidRPr="00E27E50" w:rsidRDefault="00282F20" w:rsidP="00282F20">
      <w:pPr>
        <w:rPr>
          <w:lang w:val="fr-FR"/>
        </w:rPr>
      </w:pPr>
    </w:p>
    <w:p w:rsidR="00282F20" w:rsidRPr="00E27E50" w:rsidRDefault="00282F20" w:rsidP="00282F20">
      <w:pPr>
        <w:jc w:val="center"/>
        <w:rPr>
          <w:lang w:val="fr-FR" w:eastAsia="fr-BE"/>
        </w:rPr>
      </w:pPr>
      <w:r w:rsidRPr="00E27E50">
        <w:rPr>
          <w:noProof/>
        </w:rPr>
        <w:lastRenderedPageBreak/>
        <w:drawing>
          <wp:inline distT="0" distB="0" distL="0" distR="0" wp14:anchorId="2E2D16D2" wp14:editId="12D13528">
            <wp:extent cx="6019165" cy="227139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19165" cy="2271395"/>
                    </a:xfrm>
                    <a:prstGeom prst="rect">
                      <a:avLst/>
                    </a:prstGeom>
                  </pic:spPr>
                </pic:pic>
              </a:graphicData>
            </a:graphic>
          </wp:inline>
        </w:drawing>
      </w:r>
    </w:p>
    <w:p w:rsidR="00282F20" w:rsidRPr="00E27E50" w:rsidRDefault="00282F20" w:rsidP="00282F20">
      <w:pPr>
        <w:jc w:val="center"/>
        <w:rPr>
          <w:lang w:val="fr-FR" w:eastAsia="fr-BE"/>
        </w:rPr>
      </w:pPr>
    </w:p>
    <w:p w:rsidR="00282F20" w:rsidRPr="00E27E50" w:rsidRDefault="00282F20" w:rsidP="00282F20">
      <w:pPr>
        <w:jc w:val="center"/>
        <w:rPr>
          <w:lang w:val="fr-FR"/>
        </w:rPr>
      </w:pPr>
      <w:r w:rsidRPr="00E27E50">
        <w:rPr>
          <w:noProof/>
        </w:rPr>
        <w:drawing>
          <wp:inline distT="0" distB="0" distL="0" distR="0" wp14:anchorId="7EF10237" wp14:editId="7EEEEB24">
            <wp:extent cx="6019165" cy="238188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19165" cy="2381885"/>
                    </a:xfrm>
                    <a:prstGeom prst="rect">
                      <a:avLst/>
                    </a:prstGeom>
                  </pic:spPr>
                </pic:pic>
              </a:graphicData>
            </a:graphic>
          </wp:inline>
        </w:drawing>
      </w:r>
    </w:p>
    <w:p w:rsidR="00282F20" w:rsidRPr="00E27E50" w:rsidRDefault="00282F20" w:rsidP="00282F20">
      <w:pPr>
        <w:jc w:val="center"/>
        <w:rPr>
          <w:lang w:val="fr-FR"/>
        </w:rPr>
      </w:pPr>
    </w:p>
    <w:p w:rsidR="00282F20" w:rsidRPr="00E27E50" w:rsidRDefault="00282F20" w:rsidP="00282F20">
      <w:pPr>
        <w:jc w:val="center"/>
        <w:rPr>
          <w:lang w:val="fr-FR"/>
        </w:rPr>
      </w:pPr>
      <w:r w:rsidRPr="00E27E50">
        <w:rPr>
          <w:noProof/>
        </w:rPr>
        <w:drawing>
          <wp:inline distT="0" distB="0" distL="0" distR="0" wp14:anchorId="2EBFCB53" wp14:editId="0EE803C0">
            <wp:extent cx="6019165" cy="214058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19165" cy="2140585"/>
                    </a:xfrm>
                    <a:prstGeom prst="rect">
                      <a:avLst/>
                    </a:prstGeom>
                  </pic:spPr>
                </pic:pic>
              </a:graphicData>
            </a:graphic>
          </wp:inline>
        </w:drawing>
      </w:r>
    </w:p>
    <w:p w:rsidR="00282F20" w:rsidRPr="00E27E50" w:rsidRDefault="00282F20" w:rsidP="00282F20">
      <w:pPr>
        <w:jc w:val="center"/>
        <w:rPr>
          <w:lang w:val="fr-FR"/>
        </w:rPr>
      </w:pPr>
      <w:r w:rsidRPr="00E27E50">
        <w:rPr>
          <w:noProof/>
        </w:rPr>
        <w:lastRenderedPageBreak/>
        <w:drawing>
          <wp:inline distT="0" distB="0" distL="0" distR="0" wp14:anchorId="75E492FF" wp14:editId="5CE82DF5">
            <wp:extent cx="6019165" cy="2191385"/>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9165" cy="2191385"/>
                    </a:xfrm>
                    <a:prstGeom prst="rect">
                      <a:avLst/>
                    </a:prstGeom>
                  </pic:spPr>
                </pic:pic>
              </a:graphicData>
            </a:graphic>
          </wp:inline>
        </w:drawing>
      </w:r>
    </w:p>
    <w:p w:rsidR="00282F20" w:rsidRPr="00E27E50" w:rsidRDefault="00282F20" w:rsidP="00282F20">
      <w:pPr>
        <w:jc w:val="center"/>
        <w:rPr>
          <w:lang w:val="fr-FR"/>
        </w:rPr>
      </w:pPr>
    </w:p>
    <w:p w:rsidR="00282F20" w:rsidRPr="00E27E50" w:rsidRDefault="00282F20" w:rsidP="00282F20">
      <w:pPr>
        <w:jc w:val="center"/>
        <w:rPr>
          <w:lang w:val="fr-FR"/>
        </w:rPr>
      </w:pPr>
    </w:p>
    <w:p w:rsidR="00282F20" w:rsidRPr="00E27E50" w:rsidRDefault="00282F20" w:rsidP="00655EB6">
      <w:pPr>
        <w:pStyle w:val="BodyText1"/>
        <w:rPr>
          <w:color w:val="auto"/>
          <w:lang w:val="fr-FR"/>
        </w:rPr>
      </w:pPr>
      <w:r w:rsidRPr="00E27E50">
        <w:rPr>
          <w:color w:val="auto"/>
          <w:lang w:val="fr-FR"/>
        </w:rPr>
        <w:t xml:space="preserve">En plus de cette gestion des incidents et requêtes, le service desk a été chargé de la mise en place du portail </w:t>
      </w:r>
      <w:proofErr w:type="spellStart"/>
      <w:r w:rsidRPr="00E27E50">
        <w:rPr>
          <w:color w:val="auto"/>
          <w:lang w:val="fr-FR"/>
        </w:rPr>
        <w:t>Analyst</w:t>
      </w:r>
      <w:proofErr w:type="spellEnd"/>
      <w:r w:rsidRPr="00E27E50">
        <w:rPr>
          <w:color w:val="auto"/>
          <w:lang w:val="fr-FR"/>
        </w:rPr>
        <w:t xml:space="preserve"> </w:t>
      </w:r>
      <w:proofErr w:type="spellStart"/>
      <w:r w:rsidRPr="00E27E50">
        <w:rPr>
          <w:color w:val="auto"/>
          <w:lang w:val="fr-FR"/>
        </w:rPr>
        <w:t>Ticketing</w:t>
      </w:r>
      <w:proofErr w:type="spellEnd"/>
      <w:r w:rsidRPr="00E27E50">
        <w:rPr>
          <w:color w:val="auto"/>
          <w:lang w:val="fr-FR"/>
        </w:rPr>
        <w:t xml:space="preserve"> (SCSM) pour toutes les écoles afin d’améliorer la collaboration avec les informaticiens des écoles et les collègues du BSGEE. Il a participé à l’optimisation des services déjà en place.</w:t>
      </w:r>
    </w:p>
    <w:p w:rsidR="00282F20" w:rsidRPr="00E27E50" w:rsidRDefault="00282F20" w:rsidP="00655EB6">
      <w:pPr>
        <w:pStyle w:val="BodyText1"/>
        <w:rPr>
          <w:color w:val="auto"/>
          <w:lang w:val="fr-FR"/>
        </w:rPr>
      </w:pPr>
      <w:r w:rsidRPr="00E27E50">
        <w:rPr>
          <w:color w:val="auto"/>
          <w:lang w:val="fr-FR"/>
        </w:rPr>
        <w:t>L’équipe assure également toute la logistique nécessaire pour la bonne tenue des formations informatiques dispensées au BSGEE, formations toujours de plus en plus nombreuses.</w:t>
      </w:r>
    </w:p>
    <w:p w:rsidR="001453CC" w:rsidRPr="00E27E50" w:rsidRDefault="001453CC" w:rsidP="005F4A93">
      <w:pPr>
        <w:ind w:left="284"/>
        <w:jc w:val="center"/>
        <w:rPr>
          <w:color w:val="444239"/>
          <w:lang w:val="fr-FR"/>
        </w:rPr>
      </w:pPr>
    </w:p>
    <w:p w:rsidR="00E526D0" w:rsidRPr="00E27E50" w:rsidRDefault="007D196A" w:rsidP="008054B2">
      <w:pPr>
        <w:pStyle w:val="Heading1"/>
        <w:rPr>
          <w:lang w:val="fr-FR"/>
        </w:rPr>
      </w:pPr>
      <w:bookmarkStart w:id="21" w:name="_Toc2092705"/>
      <w:bookmarkStart w:id="22" w:name="_Toc4511369"/>
      <w:r w:rsidRPr="00E27E50">
        <w:rPr>
          <w:lang w:val="fr-FR"/>
        </w:rPr>
        <w:t>A partir de 201</w:t>
      </w:r>
      <w:r w:rsidR="00D10BA4" w:rsidRPr="00E27E50">
        <w:rPr>
          <w:lang w:val="fr-FR"/>
        </w:rPr>
        <w:t>9</w:t>
      </w:r>
      <w:bookmarkEnd w:id="21"/>
      <w:bookmarkEnd w:id="22"/>
    </w:p>
    <w:p w:rsidR="008054B2" w:rsidRPr="00E27E50" w:rsidRDefault="008054B2" w:rsidP="00F260CE">
      <w:pPr>
        <w:pStyle w:val="Heading2"/>
      </w:pPr>
      <w:bookmarkStart w:id="23" w:name="_Toc2092706"/>
      <w:bookmarkStart w:id="24" w:name="_Toc4511370"/>
      <w:r w:rsidRPr="00E27E50">
        <w:t>Stratégie ICT</w:t>
      </w:r>
      <w:r w:rsidR="005A75F1">
        <w:t> </w:t>
      </w:r>
      <w:r w:rsidRPr="00E27E50">
        <w:t>: groupe de gouvernance ICT</w:t>
      </w:r>
      <w:bookmarkEnd w:id="23"/>
      <w:bookmarkEnd w:id="24"/>
    </w:p>
    <w:p w:rsidR="00282AD8" w:rsidRPr="00E27E50" w:rsidRDefault="00282AD8" w:rsidP="00655EB6">
      <w:pPr>
        <w:pStyle w:val="BodyText1"/>
        <w:rPr>
          <w:color w:val="auto"/>
          <w:lang w:val="fr-FR"/>
        </w:rPr>
      </w:pPr>
      <w:r w:rsidRPr="00E27E50">
        <w:rPr>
          <w:color w:val="auto"/>
          <w:lang w:val="fr-FR"/>
        </w:rPr>
        <w:t>Le groupe de stratégie poursuivra son travail et reprendra les tâ</w:t>
      </w:r>
      <w:r w:rsidR="00266E82" w:rsidRPr="00E27E50">
        <w:rPr>
          <w:color w:val="auto"/>
          <w:lang w:val="fr-FR"/>
        </w:rPr>
        <w:t>ches commencées en 2018, entre a</w:t>
      </w:r>
      <w:r w:rsidRPr="00E27E50">
        <w:rPr>
          <w:color w:val="auto"/>
          <w:lang w:val="fr-FR"/>
        </w:rPr>
        <w:t>utre</w:t>
      </w:r>
      <w:r w:rsidR="005A75F1">
        <w:rPr>
          <w:color w:val="auto"/>
          <w:lang w:val="fr-FR"/>
        </w:rPr>
        <w:t>s</w:t>
      </w:r>
      <w:r w:rsidRPr="00E27E50">
        <w:rPr>
          <w:color w:val="auto"/>
          <w:lang w:val="fr-FR"/>
        </w:rPr>
        <w:t xml:space="preserve"> la mise à jour du registre des risques et</w:t>
      </w:r>
      <w:r w:rsidR="005D67DD" w:rsidRPr="00E27E50">
        <w:rPr>
          <w:color w:val="auto"/>
          <w:lang w:val="fr-FR"/>
        </w:rPr>
        <w:t xml:space="preserve"> par conséquent </w:t>
      </w:r>
      <w:r w:rsidR="00A0747E" w:rsidRPr="00E27E50">
        <w:rPr>
          <w:color w:val="auto"/>
          <w:lang w:val="fr-FR"/>
        </w:rPr>
        <w:t>la rédaction d’</w:t>
      </w:r>
      <w:r w:rsidR="005D67DD" w:rsidRPr="00E27E50">
        <w:rPr>
          <w:color w:val="auto"/>
          <w:lang w:val="fr-FR"/>
        </w:rPr>
        <w:t xml:space="preserve">un plan d’action. Celui-ci servira </w:t>
      </w:r>
      <w:r w:rsidR="00266E82" w:rsidRPr="00E27E50">
        <w:rPr>
          <w:color w:val="auto"/>
          <w:lang w:val="fr-FR"/>
        </w:rPr>
        <w:t xml:space="preserve">de base pour </w:t>
      </w:r>
      <w:r w:rsidRPr="00E27E50">
        <w:rPr>
          <w:color w:val="auto"/>
          <w:lang w:val="fr-FR"/>
        </w:rPr>
        <w:t xml:space="preserve">la </w:t>
      </w:r>
      <w:r w:rsidR="00266E82" w:rsidRPr="00E27E50">
        <w:rPr>
          <w:color w:val="auto"/>
          <w:lang w:val="fr-FR"/>
        </w:rPr>
        <w:t xml:space="preserve">révision de </w:t>
      </w:r>
      <w:r w:rsidRPr="00E27E50">
        <w:rPr>
          <w:color w:val="auto"/>
          <w:lang w:val="fr-FR"/>
        </w:rPr>
        <w:t>priorisation des p</w:t>
      </w:r>
      <w:r w:rsidR="00533FC6" w:rsidRPr="00E27E50">
        <w:rPr>
          <w:color w:val="auto"/>
          <w:lang w:val="fr-FR"/>
        </w:rPr>
        <w:t>rojets en adéquation avec les ressources disponibles.</w:t>
      </w:r>
    </w:p>
    <w:p w:rsidR="005D67DD" w:rsidRPr="00E27E50" w:rsidRDefault="005D67DD" w:rsidP="00655EB6">
      <w:pPr>
        <w:pStyle w:val="BodyText1"/>
        <w:rPr>
          <w:color w:val="auto"/>
          <w:lang w:val="fr-FR"/>
        </w:rPr>
      </w:pPr>
      <w:r w:rsidRPr="00E27E50">
        <w:rPr>
          <w:color w:val="auto"/>
          <w:lang w:val="fr-FR"/>
        </w:rPr>
        <w:t>Un autre sujet </w:t>
      </w:r>
      <w:r w:rsidR="00266E82" w:rsidRPr="00E27E50">
        <w:rPr>
          <w:color w:val="auto"/>
          <w:lang w:val="fr-FR"/>
        </w:rPr>
        <w:t>important</w:t>
      </w:r>
      <w:r w:rsidRPr="00E27E50">
        <w:rPr>
          <w:color w:val="auto"/>
          <w:lang w:val="fr-FR"/>
        </w:rPr>
        <w:t xml:space="preserve"> </w:t>
      </w:r>
      <w:r w:rsidR="00266E82" w:rsidRPr="00E27E50">
        <w:rPr>
          <w:color w:val="auto"/>
          <w:lang w:val="fr-FR"/>
        </w:rPr>
        <w:t>repris dans</w:t>
      </w:r>
      <w:r w:rsidRPr="00E27E50">
        <w:rPr>
          <w:color w:val="auto"/>
          <w:lang w:val="fr-FR"/>
        </w:rPr>
        <w:t xml:space="preserve"> la stratégie informatique </w:t>
      </w:r>
      <w:r w:rsidR="00266E82" w:rsidRPr="00E27E50">
        <w:rPr>
          <w:color w:val="auto"/>
          <w:lang w:val="fr-FR"/>
        </w:rPr>
        <w:t xml:space="preserve">est </w:t>
      </w:r>
      <w:r w:rsidRPr="00E27E50">
        <w:rPr>
          <w:color w:val="auto"/>
          <w:lang w:val="fr-FR"/>
        </w:rPr>
        <w:t>la migration des services IT sur le cloud. Ce</w:t>
      </w:r>
      <w:r w:rsidR="00266E82" w:rsidRPr="00E27E50">
        <w:rPr>
          <w:color w:val="auto"/>
          <w:lang w:val="fr-FR"/>
        </w:rPr>
        <w:t xml:space="preserve"> dernier est étroitement lié au projet d’implémentation du </w:t>
      </w:r>
      <w:r w:rsidRPr="00E27E50">
        <w:rPr>
          <w:color w:val="auto"/>
          <w:lang w:val="fr-FR"/>
        </w:rPr>
        <w:t>2</w:t>
      </w:r>
      <w:r w:rsidR="005A75F1" w:rsidRPr="005A75F1">
        <w:rPr>
          <w:color w:val="auto"/>
          <w:vertAlign w:val="superscript"/>
          <w:lang w:val="fr-FR"/>
        </w:rPr>
        <w:t>e</w:t>
      </w:r>
      <w:r w:rsidR="005A75F1">
        <w:rPr>
          <w:color w:val="auto"/>
          <w:lang w:val="fr-FR"/>
        </w:rPr>
        <w:t xml:space="preserve"> </w:t>
      </w:r>
      <w:r w:rsidRPr="00E27E50">
        <w:rPr>
          <w:color w:val="auto"/>
          <w:lang w:val="fr-FR"/>
        </w:rPr>
        <w:t xml:space="preserve">data center </w:t>
      </w:r>
      <w:r w:rsidR="00266E82" w:rsidRPr="00E27E50">
        <w:rPr>
          <w:color w:val="auto"/>
          <w:lang w:val="fr-FR"/>
        </w:rPr>
        <w:t xml:space="preserve">qui englobe le renforcement des </w:t>
      </w:r>
      <w:r w:rsidRPr="00E27E50">
        <w:rPr>
          <w:color w:val="auto"/>
          <w:lang w:val="fr-FR"/>
        </w:rPr>
        <w:t>backup</w:t>
      </w:r>
      <w:r w:rsidR="00266E82" w:rsidRPr="00E27E50">
        <w:rPr>
          <w:color w:val="auto"/>
          <w:lang w:val="fr-FR"/>
        </w:rPr>
        <w:t>s</w:t>
      </w:r>
      <w:r w:rsidRPr="00E27E50">
        <w:rPr>
          <w:color w:val="auto"/>
          <w:lang w:val="fr-FR"/>
        </w:rPr>
        <w:t xml:space="preserve"> </w:t>
      </w:r>
      <w:r w:rsidR="00266E82" w:rsidRPr="00E27E50">
        <w:rPr>
          <w:color w:val="auto"/>
          <w:lang w:val="fr-FR"/>
        </w:rPr>
        <w:t xml:space="preserve">et la mise en place d’un </w:t>
      </w:r>
      <w:proofErr w:type="spellStart"/>
      <w:r w:rsidRPr="00E27E50">
        <w:rPr>
          <w:color w:val="auto"/>
          <w:lang w:val="fr-FR"/>
        </w:rPr>
        <w:t>disaster</w:t>
      </w:r>
      <w:proofErr w:type="spellEnd"/>
      <w:r w:rsidRPr="00E27E50">
        <w:rPr>
          <w:color w:val="auto"/>
          <w:lang w:val="fr-FR"/>
        </w:rPr>
        <w:t xml:space="preserve"> </w:t>
      </w:r>
      <w:proofErr w:type="spellStart"/>
      <w:r w:rsidRPr="00E27E50">
        <w:rPr>
          <w:color w:val="auto"/>
          <w:lang w:val="fr-FR"/>
        </w:rPr>
        <w:t>recovery</w:t>
      </w:r>
      <w:proofErr w:type="spellEnd"/>
      <w:r w:rsidRPr="00E27E50">
        <w:rPr>
          <w:color w:val="auto"/>
          <w:lang w:val="fr-FR"/>
        </w:rPr>
        <w:t xml:space="preserve"> plan.</w:t>
      </w:r>
    </w:p>
    <w:p w:rsidR="00524E14" w:rsidRPr="00E27E50" w:rsidRDefault="00B8435D" w:rsidP="00524E14">
      <w:pPr>
        <w:pStyle w:val="Heading2"/>
        <w:numPr>
          <w:ilvl w:val="0"/>
          <w:numId w:val="3"/>
        </w:numPr>
      </w:pPr>
      <w:bookmarkStart w:id="25" w:name="_Toc2092707"/>
      <w:bookmarkStart w:id="26" w:name="_Toc447275084"/>
      <w:bookmarkStart w:id="27" w:name="_Toc4511371"/>
      <w:r w:rsidRPr="00E27E50">
        <w:t>Cellule Système et réseaux</w:t>
      </w:r>
      <w:bookmarkEnd w:id="25"/>
      <w:bookmarkEnd w:id="27"/>
    </w:p>
    <w:p w:rsidR="00E27E50" w:rsidRPr="00E27E50" w:rsidRDefault="00E27E50" w:rsidP="00E27E50">
      <w:pPr>
        <w:pStyle w:val="BodyText1"/>
        <w:rPr>
          <w:color w:val="auto"/>
          <w:lang w:val="fr-FR"/>
        </w:rPr>
      </w:pPr>
      <w:r w:rsidRPr="00E27E50">
        <w:rPr>
          <w:color w:val="auto"/>
          <w:lang w:val="fr-FR"/>
        </w:rPr>
        <w:t>En 2019, la cellule Système s</w:t>
      </w:r>
      <w:r w:rsidR="00C76E50">
        <w:rPr>
          <w:color w:val="auto"/>
          <w:lang w:val="fr-FR"/>
        </w:rPr>
        <w:t>’</w:t>
      </w:r>
      <w:r w:rsidRPr="00E27E50">
        <w:rPr>
          <w:color w:val="auto"/>
          <w:lang w:val="fr-FR"/>
        </w:rPr>
        <w:t>attaquera aux projets envisagés conformément à la liste révisée des priorités.</w:t>
      </w:r>
    </w:p>
    <w:p w:rsidR="00E27E50" w:rsidRPr="00E27E50" w:rsidRDefault="00E27E50" w:rsidP="00E27E50">
      <w:pPr>
        <w:pStyle w:val="BodyText1"/>
        <w:rPr>
          <w:color w:val="auto"/>
          <w:lang w:val="fr-FR"/>
        </w:rPr>
      </w:pPr>
      <w:r w:rsidRPr="00E27E50">
        <w:rPr>
          <w:color w:val="auto"/>
          <w:lang w:val="fr-FR"/>
        </w:rPr>
        <w:lastRenderedPageBreak/>
        <w:t>L</w:t>
      </w:r>
      <w:r w:rsidR="00C76E50">
        <w:rPr>
          <w:color w:val="auto"/>
          <w:lang w:val="fr-FR"/>
        </w:rPr>
        <w:t>’</w:t>
      </w:r>
      <w:r w:rsidRPr="00E27E50">
        <w:rPr>
          <w:color w:val="auto"/>
          <w:lang w:val="fr-FR"/>
        </w:rPr>
        <w:t>expérience a démontré que, d</w:t>
      </w:r>
      <w:r w:rsidR="00C76E50">
        <w:rPr>
          <w:color w:val="auto"/>
          <w:lang w:val="fr-FR"/>
        </w:rPr>
        <w:t>’</w:t>
      </w:r>
      <w:r w:rsidRPr="00E27E50">
        <w:rPr>
          <w:color w:val="auto"/>
          <w:lang w:val="fr-FR"/>
        </w:rPr>
        <w:t>un point de vue organisationnel, la planification, l</w:t>
      </w:r>
      <w:r w:rsidR="00C76E50">
        <w:rPr>
          <w:color w:val="auto"/>
          <w:lang w:val="fr-FR"/>
        </w:rPr>
        <w:t>’</w:t>
      </w:r>
      <w:r w:rsidRPr="00E27E50">
        <w:rPr>
          <w:color w:val="auto"/>
          <w:lang w:val="fr-FR"/>
        </w:rPr>
        <w:t>établissement des priorités et l</w:t>
      </w:r>
      <w:r w:rsidR="00C76E50">
        <w:rPr>
          <w:color w:val="auto"/>
          <w:lang w:val="fr-FR"/>
        </w:rPr>
        <w:t>’</w:t>
      </w:r>
      <w:r w:rsidRPr="00E27E50">
        <w:rPr>
          <w:color w:val="auto"/>
          <w:lang w:val="fr-FR"/>
        </w:rPr>
        <w:t>élaboration d</w:t>
      </w:r>
      <w:r w:rsidR="00C76E50">
        <w:rPr>
          <w:color w:val="auto"/>
          <w:lang w:val="fr-FR"/>
        </w:rPr>
        <w:t>’</w:t>
      </w:r>
      <w:r w:rsidRPr="00E27E50">
        <w:rPr>
          <w:color w:val="auto"/>
          <w:lang w:val="fr-FR"/>
        </w:rPr>
        <w:t>une politique doivent aller de pair avec la consultation et la participation. Il convient donc de collaborer avec les parties prenantes pour comprendre, appuyer et exprimer clairement la vision et les objectifs généraux de l</w:t>
      </w:r>
      <w:r w:rsidR="00C76E50">
        <w:rPr>
          <w:color w:val="auto"/>
          <w:lang w:val="fr-FR"/>
        </w:rPr>
        <w:t>’</w:t>
      </w:r>
      <w:r w:rsidRPr="00E27E50">
        <w:rPr>
          <w:color w:val="auto"/>
          <w:lang w:val="fr-FR"/>
        </w:rPr>
        <w:t xml:space="preserve">organisation. </w:t>
      </w:r>
    </w:p>
    <w:p w:rsidR="00E27E50" w:rsidRPr="00E27E50" w:rsidRDefault="00E27E50" w:rsidP="00E27E50">
      <w:pPr>
        <w:pStyle w:val="BodyText1"/>
        <w:rPr>
          <w:color w:val="auto"/>
          <w:lang w:val="fr-FR"/>
        </w:rPr>
      </w:pPr>
      <w:r w:rsidRPr="00E27E50">
        <w:rPr>
          <w:color w:val="auto"/>
          <w:lang w:val="fr-FR"/>
        </w:rPr>
        <w:t>La participation des différentes équipes informatiques aux discussions du groupe de stratégie informatique facilitera le développement d</w:t>
      </w:r>
      <w:r w:rsidR="00C76E50">
        <w:rPr>
          <w:color w:val="auto"/>
          <w:lang w:val="fr-FR"/>
        </w:rPr>
        <w:t>’</w:t>
      </w:r>
      <w:r w:rsidRPr="00E27E50">
        <w:rPr>
          <w:color w:val="auto"/>
          <w:lang w:val="fr-FR"/>
        </w:rPr>
        <w:t>un portefeuille plus large et d</w:t>
      </w:r>
      <w:r w:rsidR="00C76E50">
        <w:rPr>
          <w:color w:val="auto"/>
          <w:lang w:val="fr-FR"/>
        </w:rPr>
        <w:t>’</w:t>
      </w:r>
      <w:r w:rsidRPr="00E27E50">
        <w:rPr>
          <w:color w:val="auto"/>
          <w:lang w:val="fr-FR"/>
        </w:rPr>
        <w:t>une liste qualitative des besoins des écoles. Il sera ensuite possible de comparer ceux-ci à l</w:t>
      </w:r>
      <w:r w:rsidR="00C76E50">
        <w:rPr>
          <w:color w:val="auto"/>
          <w:lang w:val="fr-FR"/>
        </w:rPr>
        <w:t>’</w:t>
      </w:r>
      <w:r w:rsidRPr="00E27E50">
        <w:rPr>
          <w:color w:val="auto"/>
          <w:lang w:val="fr-FR"/>
        </w:rPr>
        <w:t>offre de TIC, afin de voir dans quelle mesure l</w:t>
      </w:r>
      <w:r w:rsidR="00C76E50">
        <w:rPr>
          <w:color w:val="auto"/>
          <w:lang w:val="fr-FR"/>
        </w:rPr>
        <w:t>’</w:t>
      </w:r>
      <w:r w:rsidRPr="00E27E50">
        <w:rPr>
          <w:color w:val="auto"/>
          <w:lang w:val="fr-FR"/>
        </w:rPr>
        <w:t>architecture informatique, la stratégie d</w:t>
      </w:r>
      <w:r w:rsidR="00C76E50">
        <w:rPr>
          <w:color w:val="auto"/>
          <w:lang w:val="fr-FR"/>
        </w:rPr>
        <w:t>’</w:t>
      </w:r>
      <w:r w:rsidRPr="00E27E50">
        <w:rPr>
          <w:color w:val="auto"/>
          <w:lang w:val="fr-FR"/>
        </w:rPr>
        <w:t>achat et les ressources disponibles correspondent aux besoins.</w:t>
      </w:r>
    </w:p>
    <w:p w:rsidR="00E27E50" w:rsidRPr="00E27E50" w:rsidRDefault="00E27E50" w:rsidP="00E27E50">
      <w:pPr>
        <w:pStyle w:val="BodyText1"/>
        <w:rPr>
          <w:color w:val="auto"/>
          <w:lang w:val="fr-FR"/>
        </w:rPr>
      </w:pPr>
      <w:r w:rsidRPr="00E27E50">
        <w:rPr>
          <w:color w:val="auto"/>
          <w:lang w:val="fr-FR"/>
        </w:rPr>
        <w:t>La nouvelle stratégie informatique doit être approuvée dans le cadre d</w:t>
      </w:r>
      <w:r w:rsidR="00C76E50">
        <w:rPr>
          <w:color w:val="auto"/>
          <w:lang w:val="fr-FR"/>
        </w:rPr>
        <w:t>’</w:t>
      </w:r>
      <w:r w:rsidRPr="00E27E50">
        <w:rPr>
          <w:color w:val="auto"/>
          <w:lang w:val="fr-FR"/>
        </w:rPr>
        <w:t>une révision du budget et du programme qui reposera sur des piliers essentiels comme la communication, l</w:t>
      </w:r>
      <w:r w:rsidR="00C76E50">
        <w:rPr>
          <w:color w:val="auto"/>
          <w:lang w:val="fr-FR"/>
        </w:rPr>
        <w:t>’</w:t>
      </w:r>
      <w:r w:rsidRPr="00E27E50">
        <w:rPr>
          <w:color w:val="auto"/>
          <w:lang w:val="fr-FR"/>
        </w:rPr>
        <w:t>efficience opérationnelle, l</w:t>
      </w:r>
      <w:r w:rsidR="00C76E50">
        <w:rPr>
          <w:color w:val="auto"/>
          <w:lang w:val="fr-FR"/>
        </w:rPr>
        <w:t>’</w:t>
      </w:r>
      <w:r w:rsidRPr="00E27E50">
        <w:rPr>
          <w:color w:val="auto"/>
          <w:lang w:val="fr-FR"/>
        </w:rPr>
        <w:t>efficacité du programme ou l</w:t>
      </w:r>
      <w:r w:rsidR="00C76E50">
        <w:rPr>
          <w:color w:val="auto"/>
          <w:lang w:val="fr-FR"/>
        </w:rPr>
        <w:t>’</w:t>
      </w:r>
      <w:r w:rsidRPr="00E27E50">
        <w:rPr>
          <w:color w:val="auto"/>
          <w:lang w:val="fr-FR"/>
        </w:rPr>
        <w:t>utilisation novatrice de la technologie.</w:t>
      </w:r>
    </w:p>
    <w:p w:rsidR="00E27E50" w:rsidRPr="00E27E50" w:rsidRDefault="00E27E50" w:rsidP="00E27E50">
      <w:pPr>
        <w:pStyle w:val="BodyText1"/>
        <w:rPr>
          <w:color w:val="auto"/>
          <w:lang w:val="fr-FR"/>
        </w:rPr>
      </w:pPr>
      <w:r w:rsidRPr="00E27E50">
        <w:rPr>
          <w:color w:val="auto"/>
          <w:lang w:val="fr-FR"/>
        </w:rPr>
        <w:t>D</w:t>
      </w:r>
      <w:r w:rsidR="00C76E50">
        <w:rPr>
          <w:color w:val="auto"/>
          <w:lang w:val="fr-FR"/>
        </w:rPr>
        <w:t>’</w:t>
      </w:r>
      <w:r w:rsidRPr="00E27E50">
        <w:rPr>
          <w:color w:val="auto"/>
          <w:lang w:val="fr-FR"/>
        </w:rPr>
        <w:t>un point de vue technique, l</w:t>
      </w:r>
      <w:r w:rsidR="00C76E50">
        <w:rPr>
          <w:color w:val="auto"/>
          <w:lang w:val="fr-FR"/>
        </w:rPr>
        <w:t>’</w:t>
      </w:r>
      <w:r w:rsidRPr="00E27E50">
        <w:rPr>
          <w:color w:val="auto"/>
          <w:lang w:val="fr-FR"/>
        </w:rPr>
        <w:t>adoption du cloud s</w:t>
      </w:r>
      <w:r w:rsidR="00C76E50">
        <w:rPr>
          <w:color w:val="auto"/>
          <w:lang w:val="fr-FR"/>
        </w:rPr>
        <w:t>’</w:t>
      </w:r>
      <w:r w:rsidRPr="00E27E50">
        <w:rPr>
          <w:color w:val="auto"/>
          <w:lang w:val="fr-FR"/>
        </w:rPr>
        <w:t>est poursuivie avec la multiplication des services fournis par Office 365 (la principale plateforme de collaboration pour l</w:t>
      </w:r>
      <w:r w:rsidR="00C76E50">
        <w:rPr>
          <w:color w:val="auto"/>
          <w:lang w:val="fr-FR"/>
        </w:rPr>
        <w:t>’</w:t>
      </w:r>
      <w:r w:rsidRPr="00E27E50">
        <w:rPr>
          <w:color w:val="auto"/>
          <w:lang w:val="fr-FR"/>
        </w:rPr>
        <w:t>éducation) et la migration de SAP en 2018. La mobilité du personnel, y compris la validation de principe basée sur la VDI/RDS (Virtual Desktop Infrastructure/</w:t>
      </w:r>
      <w:proofErr w:type="spellStart"/>
      <w:r w:rsidRPr="00E27E50">
        <w:rPr>
          <w:color w:val="auto"/>
          <w:lang w:val="fr-FR"/>
        </w:rPr>
        <w:t>Remote</w:t>
      </w:r>
      <w:proofErr w:type="spellEnd"/>
      <w:r w:rsidRPr="00E27E50">
        <w:rPr>
          <w:color w:val="auto"/>
          <w:lang w:val="fr-FR"/>
        </w:rPr>
        <w:t xml:space="preserve"> Desktop Services), est mise en place dans le cloud et s</w:t>
      </w:r>
      <w:r w:rsidR="00C76E50">
        <w:rPr>
          <w:color w:val="auto"/>
          <w:lang w:val="fr-FR"/>
        </w:rPr>
        <w:t>’</w:t>
      </w:r>
      <w:r w:rsidRPr="00E27E50">
        <w:rPr>
          <w:color w:val="auto"/>
          <w:lang w:val="fr-FR"/>
        </w:rPr>
        <w:t>est ajoutée à la liste.</w:t>
      </w:r>
    </w:p>
    <w:p w:rsidR="00E27E50" w:rsidRPr="00E27E50" w:rsidRDefault="00E27E50" w:rsidP="00E27E50">
      <w:pPr>
        <w:pStyle w:val="BodyText1"/>
        <w:rPr>
          <w:color w:val="auto"/>
          <w:lang w:val="fr-FR"/>
        </w:rPr>
      </w:pPr>
      <w:r w:rsidRPr="00E27E50">
        <w:rPr>
          <w:color w:val="auto"/>
          <w:lang w:val="fr-FR"/>
        </w:rPr>
        <w:t>Le cloud, largement utilisé, pourrait offrir des solutions pour la mise en œuvre d</w:t>
      </w:r>
      <w:r w:rsidR="00C76E50">
        <w:rPr>
          <w:color w:val="auto"/>
          <w:lang w:val="fr-FR"/>
        </w:rPr>
        <w:t>’</w:t>
      </w:r>
      <w:r w:rsidRPr="00E27E50">
        <w:rPr>
          <w:color w:val="auto"/>
          <w:lang w:val="fr-FR"/>
        </w:rPr>
        <w:t>une stratégie et d</w:t>
      </w:r>
      <w:r w:rsidR="00C76E50">
        <w:rPr>
          <w:color w:val="auto"/>
          <w:lang w:val="fr-FR"/>
        </w:rPr>
        <w:t>’</w:t>
      </w:r>
      <w:r w:rsidRPr="00E27E50">
        <w:rPr>
          <w:color w:val="auto"/>
          <w:lang w:val="fr-FR"/>
        </w:rPr>
        <w:t>une solution de sauvegarde. La communication unifiée (Skype For Business), actuellement hébergée en interne, pourrait également être intégrée à un système téléphonique basé sur le cloud pour une meilleure résilience avec un investissement minimal. Le cloud est plus qu</w:t>
      </w:r>
      <w:r w:rsidR="00C76E50">
        <w:rPr>
          <w:color w:val="auto"/>
          <w:lang w:val="fr-FR"/>
        </w:rPr>
        <w:t>’</w:t>
      </w:r>
      <w:r w:rsidRPr="00E27E50">
        <w:rPr>
          <w:color w:val="auto"/>
          <w:lang w:val="fr-FR"/>
        </w:rPr>
        <w:t>une tendance</w:t>
      </w:r>
      <w:r w:rsidR="00C76E50">
        <w:rPr>
          <w:color w:val="auto"/>
          <w:lang w:val="fr-FR"/>
        </w:rPr>
        <w:t> </w:t>
      </w:r>
      <w:r w:rsidRPr="00E27E50">
        <w:rPr>
          <w:color w:val="auto"/>
          <w:lang w:val="fr-FR"/>
        </w:rPr>
        <w:t>: il permet d</w:t>
      </w:r>
      <w:r w:rsidR="00C76E50">
        <w:rPr>
          <w:color w:val="auto"/>
          <w:lang w:val="fr-FR"/>
        </w:rPr>
        <w:t>’</w:t>
      </w:r>
      <w:r w:rsidRPr="00E27E50">
        <w:rPr>
          <w:color w:val="auto"/>
          <w:lang w:val="fr-FR"/>
        </w:rPr>
        <w:t>éviter de consacrer beaucoup de temps et d</w:t>
      </w:r>
      <w:r w:rsidR="00C76E50">
        <w:rPr>
          <w:color w:val="auto"/>
          <w:lang w:val="fr-FR"/>
        </w:rPr>
        <w:t>’</w:t>
      </w:r>
      <w:r w:rsidRPr="00E27E50">
        <w:rPr>
          <w:color w:val="auto"/>
          <w:lang w:val="fr-FR"/>
        </w:rPr>
        <w:t>énergie à la maintenance interne de la technologie. Il pourrait réduire considérablement cette dépendance et ainsi libérer du temps pour d</w:t>
      </w:r>
      <w:r w:rsidR="00C76E50">
        <w:rPr>
          <w:color w:val="auto"/>
          <w:lang w:val="fr-FR"/>
        </w:rPr>
        <w:t>’</w:t>
      </w:r>
      <w:r w:rsidRPr="00E27E50">
        <w:rPr>
          <w:color w:val="auto"/>
          <w:lang w:val="fr-FR"/>
        </w:rPr>
        <w:t>autres tâches.</w:t>
      </w:r>
    </w:p>
    <w:p w:rsidR="00E27E50" w:rsidRPr="00E27E50" w:rsidRDefault="00E27E50" w:rsidP="00E27E50">
      <w:pPr>
        <w:pStyle w:val="BodyText1"/>
        <w:rPr>
          <w:color w:val="auto"/>
          <w:lang w:val="fr-FR"/>
        </w:rPr>
      </w:pPr>
      <w:r w:rsidRPr="00E27E50">
        <w:rPr>
          <w:color w:val="auto"/>
          <w:lang w:val="fr-FR"/>
        </w:rPr>
        <w:t>L</w:t>
      </w:r>
      <w:r w:rsidR="00C76E50">
        <w:rPr>
          <w:color w:val="auto"/>
          <w:lang w:val="fr-FR"/>
        </w:rPr>
        <w:t>’</w:t>
      </w:r>
      <w:r w:rsidRPr="00E27E50">
        <w:rPr>
          <w:color w:val="auto"/>
          <w:lang w:val="fr-FR"/>
        </w:rPr>
        <w:t>accent sera alors à nouveau mis sur le déploiement d</w:t>
      </w:r>
      <w:r w:rsidR="00C76E50">
        <w:rPr>
          <w:color w:val="auto"/>
          <w:lang w:val="fr-FR"/>
        </w:rPr>
        <w:t>’</w:t>
      </w:r>
      <w:r w:rsidRPr="00E27E50">
        <w:rPr>
          <w:color w:val="auto"/>
          <w:lang w:val="fr-FR"/>
        </w:rPr>
        <w:t>EURSC.EU dans les Ecoles européennes et le démantèlement d</w:t>
      </w:r>
      <w:r w:rsidR="00C76E50">
        <w:rPr>
          <w:color w:val="auto"/>
          <w:lang w:val="fr-FR"/>
        </w:rPr>
        <w:t>’</w:t>
      </w:r>
      <w:r w:rsidRPr="00E27E50">
        <w:rPr>
          <w:color w:val="auto"/>
          <w:lang w:val="fr-FR"/>
        </w:rPr>
        <w:t>EURSC.ORG. Afin de mieux structurer ce projet, une feuille de route fournira une description claire et documentée de toutes les étapes essentielles de la transition vers EURSC.EU. Cette feuille de route sera préparée puis transmise au groupe Stratégie informatique. Elle clarifiera la situation actuelle, et elle définira l</w:t>
      </w:r>
      <w:r w:rsidR="00C76E50">
        <w:rPr>
          <w:color w:val="auto"/>
          <w:lang w:val="fr-FR"/>
        </w:rPr>
        <w:t>’</w:t>
      </w:r>
      <w:r w:rsidRPr="00E27E50">
        <w:rPr>
          <w:color w:val="auto"/>
          <w:lang w:val="fr-FR"/>
        </w:rPr>
        <w:t>objectif principal et surtout le temps nécessaire pour l</w:t>
      </w:r>
      <w:r w:rsidR="00C76E50">
        <w:rPr>
          <w:color w:val="auto"/>
          <w:lang w:val="fr-FR"/>
        </w:rPr>
        <w:t>’</w:t>
      </w:r>
      <w:r w:rsidRPr="00E27E50">
        <w:rPr>
          <w:color w:val="auto"/>
          <w:lang w:val="fr-FR"/>
        </w:rPr>
        <w:t>atteindre.</w:t>
      </w:r>
    </w:p>
    <w:p w:rsidR="00E27E50" w:rsidRPr="00E27E50" w:rsidRDefault="00E27E50" w:rsidP="00E27E50">
      <w:pPr>
        <w:pStyle w:val="BodyText1"/>
        <w:rPr>
          <w:color w:val="auto"/>
          <w:lang w:val="fr-FR"/>
        </w:rPr>
      </w:pPr>
      <w:r w:rsidRPr="00E27E50">
        <w:rPr>
          <w:color w:val="auto"/>
          <w:lang w:val="fr-FR"/>
        </w:rPr>
        <w:t>En 2019, il sera impératif de gérer la connectivité de manière stratégique. Le réseau deviendra le centre névralgique de notre système. Des outils de gestion de la connectivité et de calcul de la largeur de bande minimale seront nécessaires pour assurer les services. Un de nos principaux objectifs est de garantir à chacun la connectivité et l</w:t>
      </w:r>
      <w:r w:rsidR="00C76E50">
        <w:rPr>
          <w:color w:val="auto"/>
          <w:lang w:val="fr-FR"/>
        </w:rPr>
        <w:t>’</w:t>
      </w:r>
      <w:r w:rsidRPr="00E27E50">
        <w:rPr>
          <w:color w:val="auto"/>
          <w:lang w:val="fr-FR"/>
        </w:rPr>
        <w:t>accès à l</w:t>
      </w:r>
      <w:r w:rsidR="00C76E50">
        <w:rPr>
          <w:color w:val="auto"/>
          <w:lang w:val="fr-FR"/>
        </w:rPr>
        <w:t>’</w:t>
      </w:r>
      <w:r w:rsidRPr="00E27E50">
        <w:rPr>
          <w:color w:val="auto"/>
          <w:lang w:val="fr-FR"/>
        </w:rPr>
        <w:t>information et aux systèmes, où qu</w:t>
      </w:r>
      <w:r w:rsidR="00C76E50">
        <w:rPr>
          <w:color w:val="auto"/>
          <w:lang w:val="fr-FR"/>
        </w:rPr>
        <w:t>’</w:t>
      </w:r>
      <w:r w:rsidRPr="00E27E50">
        <w:rPr>
          <w:color w:val="auto"/>
          <w:lang w:val="fr-FR"/>
        </w:rPr>
        <w:t>il soit et quel que soit son rôle.</w:t>
      </w:r>
    </w:p>
    <w:p w:rsidR="00E27E50" w:rsidRPr="00E27E50" w:rsidRDefault="00E27E50" w:rsidP="00E27E50">
      <w:pPr>
        <w:pStyle w:val="BodyText1"/>
        <w:rPr>
          <w:color w:val="auto"/>
          <w:lang w:val="fr-FR"/>
        </w:rPr>
      </w:pPr>
    </w:p>
    <w:p w:rsidR="00E27E50" w:rsidRPr="00E27E50" w:rsidRDefault="00E27E50" w:rsidP="00E27E50">
      <w:pPr>
        <w:pStyle w:val="BodyText1"/>
        <w:rPr>
          <w:color w:val="auto"/>
          <w:lang w:val="fr-FR"/>
        </w:rPr>
      </w:pPr>
      <w:r w:rsidRPr="00E27E50">
        <w:rPr>
          <w:color w:val="auto"/>
          <w:lang w:val="fr-FR"/>
        </w:rPr>
        <w:lastRenderedPageBreak/>
        <w:t>En ce qui concerne la résistance aux catastrophes et la préparation aux situations d</w:t>
      </w:r>
      <w:r w:rsidR="00C76E50">
        <w:rPr>
          <w:color w:val="auto"/>
          <w:lang w:val="fr-FR"/>
        </w:rPr>
        <w:t>’</w:t>
      </w:r>
      <w:r w:rsidRPr="00E27E50">
        <w:rPr>
          <w:color w:val="auto"/>
          <w:lang w:val="fr-FR"/>
        </w:rPr>
        <w:t>urgence, l</w:t>
      </w:r>
      <w:r w:rsidR="00C76E50">
        <w:rPr>
          <w:color w:val="auto"/>
          <w:lang w:val="fr-FR"/>
        </w:rPr>
        <w:t>’</w:t>
      </w:r>
      <w:r w:rsidRPr="00E27E50">
        <w:rPr>
          <w:color w:val="auto"/>
          <w:lang w:val="fr-FR"/>
        </w:rPr>
        <w:t>infrastructure doit encore être améliorée. La solution qui facilite le redéploiement rapide des serveurs, applications et services doit être revue et optimisée.</w:t>
      </w:r>
    </w:p>
    <w:p w:rsidR="00E27E50" w:rsidRPr="00E27E50" w:rsidRDefault="00E27E50" w:rsidP="00E27E50">
      <w:pPr>
        <w:pStyle w:val="BodyText1"/>
        <w:rPr>
          <w:color w:val="auto"/>
          <w:lang w:val="fr-FR"/>
        </w:rPr>
      </w:pPr>
      <w:bookmarkStart w:id="28" w:name="_Toc2092708"/>
      <w:r w:rsidRPr="00E27E50">
        <w:rPr>
          <w:color w:val="auto"/>
          <w:lang w:val="fr-FR"/>
        </w:rPr>
        <w:t>Toujours dans le cadre de l</w:t>
      </w:r>
      <w:r w:rsidR="00C76E50">
        <w:rPr>
          <w:color w:val="auto"/>
          <w:lang w:val="fr-FR"/>
        </w:rPr>
        <w:t>’</w:t>
      </w:r>
      <w:r w:rsidRPr="00E27E50">
        <w:rPr>
          <w:color w:val="auto"/>
          <w:lang w:val="fr-FR"/>
        </w:rPr>
        <w:t>amélioration de la disponibilité des services, une attention particulière sera accordée aux serveurs de bases de données. Grâce au programme Microsoft Support Premier et sur la base de l</w:t>
      </w:r>
      <w:r w:rsidR="00C76E50">
        <w:rPr>
          <w:color w:val="auto"/>
          <w:lang w:val="fr-FR"/>
        </w:rPr>
        <w:t>’</w:t>
      </w:r>
      <w:r w:rsidRPr="00E27E50">
        <w:rPr>
          <w:color w:val="auto"/>
          <w:lang w:val="fr-FR"/>
        </w:rPr>
        <w:t>évaluation des risques qui en résultera, un planning sera établi pour consolider l</w:t>
      </w:r>
      <w:r w:rsidR="00C76E50">
        <w:rPr>
          <w:color w:val="auto"/>
          <w:lang w:val="fr-FR"/>
        </w:rPr>
        <w:t>’</w:t>
      </w:r>
      <w:r w:rsidRPr="00E27E50">
        <w:rPr>
          <w:color w:val="auto"/>
          <w:lang w:val="fr-FR"/>
        </w:rPr>
        <w:t>environnement en fonction des ressources disponibles. Afin de contrôler le processus d</w:t>
      </w:r>
      <w:r w:rsidR="00C76E50">
        <w:rPr>
          <w:color w:val="auto"/>
          <w:lang w:val="fr-FR"/>
        </w:rPr>
        <w:t>’</w:t>
      </w:r>
      <w:r w:rsidRPr="00E27E50">
        <w:rPr>
          <w:color w:val="auto"/>
          <w:lang w:val="fr-FR"/>
        </w:rPr>
        <w:t>assurance de la grande disponibilité des bases de données et de valider la solution, des tests de basculement seront planifiés et orchestrés. La partie restauration des bases de données et le temps moyen de restauration s</w:t>
      </w:r>
      <w:r w:rsidR="00C76E50">
        <w:rPr>
          <w:color w:val="auto"/>
          <w:lang w:val="fr-FR"/>
        </w:rPr>
        <w:t>’</w:t>
      </w:r>
      <w:r w:rsidRPr="00E27E50">
        <w:rPr>
          <w:color w:val="auto"/>
          <w:lang w:val="fr-FR"/>
        </w:rPr>
        <w:t>inscriront dans un plan global lié à la mise en œuvre d</w:t>
      </w:r>
      <w:r w:rsidR="00C76E50">
        <w:rPr>
          <w:color w:val="auto"/>
          <w:lang w:val="fr-FR"/>
        </w:rPr>
        <w:t>’</w:t>
      </w:r>
      <w:r w:rsidRPr="00E27E50">
        <w:rPr>
          <w:color w:val="auto"/>
          <w:lang w:val="fr-FR"/>
        </w:rPr>
        <w:t>une stratégie et d</w:t>
      </w:r>
      <w:r w:rsidR="00C76E50">
        <w:rPr>
          <w:color w:val="auto"/>
          <w:lang w:val="fr-FR"/>
        </w:rPr>
        <w:t>’</w:t>
      </w:r>
      <w:r w:rsidRPr="00E27E50">
        <w:rPr>
          <w:color w:val="auto"/>
          <w:lang w:val="fr-FR"/>
        </w:rPr>
        <w:t>une solution de sauvegarde pour toute la structure.</w:t>
      </w:r>
    </w:p>
    <w:p w:rsidR="00E27E50" w:rsidRPr="00E27E50" w:rsidRDefault="00E27E50" w:rsidP="00E27E50">
      <w:pPr>
        <w:pStyle w:val="BodyText1"/>
        <w:rPr>
          <w:color w:val="auto"/>
          <w:lang w:val="fr-FR"/>
        </w:rPr>
      </w:pPr>
      <w:r w:rsidRPr="00E27E50">
        <w:rPr>
          <w:color w:val="auto"/>
          <w:lang w:val="fr-FR"/>
        </w:rPr>
        <w:t>L</w:t>
      </w:r>
      <w:r w:rsidR="00C76E50">
        <w:rPr>
          <w:color w:val="auto"/>
          <w:lang w:val="fr-FR"/>
        </w:rPr>
        <w:t>’</w:t>
      </w:r>
      <w:r w:rsidRPr="00E27E50">
        <w:rPr>
          <w:color w:val="auto"/>
          <w:lang w:val="fr-FR"/>
        </w:rPr>
        <w:t>accélération des progrès technologiques risque d</w:t>
      </w:r>
      <w:r w:rsidR="00C76E50">
        <w:rPr>
          <w:color w:val="auto"/>
          <w:lang w:val="fr-FR"/>
        </w:rPr>
        <w:t>’</w:t>
      </w:r>
      <w:r w:rsidRPr="00E27E50">
        <w:rPr>
          <w:color w:val="auto"/>
          <w:lang w:val="fr-FR"/>
        </w:rPr>
        <w:t>engendrer un déficit de compétences informatiques. Les nouvelles technologies impliquent de nouvelles compétences. C</w:t>
      </w:r>
      <w:r w:rsidR="00C76E50">
        <w:rPr>
          <w:color w:val="auto"/>
          <w:lang w:val="fr-FR"/>
        </w:rPr>
        <w:t>’</w:t>
      </w:r>
      <w:r w:rsidRPr="00E27E50">
        <w:rPr>
          <w:color w:val="auto"/>
          <w:lang w:val="fr-FR"/>
        </w:rPr>
        <w:t>est pourquoi un solide plan de formation pour les membres de la cellule Système et Réseaux devrait être mis en place. Les nouvelles technologies nécessitent constamment des spécialistes formés et vigilants.</w:t>
      </w:r>
    </w:p>
    <w:p w:rsidR="003D72A4" w:rsidRPr="00E27E50" w:rsidRDefault="00B8435D" w:rsidP="00DA432B">
      <w:pPr>
        <w:pStyle w:val="Heading2"/>
        <w:numPr>
          <w:ilvl w:val="0"/>
          <w:numId w:val="3"/>
        </w:numPr>
      </w:pPr>
      <w:bookmarkStart w:id="29" w:name="_Toc4511372"/>
      <w:r w:rsidRPr="00E27E50">
        <w:t xml:space="preserve">Cellule </w:t>
      </w:r>
      <w:r w:rsidR="003D72A4" w:rsidRPr="00E27E50">
        <w:t>Développement et Statistiques</w:t>
      </w:r>
      <w:bookmarkEnd w:id="28"/>
      <w:bookmarkEnd w:id="29"/>
    </w:p>
    <w:p w:rsidR="0067286C" w:rsidRPr="00E27E50" w:rsidRDefault="0067286C" w:rsidP="00637B4B">
      <w:pPr>
        <w:pStyle w:val="BodyText1"/>
        <w:rPr>
          <w:color w:val="auto"/>
          <w:lang w:val="fr-FR"/>
        </w:rPr>
      </w:pPr>
      <w:r w:rsidRPr="00E27E50">
        <w:rPr>
          <w:color w:val="auto"/>
          <w:lang w:val="fr-FR"/>
        </w:rPr>
        <w:t>Suite aux réunions du groupe de stratégie IT-ADM, les projets ont été revus et chaque projet a reçu un ordre de priorité basé sur l’impact sur le système des écoles européennes. Ceci était nécessaire afin de mieux organiser le travail par rapport aux ressources et aux délais.</w:t>
      </w:r>
    </w:p>
    <w:p w:rsidR="003D72A4" w:rsidRPr="00E27E50" w:rsidRDefault="003D72A4" w:rsidP="00700528">
      <w:pPr>
        <w:pStyle w:val="Heading3"/>
        <w:numPr>
          <w:ilvl w:val="1"/>
          <w:numId w:val="33"/>
        </w:numPr>
        <w:rPr>
          <w:lang w:val="fr-FR"/>
        </w:rPr>
      </w:pPr>
      <w:r w:rsidRPr="00E27E50">
        <w:rPr>
          <w:lang w:val="fr-FR"/>
        </w:rPr>
        <w:t>ACI</w:t>
      </w:r>
    </w:p>
    <w:p w:rsidR="003D72A4" w:rsidRPr="00E27E50" w:rsidRDefault="003D72A4" w:rsidP="00655EB6">
      <w:pPr>
        <w:pStyle w:val="BodyText1"/>
        <w:rPr>
          <w:color w:val="auto"/>
          <w:lang w:val="fr-FR"/>
        </w:rPr>
      </w:pPr>
      <w:r w:rsidRPr="00E27E50">
        <w:rPr>
          <w:color w:val="auto"/>
          <w:lang w:val="fr-FR"/>
        </w:rPr>
        <w:t>Un groupe de travail va être constitué pour définir les nouvelles fonctionnalités dont auront besoin les écoles bruxelloises et l’ACI. Suite à cette analyse, plusieurs solutions pourront être envisagées :</w:t>
      </w:r>
    </w:p>
    <w:p w:rsidR="003D72A4" w:rsidRPr="00E27E50" w:rsidRDefault="003D72A4" w:rsidP="003D72A4">
      <w:pPr>
        <w:pStyle w:val="ListParagraph"/>
        <w:numPr>
          <w:ilvl w:val="0"/>
          <w:numId w:val="5"/>
        </w:numPr>
        <w:spacing w:after="160" w:line="259" w:lineRule="auto"/>
        <w:jc w:val="left"/>
        <w:rPr>
          <w:lang w:val="fr-FR"/>
        </w:rPr>
      </w:pPr>
      <w:r w:rsidRPr="00E27E50">
        <w:rPr>
          <w:lang w:val="fr-FR"/>
        </w:rPr>
        <w:t>Soit trouver une solution existante,</w:t>
      </w:r>
    </w:p>
    <w:p w:rsidR="003D72A4" w:rsidRPr="00E27E50" w:rsidRDefault="003D72A4" w:rsidP="003D72A4">
      <w:pPr>
        <w:pStyle w:val="ListParagraph"/>
        <w:numPr>
          <w:ilvl w:val="0"/>
          <w:numId w:val="5"/>
        </w:numPr>
        <w:spacing w:after="160" w:line="259" w:lineRule="auto"/>
        <w:jc w:val="left"/>
        <w:rPr>
          <w:lang w:val="fr-FR"/>
        </w:rPr>
      </w:pPr>
      <w:r w:rsidRPr="00E27E50">
        <w:rPr>
          <w:lang w:val="fr-FR"/>
        </w:rPr>
        <w:t>Soit externaliser le développement de cette nouvelle application,</w:t>
      </w:r>
    </w:p>
    <w:p w:rsidR="003D72A4" w:rsidRPr="00E27E50" w:rsidRDefault="003D72A4" w:rsidP="003D72A4">
      <w:pPr>
        <w:pStyle w:val="ListParagraph"/>
        <w:numPr>
          <w:ilvl w:val="0"/>
          <w:numId w:val="5"/>
        </w:numPr>
        <w:spacing w:after="160" w:line="259" w:lineRule="auto"/>
        <w:jc w:val="left"/>
        <w:rPr>
          <w:lang w:val="fr-FR"/>
        </w:rPr>
      </w:pPr>
      <w:r w:rsidRPr="00E27E50">
        <w:rPr>
          <w:lang w:val="fr-FR"/>
        </w:rPr>
        <w:t>Soit engager de la consultance pour travailler avec l’unité IT pour le développement d’une solution.</w:t>
      </w:r>
    </w:p>
    <w:p w:rsidR="003D72A4" w:rsidRPr="00E27E50" w:rsidRDefault="003D72A4" w:rsidP="00700528">
      <w:pPr>
        <w:pStyle w:val="Heading3"/>
        <w:numPr>
          <w:ilvl w:val="1"/>
          <w:numId w:val="33"/>
        </w:numPr>
        <w:rPr>
          <w:lang w:val="fr-FR"/>
        </w:rPr>
      </w:pPr>
      <w:r w:rsidRPr="00E27E50">
        <w:rPr>
          <w:lang w:val="fr-FR"/>
        </w:rPr>
        <w:t xml:space="preserve">Plateforme de statistiques </w:t>
      </w:r>
    </w:p>
    <w:p w:rsidR="003D72A4" w:rsidRPr="00E27E50" w:rsidRDefault="003D72A4" w:rsidP="00655EB6">
      <w:pPr>
        <w:pStyle w:val="BodyText1"/>
        <w:rPr>
          <w:color w:val="auto"/>
          <w:lang w:val="fr-FR"/>
        </w:rPr>
      </w:pPr>
      <w:r w:rsidRPr="00E27E50">
        <w:rPr>
          <w:color w:val="auto"/>
          <w:lang w:val="fr-FR"/>
        </w:rPr>
        <w:t xml:space="preserve">Travailler sur l’analyse et la conception d’un </w:t>
      </w:r>
      <w:proofErr w:type="spellStart"/>
      <w:r w:rsidRPr="00E27E50">
        <w:rPr>
          <w:color w:val="auto"/>
          <w:lang w:val="fr-FR"/>
        </w:rPr>
        <w:t>Datawarehouse</w:t>
      </w:r>
      <w:proofErr w:type="spellEnd"/>
      <w:r w:rsidRPr="00E27E50">
        <w:rPr>
          <w:color w:val="auto"/>
          <w:lang w:val="fr-FR"/>
        </w:rPr>
        <w:t xml:space="preserve"> qui permettra une meilleure qualité des données servant aux différentes statistiques, rapports</w:t>
      </w:r>
      <w:r w:rsidR="005A75F1">
        <w:rPr>
          <w:color w:val="auto"/>
          <w:lang w:val="fr-FR"/>
        </w:rPr>
        <w:t>..</w:t>
      </w:r>
      <w:r w:rsidRPr="00E27E50">
        <w:rPr>
          <w:color w:val="auto"/>
          <w:lang w:val="fr-FR"/>
        </w:rPr>
        <w:t>.</w:t>
      </w:r>
    </w:p>
    <w:p w:rsidR="003D72A4" w:rsidRPr="00E27E50" w:rsidRDefault="003D72A4" w:rsidP="00655EB6">
      <w:pPr>
        <w:pStyle w:val="BodyText1"/>
        <w:rPr>
          <w:color w:val="auto"/>
          <w:lang w:val="fr-FR"/>
        </w:rPr>
      </w:pPr>
      <w:r w:rsidRPr="00E27E50">
        <w:rPr>
          <w:color w:val="auto"/>
          <w:lang w:val="fr-FR"/>
        </w:rPr>
        <w:lastRenderedPageBreak/>
        <w:t xml:space="preserve">Mise à jour de la nouvelle version de l’outil SAP Business Object. </w:t>
      </w:r>
    </w:p>
    <w:p w:rsidR="003D72A4" w:rsidRPr="00E27E50" w:rsidRDefault="003D72A4" w:rsidP="00700528">
      <w:pPr>
        <w:pStyle w:val="Heading3"/>
        <w:numPr>
          <w:ilvl w:val="1"/>
          <w:numId w:val="33"/>
        </w:numPr>
        <w:rPr>
          <w:lang w:val="fr-FR"/>
        </w:rPr>
      </w:pPr>
      <w:r w:rsidRPr="00E27E50">
        <w:rPr>
          <w:lang w:val="fr-FR"/>
        </w:rPr>
        <w:t>Plateforme de collaboration à finalité administrative</w:t>
      </w:r>
      <w:r w:rsidR="000E2140" w:rsidRPr="00E27E50">
        <w:rPr>
          <w:lang w:val="fr-FR"/>
        </w:rPr>
        <w:t xml:space="preserve"> (</w:t>
      </w:r>
      <w:r w:rsidRPr="00E27E50">
        <w:rPr>
          <w:lang w:val="fr-FR"/>
        </w:rPr>
        <w:t>SharePoint</w:t>
      </w:r>
      <w:r w:rsidR="000E2140" w:rsidRPr="00E27E50">
        <w:rPr>
          <w:lang w:val="fr-FR"/>
        </w:rPr>
        <w:t>)</w:t>
      </w:r>
    </w:p>
    <w:p w:rsidR="003D72A4" w:rsidRPr="00E27E50" w:rsidRDefault="003D72A4" w:rsidP="00655EB6">
      <w:pPr>
        <w:pStyle w:val="BodyText1"/>
        <w:rPr>
          <w:color w:val="auto"/>
          <w:lang w:val="fr-FR"/>
        </w:rPr>
      </w:pPr>
      <w:r w:rsidRPr="00E27E50">
        <w:rPr>
          <w:color w:val="auto"/>
          <w:lang w:val="fr-FR"/>
        </w:rPr>
        <w:t>Finaliser le site SharePoint pour que toutes les écoles l’utilisent pour le partage des documents servant pour les conseils d’administration.</w:t>
      </w:r>
      <w:r w:rsidR="00655EB6" w:rsidRPr="00E27E50">
        <w:rPr>
          <w:color w:val="auto"/>
          <w:lang w:val="fr-FR"/>
        </w:rPr>
        <w:t xml:space="preserve"> </w:t>
      </w:r>
      <w:r w:rsidRPr="00E27E50">
        <w:rPr>
          <w:color w:val="auto"/>
          <w:lang w:val="fr-FR"/>
        </w:rPr>
        <w:t>Des formations sont prévues en matière de gouvernance autour du déploiement de la technologie SharePoint.</w:t>
      </w:r>
    </w:p>
    <w:p w:rsidR="000E2140" w:rsidRPr="00E27E50" w:rsidRDefault="000E2140" w:rsidP="00655EB6">
      <w:pPr>
        <w:pStyle w:val="BodyText1"/>
        <w:rPr>
          <w:color w:val="auto"/>
          <w:lang w:val="fr-FR"/>
        </w:rPr>
      </w:pPr>
    </w:p>
    <w:p w:rsidR="00E27E50" w:rsidRPr="00E27E50" w:rsidRDefault="00E27E50" w:rsidP="00E27E50">
      <w:pPr>
        <w:pStyle w:val="Heading1"/>
        <w:rPr>
          <w:lang w:val="fr-FR"/>
        </w:rPr>
      </w:pPr>
      <w:bookmarkStart w:id="30" w:name="_Toc2092709"/>
      <w:bookmarkStart w:id="31" w:name="_Toc4511373"/>
      <w:r w:rsidRPr="00E27E50">
        <w:rPr>
          <w:bCs/>
          <w:lang w:val="fr-FR"/>
        </w:rPr>
        <w:t>TIC et Protection des données</w:t>
      </w:r>
      <w:bookmarkEnd w:id="30"/>
      <w:bookmarkEnd w:id="31"/>
    </w:p>
    <w:p w:rsidR="00E27E50" w:rsidRPr="00E27E50" w:rsidRDefault="00E27E50" w:rsidP="00E27E50">
      <w:pPr>
        <w:pStyle w:val="BodyText1"/>
        <w:rPr>
          <w:color w:val="auto"/>
          <w:lang w:val="fr-FR"/>
        </w:rPr>
      </w:pPr>
      <w:r w:rsidRPr="00E27E50">
        <w:rPr>
          <w:color w:val="auto"/>
          <w:lang w:val="fr-FR"/>
        </w:rPr>
        <w:t>Le RGPD doit être respecté depuis mai 2018. Bien évidemment, le respect du RGPD est de la plus haute importance dans le domaine informatique.</w:t>
      </w:r>
    </w:p>
    <w:p w:rsidR="00E27E50" w:rsidRPr="00E27E50" w:rsidRDefault="00E27E50" w:rsidP="00E27E50">
      <w:pPr>
        <w:pStyle w:val="BodyText1"/>
        <w:rPr>
          <w:color w:val="auto"/>
          <w:lang w:val="fr-FR"/>
        </w:rPr>
      </w:pPr>
      <w:r w:rsidRPr="00E27E50">
        <w:rPr>
          <w:color w:val="auto"/>
          <w:lang w:val="fr-FR"/>
        </w:rPr>
        <w:t>L</w:t>
      </w:r>
      <w:r w:rsidR="00C76E50">
        <w:rPr>
          <w:color w:val="auto"/>
          <w:lang w:val="fr-FR"/>
        </w:rPr>
        <w:t>’</w:t>
      </w:r>
      <w:r w:rsidRPr="00E27E50">
        <w:rPr>
          <w:color w:val="auto"/>
          <w:lang w:val="fr-FR"/>
        </w:rPr>
        <w:t>Unité Informatique a l</w:t>
      </w:r>
      <w:r w:rsidR="00C76E50">
        <w:rPr>
          <w:color w:val="auto"/>
          <w:lang w:val="fr-FR"/>
        </w:rPr>
        <w:t>’</w:t>
      </w:r>
      <w:r w:rsidRPr="00E27E50">
        <w:rPr>
          <w:color w:val="auto"/>
          <w:lang w:val="fr-FR"/>
        </w:rPr>
        <w:t>intention d</w:t>
      </w:r>
      <w:r w:rsidR="00C76E50">
        <w:rPr>
          <w:color w:val="auto"/>
          <w:lang w:val="fr-FR"/>
        </w:rPr>
        <w:t>’</w:t>
      </w:r>
      <w:r w:rsidRPr="00E27E50">
        <w:rPr>
          <w:color w:val="auto"/>
          <w:lang w:val="fr-FR"/>
        </w:rPr>
        <w:t>associer dès le début le délégué à la protection des données du BSG aux nouveaux projets afin de concevoir de nouvelles applications conformes aux exigences du RGPD.</w:t>
      </w:r>
    </w:p>
    <w:p w:rsidR="00E27E50" w:rsidRPr="00E27E50" w:rsidRDefault="00E27E50" w:rsidP="00E27E50">
      <w:pPr>
        <w:pStyle w:val="BodyText1"/>
        <w:rPr>
          <w:color w:val="auto"/>
          <w:lang w:val="fr-FR"/>
        </w:rPr>
      </w:pPr>
      <w:r w:rsidRPr="00E27E50">
        <w:rPr>
          <w:color w:val="auto"/>
          <w:lang w:val="fr-FR"/>
        </w:rPr>
        <w:t>En outre, dans le contexte du renouvellement des contrats existants et de la conclusion de nouveaux contrats avec des fournisseurs externes, il conviendra de veiller, en coopération avec le DPD et la cellule marchés publics, à ce que ces contrats prévoient les normes de protection des données requises par le RGPD.</w:t>
      </w:r>
    </w:p>
    <w:p w:rsidR="00E27E50" w:rsidRPr="00E27E50" w:rsidRDefault="00E27E50" w:rsidP="00E27E50">
      <w:pPr>
        <w:pStyle w:val="BodyText1"/>
        <w:rPr>
          <w:color w:val="auto"/>
          <w:lang w:val="fr-FR"/>
        </w:rPr>
      </w:pPr>
      <w:r w:rsidRPr="00E27E50">
        <w:rPr>
          <w:color w:val="auto"/>
          <w:lang w:val="fr-FR"/>
        </w:rPr>
        <w:t>Cette politique a déjà été appliquée en 2018 dans le cadre du renouvellement du contrat avec Microsoft.</w:t>
      </w:r>
    </w:p>
    <w:p w:rsidR="000E2140" w:rsidRPr="00E27E50" w:rsidRDefault="000E2140" w:rsidP="000E2140">
      <w:pPr>
        <w:rPr>
          <w:color w:val="auto"/>
          <w:lang w:val="fr-FR"/>
        </w:rPr>
      </w:pPr>
    </w:p>
    <w:p w:rsidR="000E2140" w:rsidRPr="00E27E50" w:rsidRDefault="000E2140" w:rsidP="00655EB6">
      <w:pPr>
        <w:pStyle w:val="BodyText1"/>
        <w:rPr>
          <w:color w:val="auto"/>
          <w:lang w:val="fr-FR"/>
        </w:rPr>
      </w:pPr>
    </w:p>
    <w:p w:rsidR="000E2140" w:rsidRPr="00E27E50" w:rsidRDefault="00CA5003" w:rsidP="00392E9D">
      <w:pPr>
        <w:pStyle w:val="Heading1"/>
        <w:ind w:left="360"/>
        <w:rPr>
          <w:lang w:val="fr-FR"/>
        </w:rPr>
      </w:pPr>
      <w:r w:rsidRPr="00E27E50">
        <w:rPr>
          <w:lang w:val="fr-FR"/>
        </w:rPr>
        <w:br w:type="page"/>
      </w:r>
    </w:p>
    <w:p w:rsidR="00CA5003" w:rsidRPr="00E27E50" w:rsidRDefault="00F20568" w:rsidP="000E2140">
      <w:pPr>
        <w:pStyle w:val="Heading1"/>
        <w:rPr>
          <w:lang w:val="fr-FR"/>
        </w:rPr>
      </w:pPr>
      <w:bookmarkStart w:id="32" w:name="_Toc2092710"/>
      <w:bookmarkStart w:id="33" w:name="_Toc4511374"/>
      <w:r w:rsidRPr="00E27E50">
        <w:rPr>
          <w:lang w:val="fr-FR"/>
        </w:rPr>
        <w:lastRenderedPageBreak/>
        <w:t>Situation de l’u</w:t>
      </w:r>
      <w:r w:rsidR="00B05175" w:rsidRPr="00E27E50">
        <w:rPr>
          <w:lang w:val="fr-FR"/>
        </w:rPr>
        <w:t xml:space="preserve">nité informatique &amp; </w:t>
      </w:r>
      <w:r w:rsidR="004C665C" w:rsidRPr="00E27E50">
        <w:rPr>
          <w:lang w:val="fr-FR"/>
        </w:rPr>
        <w:t>statistiques du BSGEE</w:t>
      </w:r>
      <w:bookmarkEnd w:id="26"/>
      <w:bookmarkEnd w:id="32"/>
      <w:bookmarkEnd w:id="33"/>
      <w:r w:rsidR="00CA5003" w:rsidRPr="00E27E50">
        <w:rPr>
          <w:lang w:val="fr-FR"/>
        </w:rPr>
        <w:t xml:space="preserve"> </w:t>
      </w:r>
    </w:p>
    <w:p w:rsidR="00CA5003" w:rsidRPr="00E27E50" w:rsidRDefault="000E2140" w:rsidP="000E2140">
      <w:pPr>
        <w:pStyle w:val="Heading2"/>
      </w:pPr>
      <w:bookmarkStart w:id="34" w:name="_Toc2092712"/>
      <w:bookmarkStart w:id="35" w:name="_Toc4511375"/>
      <w:r w:rsidRPr="00E27E50">
        <w:t>Cellule Système et réseaux</w:t>
      </w:r>
      <w:bookmarkEnd w:id="34"/>
      <w:bookmarkEnd w:id="35"/>
    </w:p>
    <w:p w:rsidR="00F476F8" w:rsidRPr="00E27E50" w:rsidRDefault="00F476F8" w:rsidP="00F476F8">
      <w:pPr>
        <w:rPr>
          <w:lang w:val="fr-FR"/>
        </w:rPr>
      </w:pPr>
    </w:p>
    <w:p w:rsidR="00E27E50" w:rsidRPr="00E27E50" w:rsidRDefault="00E27E50" w:rsidP="00E27E50">
      <w:pPr>
        <w:rPr>
          <w:lang w:val="fr-FR"/>
        </w:rPr>
      </w:pPr>
      <w:bookmarkStart w:id="36" w:name="_Toc2072837"/>
      <w:bookmarkStart w:id="37" w:name="_Toc2092714"/>
      <w:r w:rsidRPr="00E27E50">
        <w:rPr>
          <w:lang w:val="fr-FR"/>
        </w:rPr>
        <w:t>Le Conseil supérieur a accepté de créer un poste supplémentaire d</w:t>
      </w:r>
      <w:r w:rsidR="00C76E50">
        <w:rPr>
          <w:lang w:val="fr-FR"/>
        </w:rPr>
        <w:t>’</w:t>
      </w:r>
      <w:r w:rsidRPr="00E27E50">
        <w:rPr>
          <w:lang w:val="fr-FR"/>
        </w:rPr>
        <w:t>assistant-informaticien pour la cellule Système.</w:t>
      </w:r>
    </w:p>
    <w:p w:rsidR="00E27E50" w:rsidRPr="00E27E50" w:rsidRDefault="00E27E50" w:rsidP="00E27E50">
      <w:pPr>
        <w:rPr>
          <w:lang w:val="fr-FR"/>
        </w:rPr>
      </w:pPr>
    </w:p>
    <w:p w:rsidR="00E27E50" w:rsidRPr="00E27E50" w:rsidRDefault="00E27E50" w:rsidP="00E27E50">
      <w:pPr>
        <w:rPr>
          <w:lang w:val="fr-FR"/>
        </w:rPr>
      </w:pPr>
      <w:r w:rsidRPr="00E27E50">
        <w:rPr>
          <w:lang w:val="fr-FR"/>
        </w:rPr>
        <w:t>Malgré divers efforts, il n</w:t>
      </w:r>
      <w:r w:rsidR="00C76E50">
        <w:rPr>
          <w:lang w:val="fr-FR"/>
        </w:rPr>
        <w:t>’</w:t>
      </w:r>
      <w:r w:rsidRPr="00E27E50">
        <w:rPr>
          <w:lang w:val="fr-FR"/>
        </w:rPr>
        <w:t>a pas été possible de pourvoir ce poste en 2018. En outre, un autre poste d</w:t>
      </w:r>
      <w:r w:rsidR="00C76E50">
        <w:rPr>
          <w:lang w:val="fr-FR"/>
        </w:rPr>
        <w:t>’</w:t>
      </w:r>
      <w:r w:rsidRPr="00E27E50">
        <w:rPr>
          <w:lang w:val="fr-FR"/>
        </w:rPr>
        <w:t>assistant-informaticien au sein de la cellule Système est devenu vacant en 2018, et ce nouveau poste vacant n</w:t>
      </w:r>
      <w:r w:rsidR="00C76E50">
        <w:rPr>
          <w:lang w:val="fr-FR"/>
        </w:rPr>
        <w:t>’</w:t>
      </w:r>
      <w:r w:rsidRPr="00E27E50">
        <w:rPr>
          <w:lang w:val="fr-FR"/>
        </w:rPr>
        <w:t>a pu être pourvu non plus.</w:t>
      </w:r>
    </w:p>
    <w:p w:rsidR="00E27E50" w:rsidRPr="00E27E50" w:rsidRDefault="00E27E50" w:rsidP="00E27E50">
      <w:pPr>
        <w:rPr>
          <w:lang w:val="fr-FR"/>
        </w:rPr>
      </w:pPr>
    </w:p>
    <w:p w:rsidR="00E27E50" w:rsidRPr="00E27E50" w:rsidRDefault="00E27E50" w:rsidP="00E27E50">
      <w:pPr>
        <w:rPr>
          <w:lang w:val="fr-FR"/>
        </w:rPr>
      </w:pPr>
      <w:r w:rsidRPr="00E27E50">
        <w:rPr>
          <w:lang w:val="fr-FR"/>
        </w:rPr>
        <w:t>Ces deux cas illustrent le manque d</w:t>
      </w:r>
      <w:r w:rsidR="00C76E50">
        <w:rPr>
          <w:lang w:val="fr-FR"/>
        </w:rPr>
        <w:t>’</w:t>
      </w:r>
      <w:r w:rsidRPr="00E27E50">
        <w:rPr>
          <w:lang w:val="fr-FR"/>
        </w:rPr>
        <w:t>attractivité des Ecoles européennes quant à certaines fonctions administratives qui nécessitent un haut niveau de spécialisation.</w:t>
      </w:r>
    </w:p>
    <w:p w:rsidR="00E27E50" w:rsidRPr="00E27E50" w:rsidRDefault="00E27E50" w:rsidP="00E27E50">
      <w:pPr>
        <w:rPr>
          <w:lang w:val="fr-FR"/>
        </w:rPr>
      </w:pPr>
    </w:p>
    <w:p w:rsidR="00E27E50" w:rsidRPr="00E27E50" w:rsidRDefault="00E27E50" w:rsidP="00E27E50">
      <w:pPr>
        <w:rPr>
          <w:lang w:val="fr-FR"/>
        </w:rPr>
      </w:pPr>
      <w:r w:rsidRPr="00E27E50">
        <w:rPr>
          <w:lang w:val="fr-FR"/>
        </w:rPr>
        <w:t>Ces problèmes ont été exposés dans le document 2018-10-D-69-fr-3, qui a été présenté au Conseil supérieur en décembre 2018.</w:t>
      </w:r>
    </w:p>
    <w:p w:rsidR="00E27E50" w:rsidRPr="00E27E50" w:rsidRDefault="00E27E50" w:rsidP="00E27E50">
      <w:pPr>
        <w:rPr>
          <w:lang w:val="fr-FR"/>
        </w:rPr>
      </w:pPr>
    </w:p>
    <w:p w:rsidR="00E27E50" w:rsidRPr="00E27E50" w:rsidRDefault="00E27E50" w:rsidP="00E27E50">
      <w:pPr>
        <w:rPr>
          <w:lang w:val="fr-FR"/>
        </w:rPr>
      </w:pPr>
      <w:r w:rsidRPr="00E27E50">
        <w:rPr>
          <w:lang w:val="fr-FR"/>
        </w:rPr>
        <w:t>Une mesure importante pour remédier à cette situation sera liée à la «</w:t>
      </w:r>
      <w:r w:rsidR="00C76E50">
        <w:rPr>
          <w:lang w:val="fr-FR"/>
        </w:rPr>
        <w:t> </w:t>
      </w:r>
      <w:r w:rsidRPr="00E27E50">
        <w:rPr>
          <w:lang w:val="fr-FR"/>
        </w:rPr>
        <w:t>Réforme du système de rémunération et d</w:t>
      </w:r>
      <w:r w:rsidR="00C76E50">
        <w:rPr>
          <w:lang w:val="fr-FR"/>
        </w:rPr>
        <w:t>’</w:t>
      </w:r>
      <w:r w:rsidRPr="00E27E50">
        <w:rPr>
          <w:lang w:val="fr-FR"/>
        </w:rPr>
        <w:t>avancement du PAS</w:t>
      </w:r>
      <w:r w:rsidR="00C76E50">
        <w:rPr>
          <w:lang w:val="fr-FR"/>
        </w:rPr>
        <w:t> </w:t>
      </w:r>
      <w:r w:rsidRPr="00E27E50">
        <w:rPr>
          <w:lang w:val="fr-FR"/>
        </w:rPr>
        <w:t>» (voir le document 2019-02-D-30-fr-2), qui devrait être adoptée par le Conseil supérieur en avril 2019. Ce nouveau système offrira à la direction une certaine marge de manœuvre quant au salaire initial. En outre, il renforcera les efforts visant à retenir le personnel qualifié.</w:t>
      </w:r>
    </w:p>
    <w:p w:rsidR="00723641" w:rsidRPr="00E27E50" w:rsidRDefault="00723641" w:rsidP="00723641">
      <w:pPr>
        <w:pStyle w:val="Heading2"/>
      </w:pPr>
      <w:bookmarkStart w:id="38" w:name="_Toc2092711"/>
      <w:bookmarkStart w:id="39" w:name="_Toc2092713"/>
      <w:bookmarkStart w:id="40" w:name="_Toc4511376"/>
      <w:r w:rsidRPr="00E27E50">
        <w:t>Cellule Développement</w:t>
      </w:r>
      <w:bookmarkEnd w:id="38"/>
      <w:bookmarkEnd w:id="40"/>
    </w:p>
    <w:p w:rsidR="00723641" w:rsidRPr="00E27E50" w:rsidRDefault="00723641" w:rsidP="00723641">
      <w:pPr>
        <w:pStyle w:val="BodyText1"/>
        <w:rPr>
          <w:color w:val="auto"/>
          <w:lang w:val="fr-FR"/>
        </w:rPr>
      </w:pPr>
      <w:r w:rsidRPr="00E27E50">
        <w:rPr>
          <w:color w:val="auto"/>
          <w:lang w:val="fr-FR"/>
        </w:rPr>
        <w:t xml:space="preserve">En 2018, deux nouvelles personnes sont venues renforcer la cellule. </w:t>
      </w:r>
    </w:p>
    <w:p w:rsidR="00723641" w:rsidRPr="00E27E50" w:rsidRDefault="00723641" w:rsidP="00723641">
      <w:pPr>
        <w:pStyle w:val="ListParagraph"/>
        <w:numPr>
          <w:ilvl w:val="0"/>
          <w:numId w:val="6"/>
        </w:numPr>
        <w:spacing w:after="160" w:line="259" w:lineRule="auto"/>
        <w:jc w:val="left"/>
        <w:rPr>
          <w:lang w:val="fr-FR"/>
        </w:rPr>
      </w:pPr>
      <w:r w:rsidRPr="00E27E50">
        <w:rPr>
          <w:lang w:val="fr-FR"/>
        </w:rPr>
        <w:t xml:space="preserve">Une personne avec le profil développeur – Full </w:t>
      </w:r>
      <w:proofErr w:type="spellStart"/>
      <w:r w:rsidRPr="00E27E50">
        <w:rPr>
          <w:lang w:val="fr-FR"/>
        </w:rPr>
        <w:t>Stack</w:t>
      </w:r>
      <w:proofErr w:type="spellEnd"/>
      <w:r w:rsidRPr="00E27E50">
        <w:rPr>
          <w:lang w:val="fr-FR"/>
        </w:rPr>
        <w:t>.</w:t>
      </w:r>
    </w:p>
    <w:p w:rsidR="00723641" w:rsidRPr="00E27E50" w:rsidRDefault="00723641" w:rsidP="00723641">
      <w:pPr>
        <w:pStyle w:val="ListParagraph"/>
        <w:numPr>
          <w:ilvl w:val="0"/>
          <w:numId w:val="6"/>
        </w:numPr>
        <w:spacing w:after="160" w:line="259" w:lineRule="auto"/>
        <w:jc w:val="left"/>
        <w:rPr>
          <w:lang w:val="fr-FR"/>
        </w:rPr>
      </w:pPr>
      <w:r w:rsidRPr="00E27E50">
        <w:rPr>
          <w:lang w:val="fr-FR"/>
        </w:rPr>
        <w:t xml:space="preserve">Une personne avec le profil Data Base </w:t>
      </w:r>
      <w:proofErr w:type="spellStart"/>
      <w:r w:rsidRPr="00E27E50">
        <w:rPr>
          <w:lang w:val="fr-FR"/>
        </w:rPr>
        <w:t>Administrator</w:t>
      </w:r>
      <w:proofErr w:type="spellEnd"/>
      <w:r w:rsidRPr="00E27E50">
        <w:rPr>
          <w:lang w:val="fr-FR"/>
        </w:rPr>
        <w:t>.</w:t>
      </w:r>
    </w:p>
    <w:p w:rsidR="00723641" w:rsidRPr="00E27E50" w:rsidRDefault="00723641" w:rsidP="00723641">
      <w:pPr>
        <w:pStyle w:val="BodyText1"/>
        <w:rPr>
          <w:color w:val="auto"/>
          <w:lang w:val="fr-FR"/>
        </w:rPr>
      </w:pPr>
      <w:r w:rsidRPr="00E27E50">
        <w:rPr>
          <w:color w:val="auto"/>
          <w:lang w:val="fr-FR"/>
        </w:rPr>
        <w:t xml:space="preserve">Ces deux personnes ont obtenu un contrat à durée déterminée de 2 ans et étaient dédiées pour la conception d’un Master Data. Vu le retard de cette application, d’autres tâches ont été assignées à ces personnes. </w:t>
      </w:r>
    </w:p>
    <w:p w:rsidR="00723641" w:rsidRPr="00E27E50" w:rsidRDefault="00723641" w:rsidP="00723641">
      <w:pPr>
        <w:pStyle w:val="BodyText1"/>
        <w:rPr>
          <w:color w:val="auto"/>
          <w:lang w:val="fr-FR"/>
        </w:rPr>
      </w:pPr>
      <w:r w:rsidRPr="00E27E50">
        <w:rPr>
          <w:color w:val="auto"/>
          <w:lang w:val="fr-FR"/>
        </w:rPr>
        <w:t>En avril 2019, le conseil supérieur sera demandé de transformer les deux postes temporaires en postes permanents.</w:t>
      </w:r>
    </w:p>
    <w:p w:rsidR="00E27E50" w:rsidRPr="00E27E50" w:rsidRDefault="00E27E50" w:rsidP="00E27E50">
      <w:pPr>
        <w:pStyle w:val="Heading2"/>
      </w:pPr>
      <w:bookmarkStart w:id="41" w:name="_Toc4511377"/>
      <w:r w:rsidRPr="00E27E50">
        <w:rPr>
          <w:bCs/>
        </w:rPr>
        <w:t>Cellule Service Desk</w:t>
      </w:r>
      <w:bookmarkEnd w:id="39"/>
      <w:bookmarkEnd w:id="41"/>
    </w:p>
    <w:p w:rsidR="00E27E50" w:rsidRPr="00E27E50" w:rsidRDefault="00E27E50" w:rsidP="00E27E50">
      <w:pPr>
        <w:jc w:val="left"/>
        <w:rPr>
          <w:lang w:val="fr-FR"/>
        </w:rPr>
      </w:pPr>
    </w:p>
    <w:p w:rsidR="00E27E50" w:rsidRPr="00E27E50" w:rsidRDefault="00E27E50" w:rsidP="00E27E50">
      <w:pPr>
        <w:rPr>
          <w:lang w:val="fr-FR"/>
        </w:rPr>
      </w:pPr>
      <w:r w:rsidRPr="00E27E50">
        <w:rPr>
          <w:lang w:val="fr-FR"/>
        </w:rPr>
        <w:t>Le Service Desk (service d</w:t>
      </w:r>
      <w:r w:rsidR="00C76E50">
        <w:rPr>
          <w:lang w:val="fr-FR"/>
        </w:rPr>
        <w:t>’</w:t>
      </w:r>
      <w:r w:rsidRPr="00E27E50">
        <w:rPr>
          <w:lang w:val="fr-FR"/>
        </w:rPr>
        <w:t>assistance) est composé d</w:t>
      </w:r>
      <w:r w:rsidR="00C76E50">
        <w:rPr>
          <w:lang w:val="fr-FR"/>
        </w:rPr>
        <w:t>’</w:t>
      </w:r>
      <w:r w:rsidRPr="00E27E50">
        <w:rPr>
          <w:lang w:val="fr-FR"/>
        </w:rPr>
        <w:t>un chef de cellule par intérim et de deux informaticiens. Un des deux postes d</w:t>
      </w:r>
      <w:r w:rsidR="00C76E50">
        <w:rPr>
          <w:lang w:val="fr-FR"/>
        </w:rPr>
        <w:t>’</w:t>
      </w:r>
      <w:r w:rsidRPr="00E27E50">
        <w:rPr>
          <w:lang w:val="fr-FR"/>
        </w:rPr>
        <w:t xml:space="preserve">informaticiens a été créé par le Conseil supérieur en avril 2017 à titre temporaire. </w:t>
      </w:r>
    </w:p>
    <w:p w:rsidR="00E27E50" w:rsidRPr="00E27E50" w:rsidRDefault="00E27E50" w:rsidP="00E27E50">
      <w:pPr>
        <w:rPr>
          <w:lang w:val="fr-FR"/>
        </w:rPr>
      </w:pPr>
    </w:p>
    <w:p w:rsidR="00E27E50" w:rsidRPr="00E27E50" w:rsidRDefault="00E27E50" w:rsidP="00E27E50">
      <w:pPr>
        <w:rPr>
          <w:lang w:val="fr-FR"/>
        </w:rPr>
      </w:pPr>
      <w:r w:rsidRPr="00E27E50">
        <w:rPr>
          <w:lang w:val="fr-FR"/>
        </w:rPr>
        <w:lastRenderedPageBreak/>
        <w:t>En avril 2019, il sera demandé au Conseil supérieur de transformer ce poste temporaire en un poste permanent. En outre, il lui sera demandé de nous accorder un troisième poste.</w:t>
      </w:r>
    </w:p>
    <w:p w:rsidR="00E27E50" w:rsidRPr="00E27E50" w:rsidRDefault="00E27E50" w:rsidP="00E27E50">
      <w:pPr>
        <w:rPr>
          <w:lang w:val="fr-FR"/>
        </w:rPr>
      </w:pPr>
    </w:p>
    <w:p w:rsidR="00E27E50" w:rsidRPr="00E27E50" w:rsidRDefault="00E27E50" w:rsidP="00E27E50">
      <w:pPr>
        <w:rPr>
          <w:lang w:val="fr-FR"/>
        </w:rPr>
      </w:pPr>
      <w:r w:rsidRPr="00E27E50">
        <w:rPr>
          <w:lang w:val="fr-FR"/>
        </w:rPr>
        <w:t>Cela permettra au BSG d</w:t>
      </w:r>
      <w:r w:rsidR="00C76E50">
        <w:rPr>
          <w:lang w:val="fr-FR"/>
        </w:rPr>
        <w:t>’</w:t>
      </w:r>
      <w:r w:rsidRPr="00E27E50">
        <w:rPr>
          <w:lang w:val="fr-FR"/>
        </w:rPr>
        <w:t>assurer au système un support fiable et suffisant dans le domaine informatique, qui est en pleine expansion.</w:t>
      </w:r>
    </w:p>
    <w:p w:rsidR="000E2140" w:rsidRPr="00E27E50" w:rsidRDefault="000E2140" w:rsidP="000E2140">
      <w:pPr>
        <w:pStyle w:val="Heading2"/>
        <w:ind w:left="720" w:hanging="720"/>
      </w:pPr>
      <w:bookmarkStart w:id="42" w:name="_Toc4511378"/>
      <w:r w:rsidRPr="00E27E50">
        <w:t>Délégation aux équipes locales IT des écoles</w:t>
      </w:r>
      <w:bookmarkEnd w:id="36"/>
      <w:bookmarkEnd w:id="37"/>
      <w:bookmarkEnd w:id="42"/>
      <w:r w:rsidRPr="00E27E50">
        <w:t xml:space="preserve"> </w:t>
      </w:r>
    </w:p>
    <w:p w:rsidR="000E2140" w:rsidRPr="00E27E50" w:rsidRDefault="000E2140" w:rsidP="000E2140">
      <w:pPr>
        <w:jc w:val="left"/>
        <w:rPr>
          <w:rFonts w:eastAsiaTheme="majorEastAsia" w:cstheme="majorBidi"/>
          <w:color w:val="686657"/>
          <w:sz w:val="30"/>
          <w:szCs w:val="24"/>
          <w:lang w:val="fr-FR"/>
        </w:rPr>
      </w:pPr>
    </w:p>
    <w:p w:rsidR="00E27E50" w:rsidRPr="00723641" w:rsidRDefault="00E27E50" w:rsidP="00723641">
      <w:pPr>
        <w:rPr>
          <w:lang w:val="fr-FR"/>
        </w:rPr>
      </w:pPr>
      <w:r w:rsidRPr="00723641">
        <w:rPr>
          <w:lang w:val="fr-FR"/>
        </w:rPr>
        <w:t>Compte tenu du nombre croissant de petits, moyens et grands projets informatiques, il est important de renforcer la coopération avec les 13 écoles et leurs équipes informatiques et de créer des synergies.</w:t>
      </w:r>
    </w:p>
    <w:p w:rsidR="00E27E50" w:rsidRPr="00723641" w:rsidRDefault="00E27E50" w:rsidP="00723641">
      <w:pPr>
        <w:rPr>
          <w:lang w:val="fr-FR"/>
        </w:rPr>
      </w:pPr>
    </w:p>
    <w:p w:rsidR="00E27E50" w:rsidRPr="00723641" w:rsidRDefault="00E27E50" w:rsidP="00723641">
      <w:pPr>
        <w:rPr>
          <w:lang w:val="fr-FR"/>
        </w:rPr>
      </w:pPr>
      <w:r w:rsidRPr="00723641">
        <w:rPr>
          <w:lang w:val="fr-FR"/>
        </w:rPr>
        <w:t xml:space="preserve">La première étape consistera à analyser avec les spécialistes en informatique des écoles les domaines dans lesquels des changements pourraient être prévus et testés au niveau local afin de les partager ensuite au sein du système des Ecoles européennes. </w:t>
      </w:r>
    </w:p>
    <w:p w:rsidR="00B946A5" w:rsidRPr="00723641" w:rsidRDefault="000E2140" w:rsidP="00723641">
      <w:pPr>
        <w:rPr>
          <w:lang w:val="fr-FR"/>
        </w:rPr>
      </w:pPr>
      <w:r w:rsidRPr="00E27E50">
        <w:rPr>
          <w:lang w:val="fr-FR"/>
        </w:rPr>
        <w:br w:type="page"/>
      </w:r>
      <w:bookmarkStart w:id="43" w:name="_Toc447275085"/>
    </w:p>
    <w:p w:rsidR="00AB27ED" w:rsidRPr="00E27E50" w:rsidRDefault="00AB27ED" w:rsidP="00BD65A4">
      <w:pPr>
        <w:pStyle w:val="Heading1"/>
        <w:rPr>
          <w:lang w:val="fr-FR"/>
        </w:rPr>
      </w:pPr>
      <w:bookmarkStart w:id="44" w:name="_Toc2092715"/>
      <w:bookmarkStart w:id="45" w:name="_Toc4511379"/>
      <w:r w:rsidRPr="00E27E50">
        <w:rPr>
          <w:lang w:val="fr-FR"/>
        </w:rPr>
        <w:lastRenderedPageBreak/>
        <w:t xml:space="preserve">Répartition du matériel ICT dans les </w:t>
      </w:r>
      <w:r w:rsidR="00463084" w:rsidRPr="00E27E50">
        <w:rPr>
          <w:lang w:val="fr-FR"/>
        </w:rPr>
        <w:t xml:space="preserve">écoles </w:t>
      </w:r>
      <w:r w:rsidR="0050624F" w:rsidRPr="00E27E50">
        <w:rPr>
          <w:lang w:val="fr-FR"/>
        </w:rPr>
        <w:t>au 31/12/201</w:t>
      </w:r>
      <w:bookmarkEnd w:id="43"/>
      <w:r w:rsidR="00D4183F" w:rsidRPr="00E27E50">
        <w:rPr>
          <w:lang w:val="fr-FR"/>
        </w:rPr>
        <w:t>8</w:t>
      </w:r>
      <w:bookmarkEnd w:id="44"/>
      <w:bookmarkEnd w:id="45"/>
    </w:p>
    <w:p w:rsidR="00BD65A4" w:rsidRPr="00E27E50" w:rsidRDefault="00BD65A4" w:rsidP="00957F98">
      <w:pPr>
        <w:pStyle w:val="Closing"/>
        <w:ind w:left="0"/>
        <w:jc w:val="center"/>
        <w:rPr>
          <w:color w:val="444239"/>
          <w:sz w:val="16"/>
          <w:szCs w:val="16"/>
        </w:rPr>
      </w:pPr>
      <w:r w:rsidRPr="00E27E50">
        <w:rPr>
          <w:color w:val="444239"/>
          <w:sz w:val="16"/>
          <w:szCs w:val="16"/>
        </w:rPr>
        <w:t>PC = nombre d</w:t>
      </w:r>
      <w:r w:rsidR="00C76E50">
        <w:rPr>
          <w:color w:val="444239"/>
          <w:sz w:val="16"/>
          <w:szCs w:val="16"/>
        </w:rPr>
        <w:t>’</w:t>
      </w:r>
      <w:r w:rsidRPr="00E27E50">
        <w:rPr>
          <w:color w:val="444239"/>
          <w:sz w:val="16"/>
          <w:szCs w:val="16"/>
        </w:rPr>
        <w:t>ordinateurs personnels</w:t>
      </w:r>
      <w:r w:rsidR="00C76E50">
        <w:rPr>
          <w:color w:val="444239"/>
          <w:sz w:val="16"/>
          <w:szCs w:val="16"/>
        </w:rPr>
        <w:t> </w:t>
      </w:r>
      <w:r w:rsidRPr="00E27E50">
        <w:rPr>
          <w:color w:val="444239"/>
          <w:sz w:val="16"/>
          <w:szCs w:val="16"/>
        </w:rPr>
        <w:t xml:space="preserve">; </w:t>
      </w:r>
      <w:proofErr w:type="spellStart"/>
      <w:r w:rsidRPr="00E27E50">
        <w:rPr>
          <w:i/>
          <w:color w:val="444239"/>
          <w:sz w:val="16"/>
          <w:szCs w:val="16"/>
        </w:rPr>
        <w:t>Beam</w:t>
      </w:r>
      <w:proofErr w:type="spellEnd"/>
      <w:r w:rsidRPr="00E27E50">
        <w:rPr>
          <w:i/>
          <w:color w:val="444239"/>
          <w:sz w:val="16"/>
          <w:szCs w:val="16"/>
        </w:rPr>
        <w:t>.</w:t>
      </w:r>
      <w:r w:rsidRPr="00E27E50">
        <w:rPr>
          <w:color w:val="444239"/>
          <w:sz w:val="16"/>
          <w:szCs w:val="16"/>
        </w:rPr>
        <w:t xml:space="preserve"> = nombre de </w:t>
      </w:r>
      <w:proofErr w:type="spellStart"/>
      <w:r w:rsidRPr="00E27E50">
        <w:rPr>
          <w:i/>
          <w:color w:val="444239"/>
          <w:sz w:val="16"/>
          <w:szCs w:val="16"/>
        </w:rPr>
        <w:t>beamers</w:t>
      </w:r>
      <w:proofErr w:type="spellEnd"/>
      <w:r w:rsidRPr="00E27E50">
        <w:rPr>
          <w:color w:val="444239"/>
          <w:sz w:val="16"/>
          <w:szCs w:val="16"/>
        </w:rPr>
        <w:t xml:space="preserve"> (projecteurs)</w:t>
      </w:r>
      <w:r w:rsidR="00C76E50">
        <w:rPr>
          <w:color w:val="444239"/>
          <w:sz w:val="16"/>
          <w:szCs w:val="16"/>
        </w:rPr>
        <w:t> </w:t>
      </w:r>
      <w:r w:rsidRPr="00E27E50">
        <w:rPr>
          <w:color w:val="444239"/>
          <w:sz w:val="16"/>
          <w:szCs w:val="16"/>
        </w:rPr>
        <w:t xml:space="preserve">; </w:t>
      </w:r>
      <w:r w:rsidR="00C86BE4" w:rsidRPr="00E27E50">
        <w:rPr>
          <w:color w:val="444239"/>
          <w:sz w:val="16"/>
          <w:szCs w:val="16"/>
        </w:rPr>
        <w:t>IW</w:t>
      </w:r>
      <w:r w:rsidRPr="00E27E50">
        <w:rPr>
          <w:color w:val="444239"/>
          <w:sz w:val="16"/>
          <w:szCs w:val="16"/>
        </w:rPr>
        <w:t xml:space="preserve"> = nombre de tableaux blancs interactifs</w:t>
      </w:r>
    </w:p>
    <w:tbl>
      <w:tblPr>
        <w:tblW w:w="10340" w:type="dxa"/>
        <w:jc w:val="center"/>
        <w:tblCellMar>
          <w:left w:w="70" w:type="dxa"/>
          <w:right w:w="70" w:type="dxa"/>
        </w:tblCellMar>
        <w:tblLook w:val="04A0" w:firstRow="1" w:lastRow="0" w:firstColumn="1" w:lastColumn="0" w:noHBand="0" w:noVBand="1"/>
      </w:tblPr>
      <w:tblGrid>
        <w:gridCol w:w="867"/>
        <w:gridCol w:w="840"/>
        <w:gridCol w:w="480"/>
        <w:gridCol w:w="480"/>
        <w:gridCol w:w="480"/>
        <w:gridCol w:w="569"/>
        <w:gridCol w:w="487"/>
        <w:gridCol w:w="384"/>
        <w:gridCol w:w="451"/>
        <w:gridCol w:w="553"/>
        <w:gridCol w:w="436"/>
        <w:gridCol w:w="480"/>
        <w:gridCol w:w="480"/>
        <w:gridCol w:w="480"/>
        <w:gridCol w:w="450"/>
        <w:gridCol w:w="553"/>
        <w:gridCol w:w="437"/>
        <w:gridCol w:w="480"/>
        <w:gridCol w:w="480"/>
        <w:gridCol w:w="480"/>
      </w:tblGrid>
      <w:tr w:rsidR="000C2089" w:rsidRPr="00E27E50" w:rsidTr="00AC7D09">
        <w:trPr>
          <w:trHeight w:val="225"/>
          <w:jc w:val="center"/>
        </w:trPr>
        <w:tc>
          <w:tcPr>
            <w:tcW w:w="860" w:type="dxa"/>
            <w:tcBorders>
              <w:top w:val="nil"/>
              <w:left w:val="nil"/>
              <w:bottom w:val="nil"/>
              <w:right w:val="nil"/>
            </w:tcBorders>
            <w:shd w:val="clear" w:color="auto" w:fill="auto"/>
            <w:vAlign w:val="bottom"/>
            <w:hideMark/>
          </w:tcPr>
          <w:p w:rsidR="000C2089" w:rsidRPr="00E27E50" w:rsidRDefault="000C2089" w:rsidP="000C2089">
            <w:pPr>
              <w:jc w:val="left"/>
              <w:rPr>
                <w:rFonts w:cs="Arial"/>
                <w:b/>
                <w:bCs/>
                <w:color w:val="auto"/>
                <w:sz w:val="12"/>
                <w:szCs w:val="12"/>
                <w:lang w:val="fr-FR" w:eastAsia="de-AT"/>
              </w:rPr>
            </w:pPr>
          </w:p>
        </w:tc>
        <w:tc>
          <w:tcPr>
            <w:tcW w:w="840" w:type="dxa"/>
            <w:tcBorders>
              <w:top w:val="nil"/>
              <w:left w:val="nil"/>
              <w:bottom w:val="nil"/>
              <w:right w:val="nil"/>
            </w:tcBorders>
            <w:shd w:val="clear" w:color="auto" w:fill="auto"/>
            <w:vAlign w:val="bottom"/>
            <w:hideMark/>
          </w:tcPr>
          <w:p w:rsidR="000C2089" w:rsidRPr="00E27E50" w:rsidRDefault="000C2089" w:rsidP="000C2089">
            <w:pPr>
              <w:jc w:val="left"/>
              <w:rPr>
                <w:rFonts w:cs="Arial"/>
                <w:b/>
                <w:bCs/>
                <w:color w:val="auto"/>
                <w:sz w:val="12"/>
                <w:szCs w:val="12"/>
                <w:lang w:val="fr-FR" w:eastAsia="de-AT"/>
              </w:rPr>
            </w:pPr>
          </w:p>
        </w:tc>
        <w:tc>
          <w:tcPr>
            <w:tcW w:w="1440" w:type="dxa"/>
            <w:gridSpan w:val="3"/>
            <w:vMerge w:val="restart"/>
            <w:tcBorders>
              <w:top w:val="single" w:sz="8" w:space="0" w:color="auto"/>
              <w:left w:val="single" w:sz="8" w:space="0" w:color="auto"/>
              <w:bottom w:val="nil"/>
              <w:right w:val="nil"/>
            </w:tcBorders>
            <w:shd w:val="clear" w:color="000000" w:fill="DCE6F1"/>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Matériel dans les classes</w:t>
            </w:r>
          </w:p>
        </w:tc>
        <w:tc>
          <w:tcPr>
            <w:tcW w:w="1440" w:type="dxa"/>
            <w:gridSpan w:val="3"/>
            <w:vMerge w:val="restart"/>
            <w:tcBorders>
              <w:top w:val="single" w:sz="8" w:space="0" w:color="auto"/>
              <w:left w:val="single" w:sz="8" w:space="0" w:color="auto"/>
              <w:bottom w:val="nil"/>
              <w:right w:val="nil"/>
            </w:tcBorders>
            <w:shd w:val="clear" w:color="000000" w:fill="E4DFEC"/>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xml:space="preserve"> Matériel dans les classes ICT </w:t>
            </w:r>
          </w:p>
        </w:tc>
        <w:tc>
          <w:tcPr>
            <w:tcW w:w="1440" w:type="dxa"/>
            <w:gridSpan w:val="3"/>
            <w:vMerge w:val="restart"/>
            <w:tcBorders>
              <w:top w:val="single" w:sz="8" w:space="0" w:color="auto"/>
              <w:left w:val="single" w:sz="8" w:space="0" w:color="auto"/>
              <w:bottom w:val="nil"/>
              <w:right w:val="nil"/>
            </w:tcBorders>
            <w:shd w:val="clear" w:color="000000" w:fill="FDE9D9"/>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Matériel hors classes</w:t>
            </w:r>
          </w:p>
        </w:tc>
        <w:tc>
          <w:tcPr>
            <w:tcW w:w="1440" w:type="dxa"/>
            <w:gridSpan w:val="3"/>
            <w:vMerge w:val="restart"/>
            <w:tcBorders>
              <w:top w:val="single" w:sz="8" w:space="0" w:color="auto"/>
              <w:left w:val="single" w:sz="8" w:space="0" w:color="auto"/>
              <w:bottom w:val="nil"/>
              <w:right w:val="single" w:sz="8" w:space="0" w:color="000000"/>
            </w:tcBorders>
            <w:shd w:val="clear" w:color="000000" w:fill="C4BD97"/>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Pédagogique</w:t>
            </w:r>
          </w:p>
        </w:tc>
        <w:tc>
          <w:tcPr>
            <w:tcW w:w="1440" w:type="dxa"/>
            <w:gridSpan w:val="3"/>
            <w:vMerge w:val="restart"/>
            <w:tcBorders>
              <w:top w:val="single" w:sz="8" w:space="0" w:color="auto"/>
              <w:left w:val="nil"/>
              <w:bottom w:val="nil"/>
              <w:right w:val="nil"/>
            </w:tcBorders>
            <w:shd w:val="clear" w:color="000000" w:fill="FCD5B4"/>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Administratif</w:t>
            </w:r>
          </w:p>
        </w:tc>
        <w:tc>
          <w:tcPr>
            <w:tcW w:w="14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TOTAL</w:t>
            </w:r>
          </w:p>
        </w:tc>
      </w:tr>
      <w:tr w:rsidR="000C2089" w:rsidRPr="00E27E50" w:rsidTr="00AC7D09">
        <w:trPr>
          <w:trHeight w:val="195"/>
          <w:jc w:val="center"/>
        </w:trPr>
        <w:tc>
          <w:tcPr>
            <w:tcW w:w="860" w:type="dxa"/>
            <w:tcBorders>
              <w:top w:val="nil"/>
              <w:left w:val="nil"/>
              <w:bottom w:val="nil"/>
              <w:right w:val="nil"/>
            </w:tcBorders>
            <w:shd w:val="clear" w:color="auto" w:fill="auto"/>
            <w:vAlign w:val="bottom"/>
            <w:hideMark/>
          </w:tcPr>
          <w:p w:rsidR="000C2089" w:rsidRPr="00E27E50" w:rsidRDefault="000C2089" w:rsidP="000C2089">
            <w:pPr>
              <w:jc w:val="left"/>
              <w:rPr>
                <w:rFonts w:cs="Arial"/>
                <w:b/>
                <w:bCs/>
                <w:color w:val="auto"/>
                <w:sz w:val="12"/>
                <w:szCs w:val="12"/>
                <w:lang w:val="fr-FR" w:eastAsia="de-AT"/>
              </w:rPr>
            </w:pPr>
          </w:p>
        </w:tc>
        <w:tc>
          <w:tcPr>
            <w:tcW w:w="840" w:type="dxa"/>
            <w:tcBorders>
              <w:top w:val="nil"/>
              <w:left w:val="nil"/>
              <w:bottom w:val="nil"/>
              <w:right w:val="nil"/>
            </w:tcBorders>
            <w:shd w:val="clear" w:color="auto" w:fill="auto"/>
            <w:vAlign w:val="bottom"/>
            <w:hideMark/>
          </w:tcPr>
          <w:p w:rsidR="000C2089" w:rsidRPr="00E27E50" w:rsidRDefault="000C2089" w:rsidP="000C2089">
            <w:pPr>
              <w:jc w:val="left"/>
              <w:rPr>
                <w:rFonts w:cs="Arial"/>
                <w:b/>
                <w:bCs/>
                <w:color w:val="auto"/>
                <w:sz w:val="12"/>
                <w:szCs w:val="12"/>
                <w:lang w:val="fr-FR" w:eastAsia="de-AT"/>
              </w:rPr>
            </w:pPr>
          </w:p>
        </w:tc>
        <w:tc>
          <w:tcPr>
            <w:tcW w:w="1440" w:type="dxa"/>
            <w:gridSpan w:val="3"/>
            <w:vMerge/>
            <w:tcBorders>
              <w:top w:val="nil"/>
              <w:left w:val="nil"/>
              <w:bottom w:val="nil"/>
              <w:right w:val="nil"/>
            </w:tcBorders>
            <w:vAlign w:val="center"/>
            <w:hideMark/>
          </w:tcPr>
          <w:p w:rsidR="000C2089" w:rsidRPr="00E27E50" w:rsidRDefault="000C2089" w:rsidP="000C2089">
            <w:pPr>
              <w:jc w:val="left"/>
              <w:rPr>
                <w:rFonts w:cs="Arial"/>
                <w:b/>
                <w:bCs/>
                <w:color w:val="auto"/>
                <w:sz w:val="12"/>
                <w:szCs w:val="12"/>
                <w:lang w:val="fr-FR" w:eastAsia="de-AT"/>
              </w:rPr>
            </w:pPr>
          </w:p>
        </w:tc>
        <w:tc>
          <w:tcPr>
            <w:tcW w:w="1440" w:type="dxa"/>
            <w:gridSpan w:val="3"/>
            <w:vMerge/>
            <w:tcBorders>
              <w:top w:val="nil"/>
              <w:left w:val="nil"/>
              <w:bottom w:val="nil"/>
              <w:right w:val="nil"/>
            </w:tcBorders>
            <w:vAlign w:val="center"/>
            <w:hideMark/>
          </w:tcPr>
          <w:p w:rsidR="000C2089" w:rsidRPr="00E27E50" w:rsidRDefault="000C2089" w:rsidP="000C2089">
            <w:pPr>
              <w:jc w:val="left"/>
              <w:rPr>
                <w:rFonts w:cs="Arial"/>
                <w:b/>
                <w:bCs/>
                <w:color w:val="auto"/>
                <w:sz w:val="12"/>
                <w:szCs w:val="12"/>
                <w:lang w:val="fr-FR" w:eastAsia="de-AT"/>
              </w:rPr>
            </w:pPr>
          </w:p>
        </w:tc>
        <w:tc>
          <w:tcPr>
            <w:tcW w:w="1440" w:type="dxa"/>
            <w:gridSpan w:val="3"/>
            <w:vMerge/>
            <w:tcBorders>
              <w:top w:val="nil"/>
              <w:left w:val="nil"/>
              <w:bottom w:val="nil"/>
              <w:right w:val="nil"/>
            </w:tcBorders>
            <w:vAlign w:val="center"/>
            <w:hideMark/>
          </w:tcPr>
          <w:p w:rsidR="000C2089" w:rsidRPr="00E27E50" w:rsidRDefault="000C2089" w:rsidP="000C2089">
            <w:pPr>
              <w:jc w:val="left"/>
              <w:rPr>
                <w:rFonts w:cs="Arial"/>
                <w:b/>
                <w:bCs/>
                <w:color w:val="auto"/>
                <w:sz w:val="12"/>
                <w:szCs w:val="12"/>
                <w:lang w:val="fr-FR" w:eastAsia="de-AT"/>
              </w:rPr>
            </w:pPr>
          </w:p>
        </w:tc>
        <w:tc>
          <w:tcPr>
            <w:tcW w:w="1440" w:type="dxa"/>
            <w:gridSpan w:val="3"/>
            <w:vMerge/>
            <w:tcBorders>
              <w:top w:val="nil"/>
              <w:left w:val="nil"/>
              <w:bottom w:val="nil"/>
              <w:right w:val="nil"/>
            </w:tcBorders>
            <w:vAlign w:val="center"/>
            <w:hideMark/>
          </w:tcPr>
          <w:p w:rsidR="000C2089" w:rsidRPr="00E27E50" w:rsidRDefault="000C2089" w:rsidP="000C2089">
            <w:pPr>
              <w:jc w:val="left"/>
              <w:rPr>
                <w:rFonts w:cs="Arial"/>
                <w:b/>
                <w:bCs/>
                <w:color w:val="auto"/>
                <w:sz w:val="12"/>
                <w:szCs w:val="12"/>
                <w:lang w:val="fr-FR" w:eastAsia="de-AT"/>
              </w:rPr>
            </w:pPr>
          </w:p>
        </w:tc>
        <w:tc>
          <w:tcPr>
            <w:tcW w:w="1440" w:type="dxa"/>
            <w:gridSpan w:val="3"/>
            <w:vMerge/>
            <w:tcBorders>
              <w:top w:val="nil"/>
              <w:left w:val="nil"/>
              <w:bottom w:val="nil"/>
              <w:right w:val="nil"/>
            </w:tcBorders>
            <w:vAlign w:val="center"/>
            <w:hideMark/>
          </w:tcPr>
          <w:p w:rsidR="000C2089" w:rsidRPr="00E27E50" w:rsidRDefault="000C2089" w:rsidP="000C2089">
            <w:pPr>
              <w:jc w:val="left"/>
              <w:rPr>
                <w:rFonts w:cs="Arial"/>
                <w:b/>
                <w:bCs/>
                <w:color w:val="auto"/>
                <w:sz w:val="12"/>
                <w:szCs w:val="12"/>
                <w:lang w:val="fr-FR" w:eastAsia="de-AT"/>
              </w:rPr>
            </w:pPr>
          </w:p>
        </w:tc>
        <w:tc>
          <w:tcPr>
            <w:tcW w:w="1440" w:type="dxa"/>
            <w:gridSpan w:val="3"/>
            <w:vMerge/>
            <w:tcBorders>
              <w:top w:val="nil"/>
              <w:left w:val="nil"/>
              <w:bottom w:val="nil"/>
              <w:right w:val="nil"/>
            </w:tcBorders>
            <w:vAlign w:val="center"/>
            <w:hideMark/>
          </w:tcPr>
          <w:p w:rsidR="000C2089" w:rsidRPr="00E27E50" w:rsidRDefault="000C2089" w:rsidP="000C2089">
            <w:pPr>
              <w:jc w:val="left"/>
              <w:rPr>
                <w:rFonts w:cs="Arial"/>
                <w:b/>
                <w:bCs/>
                <w:color w:val="auto"/>
                <w:sz w:val="12"/>
                <w:szCs w:val="12"/>
                <w:lang w:val="fr-FR" w:eastAsia="de-AT"/>
              </w:rPr>
            </w:pPr>
          </w:p>
        </w:tc>
      </w:tr>
      <w:tr w:rsidR="000C2089" w:rsidRPr="00E27E50" w:rsidTr="00AC7D09">
        <w:trPr>
          <w:trHeight w:val="210"/>
          <w:jc w:val="center"/>
        </w:trPr>
        <w:tc>
          <w:tcPr>
            <w:tcW w:w="860" w:type="dxa"/>
            <w:tcBorders>
              <w:top w:val="single" w:sz="8" w:space="0" w:color="auto"/>
              <w:left w:val="single" w:sz="8" w:space="0" w:color="auto"/>
              <w:bottom w:val="single" w:sz="8" w:space="0" w:color="auto"/>
              <w:right w:val="nil"/>
            </w:tcBorders>
            <w:shd w:val="clear" w:color="auto" w:fill="auto"/>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Ecole</w:t>
            </w:r>
          </w:p>
        </w:tc>
        <w:tc>
          <w:tcPr>
            <w:tcW w:w="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Niveau</w:t>
            </w:r>
          </w:p>
        </w:tc>
        <w:tc>
          <w:tcPr>
            <w:tcW w:w="480" w:type="dxa"/>
            <w:tcBorders>
              <w:top w:val="single" w:sz="8" w:space="0" w:color="auto"/>
              <w:left w:val="nil"/>
              <w:bottom w:val="single" w:sz="8" w:space="0" w:color="auto"/>
              <w:right w:val="single" w:sz="8" w:space="0" w:color="auto"/>
            </w:tcBorders>
            <w:shd w:val="clear" w:color="000000" w:fill="C0C0C0"/>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PC</w:t>
            </w:r>
          </w:p>
        </w:tc>
        <w:tc>
          <w:tcPr>
            <w:tcW w:w="480" w:type="dxa"/>
            <w:tcBorders>
              <w:top w:val="single" w:sz="8" w:space="0" w:color="auto"/>
              <w:left w:val="nil"/>
              <w:bottom w:val="single" w:sz="8" w:space="0" w:color="auto"/>
              <w:right w:val="single" w:sz="8" w:space="0" w:color="auto"/>
            </w:tcBorders>
            <w:shd w:val="clear" w:color="000000" w:fill="C0C0C0"/>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BEA</w:t>
            </w:r>
          </w:p>
        </w:tc>
        <w:tc>
          <w:tcPr>
            <w:tcW w:w="480" w:type="dxa"/>
            <w:tcBorders>
              <w:top w:val="single" w:sz="8" w:space="0" w:color="auto"/>
              <w:left w:val="nil"/>
              <w:bottom w:val="single" w:sz="8" w:space="0" w:color="auto"/>
              <w:right w:val="single" w:sz="8" w:space="0" w:color="auto"/>
            </w:tcBorders>
            <w:shd w:val="clear" w:color="000000" w:fill="C0C0C0"/>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TBI</w:t>
            </w:r>
          </w:p>
        </w:tc>
        <w:tc>
          <w:tcPr>
            <w:tcW w:w="569" w:type="dxa"/>
            <w:tcBorders>
              <w:top w:val="single" w:sz="8" w:space="0" w:color="auto"/>
              <w:left w:val="nil"/>
              <w:bottom w:val="single" w:sz="8" w:space="0" w:color="auto"/>
              <w:right w:val="single" w:sz="8" w:space="0" w:color="auto"/>
            </w:tcBorders>
            <w:shd w:val="clear" w:color="000000" w:fill="C0C0C0"/>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PC</w:t>
            </w:r>
          </w:p>
        </w:tc>
        <w:tc>
          <w:tcPr>
            <w:tcW w:w="487" w:type="dxa"/>
            <w:tcBorders>
              <w:top w:val="single" w:sz="8" w:space="0" w:color="auto"/>
              <w:left w:val="nil"/>
              <w:bottom w:val="single" w:sz="8" w:space="0" w:color="auto"/>
              <w:right w:val="single" w:sz="8" w:space="0" w:color="auto"/>
            </w:tcBorders>
            <w:shd w:val="clear" w:color="000000" w:fill="C0C0C0"/>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BEA</w:t>
            </w:r>
          </w:p>
        </w:tc>
        <w:tc>
          <w:tcPr>
            <w:tcW w:w="384" w:type="dxa"/>
            <w:tcBorders>
              <w:top w:val="single" w:sz="8" w:space="0" w:color="auto"/>
              <w:left w:val="nil"/>
              <w:bottom w:val="single" w:sz="8" w:space="0" w:color="auto"/>
              <w:right w:val="single" w:sz="8" w:space="0" w:color="auto"/>
            </w:tcBorders>
            <w:shd w:val="clear" w:color="000000" w:fill="C0C0C0"/>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TBI</w:t>
            </w:r>
          </w:p>
        </w:tc>
        <w:tc>
          <w:tcPr>
            <w:tcW w:w="451" w:type="dxa"/>
            <w:tcBorders>
              <w:top w:val="single" w:sz="8" w:space="0" w:color="auto"/>
              <w:left w:val="nil"/>
              <w:bottom w:val="single" w:sz="8" w:space="0" w:color="auto"/>
              <w:right w:val="single" w:sz="8" w:space="0" w:color="auto"/>
            </w:tcBorders>
            <w:shd w:val="clear" w:color="000000" w:fill="C0C0C0"/>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PC</w:t>
            </w:r>
          </w:p>
        </w:tc>
        <w:tc>
          <w:tcPr>
            <w:tcW w:w="553" w:type="dxa"/>
            <w:tcBorders>
              <w:top w:val="single" w:sz="8" w:space="0" w:color="auto"/>
              <w:left w:val="nil"/>
              <w:bottom w:val="single" w:sz="8" w:space="0" w:color="auto"/>
              <w:right w:val="single" w:sz="8" w:space="0" w:color="auto"/>
            </w:tcBorders>
            <w:shd w:val="clear" w:color="000000" w:fill="C0C0C0"/>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BEA</w:t>
            </w:r>
          </w:p>
        </w:tc>
        <w:tc>
          <w:tcPr>
            <w:tcW w:w="436" w:type="dxa"/>
            <w:tcBorders>
              <w:top w:val="single" w:sz="8" w:space="0" w:color="auto"/>
              <w:left w:val="nil"/>
              <w:bottom w:val="single" w:sz="8" w:space="0" w:color="auto"/>
              <w:right w:val="single" w:sz="8" w:space="0" w:color="auto"/>
            </w:tcBorders>
            <w:shd w:val="clear" w:color="000000" w:fill="C0C0C0"/>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TBI</w:t>
            </w:r>
          </w:p>
        </w:tc>
        <w:tc>
          <w:tcPr>
            <w:tcW w:w="480" w:type="dxa"/>
            <w:tcBorders>
              <w:top w:val="single" w:sz="8" w:space="0" w:color="auto"/>
              <w:left w:val="nil"/>
              <w:bottom w:val="single" w:sz="8" w:space="0" w:color="auto"/>
              <w:right w:val="single" w:sz="8" w:space="0" w:color="auto"/>
            </w:tcBorders>
            <w:shd w:val="clear" w:color="000000" w:fill="C0C0C0"/>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PC</w:t>
            </w:r>
          </w:p>
        </w:tc>
        <w:tc>
          <w:tcPr>
            <w:tcW w:w="480" w:type="dxa"/>
            <w:tcBorders>
              <w:top w:val="single" w:sz="8" w:space="0" w:color="auto"/>
              <w:left w:val="nil"/>
              <w:bottom w:val="single" w:sz="8" w:space="0" w:color="auto"/>
              <w:right w:val="single" w:sz="8" w:space="0" w:color="auto"/>
            </w:tcBorders>
            <w:shd w:val="clear" w:color="000000" w:fill="C0C0C0"/>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BEA</w:t>
            </w:r>
          </w:p>
        </w:tc>
        <w:tc>
          <w:tcPr>
            <w:tcW w:w="480" w:type="dxa"/>
            <w:tcBorders>
              <w:top w:val="single" w:sz="8" w:space="0" w:color="auto"/>
              <w:left w:val="nil"/>
              <w:bottom w:val="single" w:sz="8" w:space="0" w:color="auto"/>
              <w:right w:val="single" w:sz="8" w:space="0" w:color="auto"/>
            </w:tcBorders>
            <w:shd w:val="clear" w:color="000000" w:fill="C0C0C0"/>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TBI</w:t>
            </w:r>
          </w:p>
        </w:tc>
        <w:tc>
          <w:tcPr>
            <w:tcW w:w="450" w:type="dxa"/>
            <w:tcBorders>
              <w:top w:val="single" w:sz="8" w:space="0" w:color="auto"/>
              <w:left w:val="nil"/>
              <w:bottom w:val="single" w:sz="8" w:space="0" w:color="auto"/>
              <w:right w:val="single" w:sz="8" w:space="0" w:color="auto"/>
            </w:tcBorders>
            <w:shd w:val="clear" w:color="000000" w:fill="C0C0C0"/>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PC</w:t>
            </w:r>
          </w:p>
        </w:tc>
        <w:tc>
          <w:tcPr>
            <w:tcW w:w="553" w:type="dxa"/>
            <w:tcBorders>
              <w:top w:val="single" w:sz="8" w:space="0" w:color="auto"/>
              <w:left w:val="nil"/>
              <w:bottom w:val="single" w:sz="8" w:space="0" w:color="auto"/>
              <w:right w:val="single" w:sz="8" w:space="0" w:color="auto"/>
            </w:tcBorders>
            <w:shd w:val="clear" w:color="000000" w:fill="C0C0C0"/>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BEA</w:t>
            </w:r>
          </w:p>
        </w:tc>
        <w:tc>
          <w:tcPr>
            <w:tcW w:w="437" w:type="dxa"/>
            <w:tcBorders>
              <w:top w:val="single" w:sz="8" w:space="0" w:color="auto"/>
              <w:left w:val="nil"/>
              <w:bottom w:val="single" w:sz="8" w:space="0" w:color="auto"/>
              <w:right w:val="single" w:sz="8" w:space="0" w:color="auto"/>
            </w:tcBorders>
            <w:shd w:val="clear" w:color="000000" w:fill="C0C0C0"/>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TBI</w:t>
            </w:r>
          </w:p>
        </w:tc>
        <w:tc>
          <w:tcPr>
            <w:tcW w:w="480" w:type="dxa"/>
            <w:tcBorders>
              <w:top w:val="nil"/>
              <w:left w:val="nil"/>
              <w:bottom w:val="single" w:sz="8" w:space="0" w:color="auto"/>
              <w:right w:val="single" w:sz="8" w:space="0" w:color="auto"/>
            </w:tcBorders>
            <w:shd w:val="clear" w:color="000000" w:fill="C0C0C0"/>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PC</w:t>
            </w:r>
          </w:p>
        </w:tc>
        <w:tc>
          <w:tcPr>
            <w:tcW w:w="480" w:type="dxa"/>
            <w:tcBorders>
              <w:top w:val="nil"/>
              <w:left w:val="nil"/>
              <w:bottom w:val="single" w:sz="8" w:space="0" w:color="auto"/>
              <w:right w:val="single" w:sz="8" w:space="0" w:color="auto"/>
            </w:tcBorders>
            <w:shd w:val="clear" w:color="000000" w:fill="C0C0C0"/>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BEA</w:t>
            </w:r>
          </w:p>
        </w:tc>
        <w:tc>
          <w:tcPr>
            <w:tcW w:w="480" w:type="dxa"/>
            <w:tcBorders>
              <w:top w:val="nil"/>
              <w:left w:val="nil"/>
              <w:bottom w:val="single" w:sz="8" w:space="0" w:color="auto"/>
              <w:right w:val="single" w:sz="8" w:space="0" w:color="auto"/>
            </w:tcBorders>
            <w:shd w:val="clear" w:color="000000" w:fill="C0C0C0"/>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TBI</w:t>
            </w:r>
          </w:p>
        </w:tc>
      </w:tr>
      <w:tr w:rsidR="000C2089" w:rsidRPr="00E27E50" w:rsidTr="00AC7D09">
        <w:trPr>
          <w:trHeight w:val="210"/>
          <w:jc w:val="center"/>
        </w:trPr>
        <w:tc>
          <w:tcPr>
            <w:tcW w:w="860" w:type="dxa"/>
            <w:vMerge w:val="restart"/>
            <w:tcBorders>
              <w:top w:val="nil"/>
              <w:left w:val="single" w:sz="8" w:space="0" w:color="auto"/>
              <w:bottom w:val="single" w:sz="8" w:space="0" w:color="000000"/>
              <w:right w:val="nil"/>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Alicante</w:t>
            </w:r>
          </w:p>
        </w:tc>
        <w:tc>
          <w:tcPr>
            <w:tcW w:w="840" w:type="dxa"/>
            <w:tcBorders>
              <w:top w:val="nil"/>
              <w:left w:val="single" w:sz="8" w:space="0" w:color="auto"/>
              <w:bottom w:val="single" w:sz="4"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 xml:space="preserve">Mat. &amp; </w:t>
            </w:r>
            <w:proofErr w:type="spellStart"/>
            <w:r w:rsidRPr="00E27E50">
              <w:rPr>
                <w:rFonts w:cs="Arial"/>
                <w:b/>
                <w:bCs/>
                <w:color w:val="333399"/>
                <w:sz w:val="12"/>
                <w:szCs w:val="12"/>
                <w:lang w:val="fr-FR" w:eastAsia="de-AT"/>
              </w:rPr>
              <w:t>Prim</w:t>
            </w:r>
            <w:proofErr w:type="spellEnd"/>
            <w:r w:rsidRPr="00E27E50">
              <w:rPr>
                <w:rFonts w:cs="Arial"/>
                <w:b/>
                <w:bCs/>
                <w:color w:val="333399"/>
                <w:sz w:val="12"/>
                <w:szCs w:val="12"/>
                <w:lang w:val="fr-FR" w:eastAsia="de-AT"/>
              </w:rPr>
              <w:t>.</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41</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26</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24</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43</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24</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11</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80" w:type="dxa"/>
            <w:tcBorders>
              <w:top w:val="nil"/>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95</w:t>
            </w:r>
          </w:p>
        </w:tc>
        <w:tc>
          <w:tcPr>
            <w:tcW w:w="480" w:type="dxa"/>
            <w:tcBorders>
              <w:top w:val="nil"/>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28</w:t>
            </w:r>
          </w:p>
        </w:tc>
        <w:tc>
          <w:tcPr>
            <w:tcW w:w="480" w:type="dxa"/>
            <w:tcBorders>
              <w:top w:val="nil"/>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48</w:t>
            </w:r>
          </w:p>
        </w:tc>
        <w:tc>
          <w:tcPr>
            <w:tcW w:w="450"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 </w:t>
            </w:r>
          </w:p>
        </w:tc>
        <w:tc>
          <w:tcPr>
            <w:tcW w:w="553"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 </w:t>
            </w:r>
          </w:p>
        </w:tc>
        <w:tc>
          <w:tcPr>
            <w:tcW w:w="437"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 </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275</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81</w:t>
            </w: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auto"/>
                <w:sz w:val="12"/>
                <w:szCs w:val="12"/>
                <w:lang w:val="fr-FR" w:eastAsia="de-AT"/>
              </w:rPr>
            </w:pPr>
          </w:p>
        </w:tc>
        <w:tc>
          <w:tcPr>
            <w:tcW w:w="840" w:type="dxa"/>
            <w:tcBorders>
              <w:top w:val="nil"/>
              <w:left w:val="single" w:sz="8" w:space="0" w:color="auto"/>
              <w:bottom w:val="nil"/>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Secondaire</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46</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43</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42</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68</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29</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5</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80" w:type="dxa"/>
            <w:tcBorders>
              <w:top w:val="single" w:sz="8" w:space="0" w:color="auto"/>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143</w:t>
            </w:r>
          </w:p>
        </w:tc>
        <w:tc>
          <w:tcPr>
            <w:tcW w:w="480" w:type="dxa"/>
            <w:tcBorders>
              <w:top w:val="single" w:sz="8" w:space="0" w:color="auto"/>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51</w:t>
            </w:r>
          </w:p>
        </w:tc>
        <w:tc>
          <w:tcPr>
            <w:tcW w:w="480" w:type="dxa"/>
            <w:tcBorders>
              <w:top w:val="single" w:sz="8" w:space="0" w:color="auto"/>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44</w:t>
            </w:r>
          </w:p>
        </w:tc>
        <w:tc>
          <w:tcPr>
            <w:tcW w:w="450"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 </w:t>
            </w:r>
          </w:p>
        </w:tc>
        <w:tc>
          <w:tcPr>
            <w:tcW w:w="553"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 </w:t>
            </w:r>
          </w:p>
        </w:tc>
        <w:tc>
          <w:tcPr>
            <w:tcW w:w="437"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 </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93</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auto"/>
                <w:sz w:val="12"/>
                <w:szCs w:val="12"/>
                <w:lang w:val="fr-FR" w:eastAsia="de-AT"/>
              </w:rPr>
            </w:pPr>
          </w:p>
        </w:tc>
        <w:tc>
          <w:tcPr>
            <w:tcW w:w="84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Total</w:t>
            </w:r>
          </w:p>
        </w:tc>
        <w:tc>
          <w:tcPr>
            <w:tcW w:w="480" w:type="dxa"/>
            <w:tcBorders>
              <w:top w:val="nil"/>
              <w:left w:val="nil"/>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87</w:t>
            </w:r>
          </w:p>
        </w:tc>
        <w:tc>
          <w:tcPr>
            <w:tcW w:w="480"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69</w:t>
            </w:r>
          </w:p>
        </w:tc>
        <w:tc>
          <w:tcPr>
            <w:tcW w:w="480"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66</w:t>
            </w:r>
          </w:p>
        </w:tc>
        <w:tc>
          <w:tcPr>
            <w:tcW w:w="569"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111</w:t>
            </w:r>
          </w:p>
        </w:tc>
        <w:tc>
          <w:tcPr>
            <w:tcW w:w="487"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5</w:t>
            </w:r>
          </w:p>
        </w:tc>
        <w:tc>
          <w:tcPr>
            <w:tcW w:w="384"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26</w:t>
            </w:r>
          </w:p>
        </w:tc>
        <w:tc>
          <w:tcPr>
            <w:tcW w:w="451"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40</w:t>
            </w:r>
          </w:p>
        </w:tc>
        <w:tc>
          <w:tcPr>
            <w:tcW w:w="553"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5</w:t>
            </w:r>
          </w:p>
        </w:tc>
        <w:tc>
          <w:tcPr>
            <w:tcW w:w="436"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0</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238</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79</w:t>
            </w:r>
          </w:p>
        </w:tc>
        <w:tc>
          <w:tcPr>
            <w:tcW w:w="48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92</w:t>
            </w:r>
          </w:p>
        </w:tc>
        <w:tc>
          <w:tcPr>
            <w:tcW w:w="450"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37</w:t>
            </w:r>
          </w:p>
        </w:tc>
        <w:tc>
          <w:tcPr>
            <w:tcW w:w="553"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2</w:t>
            </w:r>
          </w:p>
        </w:tc>
        <w:tc>
          <w:tcPr>
            <w:tcW w:w="437"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1</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single" w:sz="8"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val="restart"/>
            <w:tcBorders>
              <w:top w:val="nil"/>
              <w:left w:val="single" w:sz="8" w:space="0" w:color="auto"/>
              <w:bottom w:val="single" w:sz="8" w:space="0" w:color="000000"/>
              <w:right w:val="nil"/>
            </w:tcBorders>
            <w:shd w:val="clear" w:color="auto" w:fill="auto"/>
            <w:noWrap/>
            <w:vAlign w:val="center"/>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Bergen</w:t>
            </w:r>
          </w:p>
        </w:tc>
        <w:tc>
          <w:tcPr>
            <w:tcW w:w="840" w:type="dxa"/>
            <w:tcBorders>
              <w:top w:val="nil"/>
              <w:left w:val="single" w:sz="8" w:space="0" w:color="auto"/>
              <w:bottom w:val="single" w:sz="4"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 xml:space="preserve">Mat. &amp; </w:t>
            </w:r>
            <w:proofErr w:type="spellStart"/>
            <w:r w:rsidRPr="00E27E50">
              <w:rPr>
                <w:rFonts w:cs="Arial"/>
                <w:b/>
                <w:bCs/>
                <w:color w:val="333399"/>
                <w:sz w:val="12"/>
                <w:szCs w:val="12"/>
                <w:lang w:val="fr-FR" w:eastAsia="de-AT"/>
              </w:rPr>
              <w:t>Prim</w:t>
            </w:r>
            <w:proofErr w:type="spellEnd"/>
            <w:r w:rsidRPr="00E27E50">
              <w:rPr>
                <w:rFonts w:cs="Arial"/>
                <w:b/>
                <w:bCs/>
                <w:color w:val="333399"/>
                <w:sz w:val="12"/>
                <w:szCs w:val="12"/>
                <w:lang w:val="fr-FR" w:eastAsia="de-AT"/>
              </w:rPr>
              <w:t>.</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44</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16</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19</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80" w:type="dxa"/>
            <w:tcBorders>
              <w:top w:val="nil"/>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64</w:t>
            </w:r>
          </w:p>
        </w:tc>
        <w:tc>
          <w:tcPr>
            <w:tcW w:w="480" w:type="dxa"/>
            <w:tcBorders>
              <w:top w:val="nil"/>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2</w:t>
            </w:r>
          </w:p>
        </w:tc>
        <w:tc>
          <w:tcPr>
            <w:tcW w:w="480" w:type="dxa"/>
            <w:tcBorders>
              <w:top w:val="nil"/>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16</w:t>
            </w:r>
          </w:p>
        </w:tc>
        <w:tc>
          <w:tcPr>
            <w:tcW w:w="450"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553"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37"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204</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21</w:t>
            </w: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333399"/>
                <w:sz w:val="12"/>
                <w:szCs w:val="12"/>
                <w:lang w:val="fr-FR" w:eastAsia="de-AT"/>
              </w:rPr>
            </w:pPr>
          </w:p>
        </w:tc>
        <w:tc>
          <w:tcPr>
            <w:tcW w:w="840" w:type="dxa"/>
            <w:tcBorders>
              <w:top w:val="nil"/>
              <w:left w:val="single" w:sz="8" w:space="0" w:color="auto"/>
              <w:bottom w:val="nil"/>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Secondaire</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45</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16</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38</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50</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25</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w:t>
            </w:r>
          </w:p>
        </w:tc>
        <w:tc>
          <w:tcPr>
            <w:tcW w:w="480" w:type="dxa"/>
            <w:tcBorders>
              <w:top w:val="single" w:sz="8" w:space="0" w:color="auto"/>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120</w:t>
            </w:r>
          </w:p>
        </w:tc>
        <w:tc>
          <w:tcPr>
            <w:tcW w:w="480" w:type="dxa"/>
            <w:tcBorders>
              <w:top w:val="single" w:sz="8" w:space="0" w:color="auto"/>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19</w:t>
            </w:r>
          </w:p>
        </w:tc>
        <w:tc>
          <w:tcPr>
            <w:tcW w:w="480" w:type="dxa"/>
            <w:tcBorders>
              <w:top w:val="single" w:sz="8" w:space="0" w:color="auto"/>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41</w:t>
            </w:r>
          </w:p>
        </w:tc>
        <w:tc>
          <w:tcPr>
            <w:tcW w:w="450"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553"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37"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57</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333399"/>
                <w:sz w:val="12"/>
                <w:szCs w:val="12"/>
                <w:lang w:val="fr-FR" w:eastAsia="de-AT"/>
              </w:rPr>
            </w:pPr>
          </w:p>
        </w:tc>
        <w:tc>
          <w:tcPr>
            <w:tcW w:w="84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Total</w:t>
            </w:r>
          </w:p>
        </w:tc>
        <w:tc>
          <w:tcPr>
            <w:tcW w:w="480" w:type="dxa"/>
            <w:tcBorders>
              <w:top w:val="nil"/>
              <w:left w:val="nil"/>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89</w:t>
            </w:r>
          </w:p>
        </w:tc>
        <w:tc>
          <w:tcPr>
            <w:tcW w:w="480"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17</w:t>
            </w:r>
          </w:p>
        </w:tc>
        <w:tc>
          <w:tcPr>
            <w:tcW w:w="480"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54</w:t>
            </w:r>
          </w:p>
        </w:tc>
        <w:tc>
          <w:tcPr>
            <w:tcW w:w="569"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69</w:t>
            </w:r>
          </w:p>
        </w:tc>
        <w:tc>
          <w:tcPr>
            <w:tcW w:w="487"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3</w:t>
            </w:r>
          </w:p>
        </w:tc>
        <w:tc>
          <w:tcPr>
            <w:tcW w:w="384"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w:t>
            </w:r>
          </w:p>
        </w:tc>
        <w:tc>
          <w:tcPr>
            <w:tcW w:w="451"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26</w:t>
            </w:r>
          </w:p>
        </w:tc>
        <w:tc>
          <w:tcPr>
            <w:tcW w:w="553"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w:t>
            </w:r>
          </w:p>
        </w:tc>
        <w:tc>
          <w:tcPr>
            <w:tcW w:w="436"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184</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21</w:t>
            </w:r>
          </w:p>
        </w:tc>
        <w:tc>
          <w:tcPr>
            <w:tcW w:w="48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57</w:t>
            </w:r>
          </w:p>
        </w:tc>
        <w:tc>
          <w:tcPr>
            <w:tcW w:w="450"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20</w:t>
            </w:r>
          </w:p>
        </w:tc>
        <w:tc>
          <w:tcPr>
            <w:tcW w:w="553"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0</w:t>
            </w:r>
          </w:p>
        </w:tc>
        <w:tc>
          <w:tcPr>
            <w:tcW w:w="437"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0</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single" w:sz="8"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val="restart"/>
            <w:tcBorders>
              <w:top w:val="nil"/>
              <w:left w:val="single" w:sz="8" w:space="0" w:color="auto"/>
              <w:bottom w:val="single" w:sz="4" w:space="0" w:color="auto"/>
              <w:right w:val="nil"/>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Brussels I</w:t>
            </w:r>
          </w:p>
        </w:tc>
        <w:tc>
          <w:tcPr>
            <w:tcW w:w="840" w:type="dxa"/>
            <w:tcBorders>
              <w:top w:val="nil"/>
              <w:left w:val="single" w:sz="8" w:space="0" w:color="auto"/>
              <w:bottom w:val="single" w:sz="4"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 xml:space="preserve">Mat. &amp; </w:t>
            </w:r>
            <w:proofErr w:type="spellStart"/>
            <w:r w:rsidRPr="00E27E50">
              <w:rPr>
                <w:rFonts w:cs="Arial"/>
                <w:b/>
                <w:bCs/>
                <w:color w:val="333399"/>
                <w:sz w:val="12"/>
                <w:szCs w:val="12"/>
                <w:lang w:val="fr-FR" w:eastAsia="de-AT"/>
              </w:rPr>
              <w:t>Prim</w:t>
            </w:r>
            <w:proofErr w:type="spellEnd"/>
            <w:r w:rsidRPr="00E27E50">
              <w:rPr>
                <w:rFonts w:cs="Arial"/>
                <w:b/>
                <w:bCs/>
                <w:color w:val="333399"/>
                <w:sz w:val="12"/>
                <w:szCs w:val="12"/>
                <w:lang w:val="fr-FR" w:eastAsia="de-AT"/>
              </w:rPr>
              <w:t>.</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153</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69</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103</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54</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21</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80" w:type="dxa"/>
            <w:tcBorders>
              <w:top w:val="nil"/>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228</w:t>
            </w:r>
          </w:p>
        </w:tc>
        <w:tc>
          <w:tcPr>
            <w:tcW w:w="480" w:type="dxa"/>
            <w:tcBorders>
              <w:top w:val="nil"/>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71</w:t>
            </w:r>
          </w:p>
        </w:tc>
        <w:tc>
          <w:tcPr>
            <w:tcW w:w="480" w:type="dxa"/>
            <w:tcBorders>
              <w:top w:val="nil"/>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105</w:t>
            </w:r>
          </w:p>
        </w:tc>
        <w:tc>
          <w:tcPr>
            <w:tcW w:w="450"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553"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37"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644</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213</w:t>
            </w: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tcBorders>
              <w:top w:val="nil"/>
              <w:left w:val="single" w:sz="8" w:space="0" w:color="auto"/>
              <w:bottom w:val="single" w:sz="4" w:space="0" w:color="auto"/>
              <w:right w:val="nil"/>
            </w:tcBorders>
            <w:vAlign w:val="center"/>
            <w:hideMark/>
          </w:tcPr>
          <w:p w:rsidR="000C2089" w:rsidRPr="00E27E50" w:rsidRDefault="000C2089" w:rsidP="000C2089">
            <w:pPr>
              <w:jc w:val="left"/>
              <w:rPr>
                <w:rFonts w:cs="Arial"/>
                <w:b/>
                <w:bCs/>
                <w:color w:val="auto"/>
                <w:sz w:val="12"/>
                <w:szCs w:val="12"/>
                <w:lang w:val="fr-FR" w:eastAsia="de-AT"/>
              </w:rPr>
            </w:pPr>
          </w:p>
        </w:tc>
        <w:tc>
          <w:tcPr>
            <w:tcW w:w="840" w:type="dxa"/>
            <w:tcBorders>
              <w:top w:val="nil"/>
              <w:left w:val="single" w:sz="8" w:space="0" w:color="auto"/>
              <w:bottom w:val="nil"/>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Secondaire</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201</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137</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81</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90</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54</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80" w:type="dxa"/>
            <w:tcBorders>
              <w:top w:val="single" w:sz="8" w:space="0" w:color="auto"/>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345</w:t>
            </w:r>
          </w:p>
        </w:tc>
        <w:tc>
          <w:tcPr>
            <w:tcW w:w="480" w:type="dxa"/>
            <w:tcBorders>
              <w:top w:val="single" w:sz="8" w:space="0" w:color="auto"/>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141</w:t>
            </w:r>
          </w:p>
        </w:tc>
        <w:tc>
          <w:tcPr>
            <w:tcW w:w="480" w:type="dxa"/>
            <w:tcBorders>
              <w:top w:val="single" w:sz="8" w:space="0" w:color="auto"/>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85</w:t>
            </w:r>
          </w:p>
        </w:tc>
        <w:tc>
          <w:tcPr>
            <w:tcW w:w="450"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553"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37"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190</w:t>
            </w:r>
          </w:p>
        </w:tc>
      </w:tr>
      <w:tr w:rsidR="000C2089" w:rsidRPr="00E27E50" w:rsidTr="00AC7D09">
        <w:trPr>
          <w:trHeight w:val="210"/>
          <w:jc w:val="center"/>
        </w:trPr>
        <w:tc>
          <w:tcPr>
            <w:tcW w:w="860" w:type="dxa"/>
            <w:vMerge/>
            <w:tcBorders>
              <w:top w:val="nil"/>
              <w:left w:val="single" w:sz="8" w:space="0" w:color="auto"/>
              <w:bottom w:val="single" w:sz="4" w:space="0" w:color="auto"/>
              <w:right w:val="nil"/>
            </w:tcBorders>
            <w:vAlign w:val="center"/>
            <w:hideMark/>
          </w:tcPr>
          <w:p w:rsidR="000C2089" w:rsidRPr="00E27E50" w:rsidRDefault="000C2089" w:rsidP="000C2089">
            <w:pPr>
              <w:jc w:val="left"/>
              <w:rPr>
                <w:rFonts w:cs="Arial"/>
                <w:b/>
                <w:bCs/>
                <w:color w:val="auto"/>
                <w:sz w:val="12"/>
                <w:szCs w:val="12"/>
                <w:lang w:val="fr-FR" w:eastAsia="de-AT"/>
              </w:rPr>
            </w:pPr>
          </w:p>
        </w:tc>
        <w:tc>
          <w:tcPr>
            <w:tcW w:w="84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Total</w:t>
            </w:r>
          </w:p>
        </w:tc>
        <w:tc>
          <w:tcPr>
            <w:tcW w:w="480" w:type="dxa"/>
            <w:tcBorders>
              <w:top w:val="nil"/>
              <w:left w:val="nil"/>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354</w:t>
            </w:r>
          </w:p>
        </w:tc>
        <w:tc>
          <w:tcPr>
            <w:tcW w:w="480"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206</w:t>
            </w:r>
          </w:p>
        </w:tc>
        <w:tc>
          <w:tcPr>
            <w:tcW w:w="480"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184</w:t>
            </w:r>
          </w:p>
        </w:tc>
        <w:tc>
          <w:tcPr>
            <w:tcW w:w="569"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144</w:t>
            </w:r>
          </w:p>
        </w:tc>
        <w:tc>
          <w:tcPr>
            <w:tcW w:w="487"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w:t>
            </w:r>
          </w:p>
        </w:tc>
        <w:tc>
          <w:tcPr>
            <w:tcW w:w="384"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w:t>
            </w:r>
          </w:p>
        </w:tc>
        <w:tc>
          <w:tcPr>
            <w:tcW w:w="451"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75</w:t>
            </w:r>
          </w:p>
        </w:tc>
        <w:tc>
          <w:tcPr>
            <w:tcW w:w="553"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0</w:t>
            </w:r>
          </w:p>
        </w:tc>
        <w:tc>
          <w:tcPr>
            <w:tcW w:w="436"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0</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573</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212</w:t>
            </w:r>
          </w:p>
        </w:tc>
        <w:tc>
          <w:tcPr>
            <w:tcW w:w="48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190</w:t>
            </w:r>
          </w:p>
        </w:tc>
        <w:tc>
          <w:tcPr>
            <w:tcW w:w="450"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71</w:t>
            </w:r>
          </w:p>
        </w:tc>
        <w:tc>
          <w:tcPr>
            <w:tcW w:w="553"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1</w:t>
            </w:r>
          </w:p>
        </w:tc>
        <w:tc>
          <w:tcPr>
            <w:tcW w:w="437"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0</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single" w:sz="8"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Brussels II</w:t>
            </w:r>
          </w:p>
        </w:tc>
        <w:tc>
          <w:tcPr>
            <w:tcW w:w="840" w:type="dxa"/>
            <w:tcBorders>
              <w:top w:val="nil"/>
              <w:left w:val="single" w:sz="8" w:space="0" w:color="auto"/>
              <w:bottom w:val="single" w:sz="4"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 xml:space="preserve">Mat. &amp; </w:t>
            </w:r>
            <w:proofErr w:type="spellStart"/>
            <w:r w:rsidRPr="00E27E50">
              <w:rPr>
                <w:rFonts w:cs="Arial"/>
                <w:b/>
                <w:bCs/>
                <w:color w:val="333399"/>
                <w:sz w:val="12"/>
                <w:szCs w:val="12"/>
                <w:lang w:val="fr-FR" w:eastAsia="de-AT"/>
              </w:rPr>
              <w:t>Prim</w:t>
            </w:r>
            <w:proofErr w:type="spellEnd"/>
            <w:r w:rsidRPr="00E27E50">
              <w:rPr>
                <w:rFonts w:cs="Arial"/>
                <w:b/>
                <w:bCs/>
                <w:color w:val="333399"/>
                <w:sz w:val="12"/>
                <w:szCs w:val="12"/>
                <w:lang w:val="fr-FR" w:eastAsia="de-AT"/>
              </w:rPr>
              <w:t>.</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105</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105</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70</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100</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15</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w:t>
            </w:r>
          </w:p>
        </w:tc>
        <w:tc>
          <w:tcPr>
            <w:tcW w:w="480" w:type="dxa"/>
            <w:tcBorders>
              <w:top w:val="nil"/>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220</w:t>
            </w:r>
          </w:p>
        </w:tc>
        <w:tc>
          <w:tcPr>
            <w:tcW w:w="480" w:type="dxa"/>
            <w:tcBorders>
              <w:top w:val="nil"/>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109</w:t>
            </w:r>
          </w:p>
        </w:tc>
        <w:tc>
          <w:tcPr>
            <w:tcW w:w="480" w:type="dxa"/>
            <w:tcBorders>
              <w:top w:val="nil"/>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73</w:t>
            </w:r>
          </w:p>
        </w:tc>
        <w:tc>
          <w:tcPr>
            <w:tcW w:w="450"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553"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37"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595</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225</w:t>
            </w: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tcBorders>
              <w:top w:val="single" w:sz="8" w:space="0" w:color="auto"/>
              <w:left w:val="single" w:sz="8" w:space="0" w:color="auto"/>
              <w:bottom w:val="single" w:sz="8" w:space="0" w:color="000000"/>
              <w:right w:val="nil"/>
            </w:tcBorders>
            <w:vAlign w:val="center"/>
            <w:hideMark/>
          </w:tcPr>
          <w:p w:rsidR="000C2089" w:rsidRPr="00E27E50" w:rsidRDefault="000C2089" w:rsidP="000C2089">
            <w:pPr>
              <w:jc w:val="left"/>
              <w:rPr>
                <w:rFonts w:cs="Arial"/>
                <w:b/>
                <w:bCs/>
                <w:color w:val="333399"/>
                <w:sz w:val="12"/>
                <w:szCs w:val="12"/>
                <w:lang w:val="fr-FR" w:eastAsia="de-AT"/>
              </w:rPr>
            </w:pPr>
          </w:p>
        </w:tc>
        <w:tc>
          <w:tcPr>
            <w:tcW w:w="840" w:type="dxa"/>
            <w:tcBorders>
              <w:top w:val="nil"/>
              <w:left w:val="single" w:sz="8" w:space="0" w:color="auto"/>
              <w:bottom w:val="nil"/>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Secondaire</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110</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110</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53</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165</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49</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80" w:type="dxa"/>
            <w:tcBorders>
              <w:top w:val="single" w:sz="8" w:space="0" w:color="auto"/>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324</w:t>
            </w:r>
          </w:p>
        </w:tc>
        <w:tc>
          <w:tcPr>
            <w:tcW w:w="480" w:type="dxa"/>
            <w:tcBorders>
              <w:top w:val="single" w:sz="8" w:space="0" w:color="auto"/>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114</w:t>
            </w:r>
          </w:p>
        </w:tc>
        <w:tc>
          <w:tcPr>
            <w:tcW w:w="480" w:type="dxa"/>
            <w:tcBorders>
              <w:top w:val="single" w:sz="8" w:space="0" w:color="auto"/>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53</w:t>
            </w:r>
          </w:p>
        </w:tc>
        <w:tc>
          <w:tcPr>
            <w:tcW w:w="450"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553"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37"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128</w:t>
            </w:r>
          </w:p>
        </w:tc>
      </w:tr>
      <w:tr w:rsidR="000C2089" w:rsidRPr="00E27E50" w:rsidTr="00AC7D09">
        <w:trPr>
          <w:trHeight w:val="180"/>
          <w:jc w:val="center"/>
        </w:trPr>
        <w:tc>
          <w:tcPr>
            <w:tcW w:w="860" w:type="dxa"/>
            <w:vMerge/>
            <w:tcBorders>
              <w:top w:val="single" w:sz="8" w:space="0" w:color="auto"/>
              <w:left w:val="single" w:sz="8" w:space="0" w:color="auto"/>
              <w:bottom w:val="single" w:sz="8" w:space="0" w:color="000000"/>
              <w:right w:val="nil"/>
            </w:tcBorders>
            <w:vAlign w:val="center"/>
            <w:hideMark/>
          </w:tcPr>
          <w:p w:rsidR="000C2089" w:rsidRPr="00E27E50" w:rsidRDefault="000C2089" w:rsidP="000C2089">
            <w:pPr>
              <w:jc w:val="left"/>
              <w:rPr>
                <w:rFonts w:cs="Arial"/>
                <w:b/>
                <w:bCs/>
                <w:color w:val="333399"/>
                <w:sz w:val="12"/>
                <w:szCs w:val="12"/>
                <w:lang w:val="fr-FR" w:eastAsia="de-AT"/>
              </w:rPr>
            </w:pPr>
          </w:p>
        </w:tc>
        <w:tc>
          <w:tcPr>
            <w:tcW w:w="84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Total</w:t>
            </w:r>
          </w:p>
        </w:tc>
        <w:tc>
          <w:tcPr>
            <w:tcW w:w="480" w:type="dxa"/>
            <w:tcBorders>
              <w:top w:val="nil"/>
              <w:left w:val="nil"/>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215</w:t>
            </w:r>
          </w:p>
        </w:tc>
        <w:tc>
          <w:tcPr>
            <w:tcW w:w="480"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215</w:t>
            </w:r>
          </w:p>
        </w:tc>
        <w:tc>
          <w:tcPr>
            <w:tcW w:w="480"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123</w:t>
            </w:r>
          </w:p>
        </w:tc>
        <w:tc>
          <w:tcPr>
            <w:tcW w:w="569"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265</w:t>
            </w:r>
          </w:p>
        </w:tc>
        <w:tc>
          <w:tcPr>
            <w:tcW w:w="487"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5</w:t>
            </w:r>
          </w:p>
        </w:tc>
        <w:tc>
          <w:tcPr>
            <w:tcW w:w="384"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w:t>
            </w:r>
          </w:p>
        </w:tc>
        <w:tc>
          <w:tcPr>
            <w:tcW w:w="451"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64</w:t>
            </w:r>
          </w:p>
        </w:tc>
        <w:tc>
          <w:tcPr>
            <w:tcW w:w="553"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3</w:t>
            </w:r>
          </w:p>
        </w:tc>
        <w:tc>
          <w:tcPr>
            <w:tcW w:w="436"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544</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223</w:t>
            </w:r>
          </w:p>
        </w:tc>
        <w:tc>
          <w:tcPr>
            <w:tcW w:w="48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126</w:t>
            </w:r>
          </w:p>
        </w:tc>
        <w:tc>
          <w:tcPr>
            <w:tcW w:w="450"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51</w:t>
            </w:r>
          </w:p>
        </w:tc>
        <w:tc>
          <w:tcPr>
            <w:tcW w:w="553"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2</w:t>
            </w:r>
          </w:p>
        </w:tc>
        <w:tc>
          <w:tcPr>
            <w:tcW w:w="437"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2</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single" w:sz="8"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val="restart"/>
            <w:tcBorders>
              <w:top w:val="nil"/>
              <w:left w:val="single" w:sz="8" w:space="0" w:color="auto"/>
              <w:bottom w:val="single" w:sz="8" w:space="0" w:color="000000"/>
              <w:right w:val="nil"/>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Brussels III</w:t>
            </w:r>
          </w:p>
        </w:tc>
        <w:tc>
          <w:tcPr>
            <w:tcW w:w="840" w:type="dxa"/>
            <w:tcBorders>
              <w:top w:val="nil"/>
              <w:left w:val="single" w:sz="8" w:space="0" w:color="auto"/>
              <w:bottom w:val="single" w:sz="4"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 xml:space="preserve">Mat. &amp; </w:t>
            </w:r>
            <w:proofErr w:type="spellStart"/>
            <w:r w:rsidRPr="00E27E50">
              <w:rPr>
                <w:rFonts w:cs="Arial"/>
                <w:b/>
                <w:bCs/>
                <w:color w:val="333399"/>
                <w:sz w:val="12"/>
                <w:szCs w:val="12"/>
                <w:lang w:val="fr-FR" w:eastAsia="de-AT"/>
              </w:rPr>
              <w:t>Prim</w:t>
            </w:r>
            <w:proofErr w:type="spellEnd"/>
            <w:r w:rsidRPr="00E27E50">
              <w:rPr>
                <w:rFonts w:cs="Arial"/>
                <w:b/>
                <w:bCs/>
                <w:color w:val="333399"/>
                <w:sz w:val="12"/>
                <w:szCs w:val="12"/>
                <w:lang w:val="fr-FR" w:eastAsia="de-AT"/>
              </w:rPr>
              <w:t>.</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86</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39</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71</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30</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80" w:type="dxa"/>
            <w:tcBorders>
              <w:top w:val="nil"/>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120</w:t>
            </w:r>
          </w:p>
        </w:tc>
        <w:tc>
          <w:tcPr>
            <w:tcW w:w="480" w:type="dxa"/>
            <w:tcBorders>
              <w:top w:val="nil"/>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40</w:t>
            </w:r>
          </w:p>
        </w:tc>
        <w:tc>
          <w:tcPr>
            <w:tcW w:w="480" w:type="dxa"/>
            <w:tcBorders>
              <w:top w:val="nil"/>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72</w:t>
            </w:r>
          </w:p>
        </w:tc>
        <w:tc>
          <w:tcPr>
            <w:tcW w:w="450"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553"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37"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499</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147</w:t>
            </w: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auto"/>
                <w:sz w:val="12"/>
                <w:szCs w:val="12"/>
                <w:lang w:val="fr-FR" w:eastAsia="de-AT"/>
              </w:rPr>
            </w:pPr>
          </w:p>
        </w:tc>
        <w:tc>
          <w:tcPr>
            <w:tcW w:w="840" w:type="dxa"/>
            <w:tcBorders>
              <w:top w:val="nil"/>
              <w:left w:val="single" w:sz="8" w:space="0" w:color="auto"/>
              <w:bottom w:val="nil"/>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Secondaire</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155</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99</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31</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132</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5</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5</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54</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80" w:type="dxa"/>
            <w:tcBorders>
              <w:top w:val="single" w:sz="8" w:space="0" w:color="auto"/>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341</w:t>
            </w:r>
          </w:p>
        </w:tc>
        <w:tc>
          <w:tcPr>
            <w:tcW w:w="480" w:type="dxa"/>
            <w:tcBorders>
              <w:top w:val="single" w:sz="8" w:space="0" w:color="auto"/>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107</w:t>
            </w:r>
          </w:p>
        </w:tc>
        <w:tc>
          <w:tcPr>
            <w:tcW w:w="480" w:type="dxa"/>
            <w:tcBorders>
              <w:top w:val="single" w:sz="8" w:space="0" w:color="auto"/>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36</w:t>
            </w:r>
          </w:p>
        </w:tc>
        <w:tc>
          <w:tcPr>
            <w:tcW w:w="450"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553"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37"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108</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auto"/>
                <w:sz w:val="12"/>
                <w:szCs w:val="12"/>
                <w:lang w:val="fr-FR" w:eastAsia="de-AT"/>
              </w:rPr>
            </w:pPr>
          </w:p>
        </w:tc>
        <w:tc>
          <w:tcPr>
            <w:tcW w:w="84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Total</w:t>
            </w:r>
          </w:p>
        </w:tc>
        <w:tc>
          <w:tcPr>
            <w:tcW w:w="480" w:type="dxa"/>
            <w:tcBorders>
              <w:top w:val="nil"/>
              <w:left w:val="nil"/>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241</w:t>
            </w:r>
          </w:p>
        </w:tc>
        <w:tc>
          <w:tcPr>
            <w:tcW w:w="480"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138</w:t>
            </w:r>
          </w:p>
        </w:tc>
        <w:tc>
          <w:tcPr>
            <w:tcW w:w="480"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102</w:t>
            </w:r>
          </w:p>
        </w:tc>
        <w:tc>
          <w:tcPr>
            <w:tcW w:w="569"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162</w:t>
            </w:r>
          </w:p>
        </w:tc>
        <w:tc>
          <w:tcPr>
            <w:tcW w:w="487"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w:t>
            </w:r>
          </w:p>
        </w:tc>
        <w:tc>
          <w:tcPr>
            <w:tcW w:w="384"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w:t>
            </w:r>
          </w:p>
        </w:tc>
        <w:tc>
          <w:tcPr>
            <w:tcW w:w="451"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58</w:t>
            </w:r>
          </w:p>
        </w:tc>
        <w:tc>
          <w:tcPr>
            <w:tcW w:w="553"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3</w:t>
            </w:r>
          </w:p>
        </w:tc>
        <w:tc>
          <w:tcPr>
            <w:tcW w:w="436"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0</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461</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147</w:t>
            </w:r>
          </w:p>
        </w:tc>
        <w:tc>
          <w:tcPr>
            <w:tcW w:w="48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108</w:t>
            </w:r>
          </w:p>
        </w:tc>
        <w:tc>
          <w:tcPr>
            <w:tcW w:w="450"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38</w:t>
            </w:r>
          </w:p>
        </w:tc>
        <w:tc>
          <w:tcPr>
            <w:tcW w:w="553"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0</w:t>
            </w:r>
          </w:p>
        </w:tc>
        <w:tc>
          <w:tcPr>
            <w:tcW w:w="437"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0</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single" w:sz="8"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val="restart"/>
            <w:tcBorders>
              <w:top w:val="nil"/>
              <w:left w:val="single" w:sz="8" w:space="0" w:color="auto"/>
              <w:bottom w:val="single" w:sz="8" w:space="0" w:color="000000"/>
              <w:right w:val="nil"/>
            </w:tcBorders>
            <w:shd w:val="clear" w:color="auto" w:fill="auto"/>
            <w:noWrap/>
            <w:vAlign w:val="center"/>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Brussels IV</w:t>
            </w:r>
          </w:p>
        </w:tc>
        <w:tc>
          <w:tcPr>
            <w:tcW w:w="840" w:type="dxa"/>
            <w:tcBorders>
              <w:top w:val="nil"/>
              <w:left w:val="single" w:sz="8" w:space="0" w:color="auto"/>
              <w:bottom w:val="single" w:sz="4"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 xml:space="preserve">Mat. &amp; </w:t>
            </w:r>
            <w:proofErr w:type="spellStart"/>
            <w:r w:rsidRPr="00E27E50">
              <w:rPr>
                <w:rFonts w:cs="Arial"/>
                <w:b/>
                <w:bCs/>
                <w:color w:val="333399"/>
                <w:sz w:val="12"/>
                <w:szCs w:val="12"/>
                <w:lang w:val="fr-FR" w:eastAsia="de-AT"/>
              </w:rPr>
              <w:t>Prim</w:t>
            </w:r>
            <w:proofErr w:type="spellEnd"/>
            <w:r w:rsidRPr="00E27E50">
              <w:rPr>
                <w:rFonts w:cs="Arial"/>
                <w:b/>
                <w:bCs/>
                <w:color w:val="333399"/>
                <w:sz w:val="12"/>
                <w:szCs w:val="12"/>
                <w:lang w:val="fr-FR" w:eastAsia="de-AT"/>
              </w:rPr>
              <w:t>.</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193</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76</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74</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8</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80" w:type="dxa"/>
            <w:tcBorders>
              <w:top w:val="nil"/>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201</w:t>
            </w:r>
          </w:p>
        </w:tc>
        <w:tc>
          <w:tcPr>
            <w:tcW w:w="480" w:type="dxa"/>
            <w:tcBorders>
              <w:top w:val="nil"/>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76</w:t>
            </w:r>
          </w:p>
        </w:tc>
        <w:tc>
          <w:tcPr>
            <w:tcW w:w="480" w:type="dxa"/>
            <w:tcBorders>
              <w:top w:val="nil"/>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74</w:t>
            </w:r>
          </w:p>
        </w:tc>
        <w:tc>
          <w:tcPr>
            <w:tcW w:w="450"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553"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37"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460</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179</w:t>
            </w: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333399"/>
                <w:sz w:val="12"/>
                <w:szCs w:val="12"/>
                <w:lang w:val="fr-FR" w:eastAsia="de-AT"/>
              </w:rPr>
            </w:pPr>
          </w:p>
        </w:tc>
        <w:tc>
          <w:tcPr>
            <w:tcW w:w="840" w:type="dxa"/>
            <w:tcBorders>
              <w:top w:val="nil"/>
              <w:left w:val="single" w:sz="8" w:space="0" w:color="auto"/>
              <w:bottom w:val="nil"/>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Secondaire</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126</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101</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74</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29</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80" w:type="dxa"/>
            <w:tcBorders>
              <w:top w:val="single" w:sz="8" w:space="0" w:color="auto"/>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229</w:t>
            </w:r>
          </w:p>
        </w:tc>
        <w:tc>
          <w:tcPr>
            <w:tcW w:w="480" w:type="dxa"/>
            <w:tcBorders>
              <w:top w:val="single" w:sz="8" w:space="0" w:color="auto"/>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101</w:t>
            </w:r>
          </w:p>
        </w:tc>
        <w:tc>
          <w:tcPr>
            <w:tcW w:w="480" w:type="dxa"/>
            <w:tcBorders>
              <w:top w:val="single" w:sz="8" w:space="0" w:color="auto"/>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0</w:t>
            </w:r>
          </w:p>
        </w:tc>
        <w:tc>
          <w:tcPr>
            <w:tcW w:w="450"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553"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37"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74</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333399"/>
                <w:sz w:val="12"/>
                <w:szCs w:val="12"/>
                <w:lang w:val="fr-FR" w:eastAsia="de-AT"/>
              </w:rPr>
            </w:pPr>
          </w:p>
        </w:tc>
        <w:tc>
          <w:tcPr>
            <w:tcW w:w="84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Total</w:t>
            </w:r>
          </w:p>
        </w:tc>
        <w:tc>
          <w:tcPr>
            <w:tcW w:w="480" w:type="dxa"/>
            <w:tcBorders>
              <w:top w:val="nil"/>
              <w:left w:val="nil"/>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319</w:t>
            </w:r>
          </w:p>
        </w:tc>
        <w:tc>
          <w:tcPr>
            <w:tcW w:w="480"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177</w:t>
            </w:r>
          </w:p>
        </w:tc>
        <w:tc>
          <w:tcPr>
            <w:tcW w:w="480"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74</w:t>
            </w:r>
          </w:p>
        </w:tc>
        <w:tc>
          <w:tcPr>
            <w:tcW w:w="569"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74</w:t>
            </w:r>
          </w:p>
        </w:tc>
        <w:tc>
          <w:tcPr>
            <w:tcW w:w="487"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0</w:t>
            </w:r>
          </w:p>
        </w:tc>
        <w:tc>
          <w:tcPr>
            <w:tcW w:w="384"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0</w:t>
            </w:r>
          </w:p>
        </w:tc>
        <w:tc>
          <w:tcPr>
            <w:tcW w:w="451"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37</w:t>
            </w:r>
          </w:p>
        </w:tc>
        <w:tc>
          <w:tcPr>
            <w:tcW w:w="553"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0</w:t>
            </w:r>
          </w:p>
        </w:tc>
        <w:tc>
          <w:tcPr>
            <w:tcW w:w="436"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0</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430</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177</w:t>
            </w:r>
          </w:p>
        </w:tc>
        <w:tc>
          <w:tcPr>
            <w:tcW w:w="48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74</w:t>
            </w:r>
          </w:p>
        </w:tc>
        <w:tc>
          <w:tcPr>
            <w:tcW w:w="450"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30</w:t>
            </w:r>
          </w:p>
        </w:tc>
        <w:tc>
          <w:tcPr>
            <w:tcW w:w="553"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2</w:t>
            </w:r>
          </w:p>
        </w:tc>
        <w:tc>
          <w:tcPr>
            <w:tcW w:w="437"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0</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single" w:sz="8"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val="restart"/>
            <w:tcBorders>
              <w:top w:val="nil"/>
              <w:left w:val="single" w:sz="8" w:space="0" w:color="auto"/>
              <w:bottom w:val="single" w:sz="8" w:space="0" w:color="000000"/>
              <w:right w:val="nil"/>
            </w:tcBorders>
            <w:shd w:val="clear" w:color="auto" w:fill="auto"/>
            <w:noWrap/>
            <w:vAlign w:val="center"/>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Francfort</w:t>
            </w:r>
          </w:p>
        </w:tc>
        <w:tc>
          <w:tcPr>
            <w:tcW w:w="840" w:type="dxa"/>
            <w:tcBorders>
              <w:top w:val="nil"/>
              <w:left w:val="single" w:sz="8" w:space="0" w:color="auto"/>
              <w:bottom w:val="single" w:sz="4"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 xml:space="preserve">Mat. &amp; </w:t>
            </w:r>
            <w:proofErr w:type="spellStart"/>
            <w:r w:rsidRPr="00E27E50">
              <w:rPr>
                <w:rFonts w:cs="Arial"/>
                <w:b/>
                <w:bCs/>
                <w:color w:val="333399"/>
                <w:sz w:val="12"/>
                <w:szCs w:val="12"/>
                <w:lang w:val="fr-FR" w:eastAsia="de-AT"/>
              </w:rPr>
              <w:t>Prim</w:t>
            </w:r>
            <w:proofErr w:type="spellEnd"/>
            <w:r w:rsidRPr="00E27E50">
              <w:rPr>
                <w:rFonts w:cs="Arial"/>
                <w:b/>
                <w:bCs/>
                <w:color w:val="333399"/>
                <w:sz w:val="12"/>
                <w:szCs w:val="12"/>
                <w:lang w:val="fr-FR" w:eastAsia="de-AT"/>
              </w:rPr>
              <w:t>.</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82</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20</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30</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49</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9</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80" w:type="dxa"/>
            <w:tcBorders>
              <w:top w:val="nil"/>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140</w:t>
            </w:r>
          </w:p>
        </w:tc>
        <w:tc>
          <w:tcPr>
            <w:tcW w:w="480" w:type="dxa"/>
            <w:tcBorders>
              <w:top w:val="nil"/>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22</w:t>
            </w:r>
          </w:p>
        </w:tc>
        <w:tc>
          <w:tcPr>
            <w:tcW w:w="480" w:type="dxa"/>
            <w:tcBorders>
              <w:top w:val="nil"/>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31</w:t>
            </w:r>
          </w:p>
        </w:tc>
        <w:tc>
          <w:tcPr>
            <w:tcW w:w="450"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553"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37"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393</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66</w:t>
            </w: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333399"/>
                <w:sz w:val="12"/>
                <w:szCs w:val="12"/>
                <w:lang w:val="fr-FR" w:eastAsia="de-AT"/>
              </w:rPr>
            </w:pPr>
          </w:p>
        </w:tc>
        <w:tc>
          <w:tcPr>
            <w:tcW w:w="840" w:type="dxa"/>
            <w:tcBorders>
              <w:top w:val="nil"/>
              <w:left w:val="single" w:sz="8" w:space="0" w:color="auto"/>
              <w:bottom w:val="nil"/>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Secondaire</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80</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38</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34</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71</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62</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80" w:type="dxa"/>
            <w:tcBorders>
              <w:top w:val="single" w:sz="8" w:space="0" w:color="auto"/>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213</w:t>
            </w:r>
          </w:p>
        </w:tc>
        <w:tc>
          <w:tcPr>
            <w:tcW w:w="480" w:type="dxa"/>
            <w:tcBorders>
              <w:top w:val="single" w:sz="8" w:space="0" w:color="auto"/>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43</w:t>
            </w:r>
          </w:p>
        </w:tc>
        <w:tc>
          <w:tcPr>
            <w:tcW w:w="480" w:type="dxa"/>
            <w:tcBorders>
              <w:top w:val="single" w:sz="8" w:space="0" w:color="auto"/>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36</w:t>
            </w:r>
          </w:p>
        </w:tc>
        <w:tc>
          <w:tcPr>
            <w:tcW w:w="450"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553"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37"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67</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333399"/>
                <w:sz w:val="12"/>
                <w:szCs w:val="12"/>
                <w:lang w:val="fr-FR" w:eastAsia="de-AT"/>
              </w:rPr>
            </w:pPr>
          </w:p>
        </w:tc>
        <w:tc>
          <w:tcPr>
            <w:tcW w:w="84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Total</w:t>
            </w:r>
          </w:p>
        </w:tc>
        <w:tc>
          <w:tcPr>
            <w:tcW w:w="480" w:type="dxa"/>
            <w:tcBorders>
              <w:top w:val="nil"/>
              <w:left w:val="nil"/>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162</w:t>
            </w:r>
          </w:p>
        </w:tc>
        <w:tc>
          <w:tcPr>
            <w:tcW w:w="480"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58</w:t>
            </w:r>
          </w:p>
        </w:tc>
        <w:tc>
          <w:tcPr>
            <w:tcW w:w="480"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64</w:t>
            </w:r>
          </w:p>
        </w:tc>
        <w:tc>
          <w:tcPr>
            <w:tcW w:w="569"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120</w:t>
            </w:r>
          </w:p>
        </w:tc>
        <w:tc>
          <w:tcPr>
            <w:tcW w:w="487"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4</w:t>
            </w:r>
          </w:p>
        </w:tc>
        <w:tc>
          <w:tcPr>
            <w:tcW w:w="384"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3</w:t>
            </w:r>
          </w:p>
        </w:tc>
        <w:tc>
          <w:tcPr>
            <w:tcW w:w="451"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71</w:t>
            </w:r>
          </w:p>
        </w:tc>
        <w:tc>
          <w:tcPr>
            <w:tcW w:w="553"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3</w:t>
            </w:r>
          </w:p>
        </w:tc>
        <w:tc>
          <w:tcPr>
            <w:tcW w:w="436"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0</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353</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65</w:t>
            </w:r>
          </w:p>
        </w:tc>
        <w:tc>
          <w:tcPr>
            <w:tcW w:w="48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67</w:t>
            </w:r>
          </w:p>
        </w:tc>
        <w:tc>
          <w:tcPr>
            <w:tcW w:w="450"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40</w:t>
            </w:r>
          </w:p>
        </w:tc>
        <w:tc>
          <w:tcPr>
            <w:tcW w:w="553"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1</w:t>
            </w:r>
          </w:p>
        </w:tc>
        <w:tc>
          <w:tcPr>
            <w:tcW w:w="437"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0</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single" w:sz="8"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val="restart"/>
            <w:tcBorders>
              <w:top w:val="nil"/>
              <w:left w:val="single" w:sz="8" w:space="0" w:color="auto"/>
              <w:bottom w:val="single" w:sz="8" w:space="0" w:color="000000"/>
              <w:right w:val="nil"/>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Karlsruhe</w:t>
            </w:r>
          </w:p>
        </w:tc>
        <w:tc>
          <w:tcPr>
            <w:tcW w:w="840" w:type="dxa"/>
            <w:tcBorders>
              <w:top w:val="nil"/>
              <w:left w:val="single" w:sz="8" w:space="0" w:color="auto"/>
              <w:bottom w:val="single" w:sz="4"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 xml:space="preserve">Mat. &amp; </w:t>
            </w:r>
            <w:proofErr w:type="spellStart"/>
            <w:r w:rsidRPr="00E27E50">
              <w:rPr>
                <w:rFonts w:cs="Arial"/>
                <w:b/>
                <w:bCs/>
                <w:color w:val="333399"/>
                <w:sz w:val="12"/>
                <w:szCs w:val="12"/>
                <w:lang w:val="fr-FR" w:eastAsia="de-AT"/>
              </w:rPr>
              <w:t>Prim</w:t>
            </w:r>
            <w:proofErr w:type="spellEnd"/>
            <w:r w:rsidRPr="00E27E50">
              <w:rPr>
                <w:rFonts w:cs="Arial"/>
                <w:b/>
                <w:bCs/>
                <w:color w:val="333399"/>
                <w:sz w:val="12"/>
                <w:szCs w:val="12"/>
                <w:lang w:val="fr-FR" w:eastAsia="de-AT"/>
              </w:rPr>
              <w:t>.</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70</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22</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24</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30</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5</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80" w:type="dxa"/>
            <w:tcBorders>
              <w:top w:val="nil"/>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105</w:t>
            </w:r>
          </w:p>
        </w:tc>
        <w:tc>
          <w:tcPr>
            <w:tcW w:w="480" w:type="dxa"/>
            <w:tcBorders>
              <w:top w:val="nil"/>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23</w:t>
            </w:r>
          </w:p>
        </w:tc>
        <w:tc>
          <w:tcPr>
            <w:tcW w:w="480" w:type="dxa"/>
            <w:tcBorders>
              <w:top w:val="nil"/>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25</w:t>
            </w:r>
          </w:p>
        </w:tc>
        <w:tc>
          <w:tcPr>
            <w:tcW w:w="450"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553"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37"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343</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76</w:t>
            </w: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auto"/>
                <w:sz w:val="12"/>
                <w:szCs w:val="12"/>
                <w:lang w:val="fr-FR" w:eastAsia="de-AT"/>
              </w:rPr>
            </w:pPr>
          </w:p>
        </w:tc>
        <w:tc>
          <w:tcPr>
            <w:tcW w:w="840" w:type="dxa"/>
            <w:tcBorders>
              <w:top w:val="nil"/>
              <w:left w:val="single" w:sz="8" w:space="0" w:color="auto"/>
              <w:bottom w:val="nil"/>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Secondaire</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105</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42</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20</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56</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22</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5</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80" w:type="dxa"/>
            <w:tcBorders>
              <w:top w:val="single" w:sz="8" w:space="0" w:color="auto"/>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183</w:t>
            </w:r>
          </w:p>
        </w:tc>
        <w:tc>
          <w:tcPr>
            <w:tcW w:w="480" w:type="dxa"/>
            <w:tcBorders>
              <w:top w:val="single" w:sz="8" w:space="0" w:color="auto"/>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50</w:t>
            </w:r>
          </w:p>
        </w:tc>
        <w:tc>
          <w:tcPr>
            <w:tcW w:w="480" w:type="dxa"/>
            <w:tcBorders>
              <w:top w:val="single" w:sz="8" w:space="0" w:color="auto"/>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22</w:t>
            </w:r>
          </w:p>
        </w:tc>
        <w:tc>
          <w:tcPr>
            <w:tcW w:w="450"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553"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37"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47</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auto"/>
                <w:sz w:val="12"/>
                <w:szCs w:val="12"/>
                <w:lang w:val="fr-FR" w:eastAsia="de-AT"/>
              </w:rPr>
            </w:pPr>
          </w:p>
        </w:tc>
        <w:tc>
          <w:tcPr>
            <w:tcW w:w="84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Total</w:t>
            </w:r>
          </w:p>
        </w:tc>
        <w:tc>
          <w:tcPr>
            <w:tcW w:w="480" w:type="dxa"/>
            <w:tcBorders>
              <w:top w:val="nil"/>
              <w:left w:val="nil"/>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175</w:t>
            </w:r>
          </w:p>
        </w:tc>
        <w:tc>
          <w:tcPr>
            <w:tcW w:w="480"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64</w:t>
            </w:r>
          </w:p>
        </w:tc>
        <w:tc>
          <w:tcPr>
            <w:tcW w:w="480"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44</w:t>
            </w:r>
          </w:p>
        </w:tc>
        <w:tc>
          <w:tcPr>
            <w:tcW w:w="569"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86</w:t>
            </w:r>
          </w:p>
        </w:tc>
        <w:tc>
          <w:tcPr>
            <w:tcW w:w="487"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4</w:t>
            </w:r>
          </w:p>
        </w:tc>
        <w:tc>
          <w:tcPr>
            <w:tcW w:w="384"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3</w:t>
            </w:r>
          </w:p>
        </w:tc>
        <w:tc>
          <w:tcPr>
            <w:tcW w:w="451"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27</w:t>
            </w:r>
          </w:p>
        </w:tc>
        <w:tc>
          <w:tcPr>
            <w:tcW w:w="553"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5</w:t>
            </w:r>
          </w:p>
        </w:tc>
        <w:tc>
          <w:tcPr>
            <w:tcW w:w="436"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0</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288</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73</w:t>
            </w:r>
          </w:p>
        </w:tc>
        <w:tc>
          <w:tcPr>
            <w:tcW w:w="48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47</w:t>
            </w:r>
          </w:p>
        </w:tc>
        <w:tc>
          <w:tcPr>
            <w:tcW w:w="450"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55</w:t>
            </w:r>
          </w:p>
        </w:tc>
        <w:tc>
          <w:tcPr>
            <w:tcW w:w="553"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3</w:t>
            </w:r>
          </w:p>
        </w:tc>
        <w:tc>
          <w:tcPr>
            <w:tcW w:w="437"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0</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single" w:sz="8"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val="restart"/>
            <w:tcBorders>
              <w:top w:val="nil"/>
              <w:left w:val="single" w:sz="8" w:space="0" w:color="auto"/>
              <w:bottom w:val="single" w:sz="8" w:space="0" w:color="000000"/>
              <w:right w:val="nil"/>
            </w:tcBorders>
            <w:shd w:val="clear" w:color="auto" w:fill="auto"/>
            <w:noWrap/>
            <w:vAlign w:val="center"/>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Luxembourg I</w:t>
            </w:r>
          </w:p>
        </w:tc>
        <w:tc>
          <w:tcPr>
            <w:tcW w:w="840" w:type="dxa"/>
            <w:tcBorders>
              <w:top w:val="nil"/>
              <w:left w:val="single" w:sz="8" w:space="0" w:color="auto"/>
              <w:bottom w:val="single" w:sz="4"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 xml:space="preserve">Mat. &amp; </w:t>
            </w:r>
            <w:proofErr w:type="spellStart"/>
            <w:r w:rsidRPr="00E27E50">
              <w:rPr>
                <w:rFonts w:cs="Arial"/>
                <w:b/>
                <w:bCs/>
                <w:color w:val="333399"/>
                <w:sz w:val="12"/>
                <w:szCs w:val="12"/>
                <w:lang w:val="fr-FR" w:eastAsia="de-AT"/>
              </w:rPr>
              <w:t>Prim</w:t>
            </w:r>
            <w:proofErr w:type="spellEnd"/>
            <w:r w:rsidRPr="00E27E50">
              <w:rPr>
                <w:rFonts w:cs="Arial"/>
                <w:b/>
                <w:bCs/>
                <w:color w:val="333399"/>
                <w:sz w:val="12"/>
                <w:szCs w:val="12"/>
                <w:lang w:val="fr-FR" w:eastAsia="de-AT"/>
              </w:rPr>
              <w:t>.</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113</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78</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78</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56</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26</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7</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5</w:t>
            </w:r>
          </w:p>
        </w:tc>
        <w:tc>
          <w:tcPr>
            <w:tcW w:w="480" w:type="dxa"/>
            <w:tcBorders>
              <w:top w:val="nil"/>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195</w:t>
            </w:r>
          </w:p>
        </w:tc>
        <w:tc>
          <w:tcPr>
            <w:tcW w:w="480" w:type="dxa"/>
            <w:tcBorders>
              <w:top w:val="nil"/>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87</w:t>
            </w:r>
          </w:p>
        </w:tc>
        <w:tc>
          <w:tcPr>
            <w:tcW w:w="480" w:type="dxa"/>
            <w:tcBorders>
              <w:top w:val="nil"/>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85</w:t>
            </w:r>
          </w:p>
        </w:tc>
        <w:tc>
          <w:tcPr>
            <w:tcW w:w="450"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553"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37"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600</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292</w:t>
            </w: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333399"/>
                <w:sz w:val="12"/>
                <w:szCs w:val="12"/>
                <w:lang w:val="fr-FR" w:eastAsia="de-AT"/>
              </w:rPr>
            </w:pPr>
          </w:p>
        </w:tc>
        <w:tc>
          <w:tcPr>
            <w:tcW w:w="840" w:type="dxa"/>
            <w:tcBorders>
              <w:top w:val="nil"/>
              <w:left w:val="single" w:sz="8" w:space="0" w:color="auto"/>
              <w:bottom w:val="nil"/>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Secondaire</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158</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191</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130</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144</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7</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34</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80" w:type="dxa"/>
            <w:tcBorders>
              <w:top w:val="single" w:sz="8" w:space="0" w:color="auto"/>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336</w:t>
            </w:r>
          </w:p>
        </w:tc>
        <w:tc>
          <w:tcPr>
            <w:tcW w:w="480" w:type="dxa"/>
            <w:tcBorders>
              <w:top w:val="single" w:sz="8" w:space="0" w:color="auto"/>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201</w:t>
            </w:r>
          </w:p>
        </w:tc>
        <w:tc>
          <w:tcPr>
            <w:tcW w:w="480" w:type="dxa"/>
            <w:tcBorders>
              <w:top w:val="single" w:sz="8" w:space="0" w:color="auto"/>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131</w:t>
            </w:r>
          </w:p>
        </w:tc>
        <w:tc>
          <w:tcPr>
            <w:tcW w:w="450"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553"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37"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218</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333399"/>
                <w:sz w:val="12"/>
                <w:szCs w:val="12"/>
                <w:lang w:val="fr-FR" w:eastAsia="de-AT"/>
              </w:rPr>
            </w:pPr>
          </w:p>
        </w:tc>
        <w:tc>
          <w:tcPr>
            <w:tcW w:w="84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Total</w:t>
            </w:r>
          </w:p>
        </w:tc>
        <w:tc>
          <w:tcPr>
            <w:tcW w:w="480" w:type="dxa"/>
            <w:tcBorders>
              <w:top w:val="nil"/>
              <w:left w:val="nil"/>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271</w:t>
            </w:r>
          </w:p>
        </w:tc>
        <w:tc>
          <w:tcPr>
            <w:tcW w:w="480"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269</w:t>
            </w:r>
          </w:p>
        </w:tc>
        <w:tc>
          <w:tcPr>
            <w:tcW w:w="480"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208</w:t>
            </w:r>
          </w:p>
        </w:tc>
        <w:tc>
          <w:tcPr>
            <w:tcW w:w="569"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200</w:t>
            </w:r>
          </w:p>
        </w:tc>
        <w:tc>
          <w:tcPr>
            <w:tcW w:w="487"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9</w:t>
            </w:r>
          </w:p>
        </w:tc>
        <w:tc>
          <w:tcPr>
            <w:tcW w:w="384"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3</w:t>
            </w:r>
          </w:p>
        </w:tc>
        <w:tc>
          <w:tcPr>
            <w:tcW w:w="451"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60</w:t>
            </w:r>
          </w:p>
        </w:tc>
        <w:tc>
          <w:tcPr>
            <w:tcW w:w="553"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10</w:t>
            </w:r>
          </w:p>
        </w:tc>
        <w:tc>
          <w:tcPr>
            <w:tcW w:w="436"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5</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531</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288</w:t>
            </w:r>
          </w:p>
        </w:tc>
        <w:tc>
          <w:tcPr>
            <w:tcW w:w="48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216</w:t>
            </w:r>
          </w:p>
        </w:tc>
        <w:tc>
          <w:tcPr>
            <w:tcW w:w="450"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69</w:t>
            </w:r>
          </w:p>
        </w:tc>
        <w:tc>
          <w:tcPr>
            <w:tcW w:w="553"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4</w:t>
            </w:r>
          </w:p>
        </w:tc>
        <w:tc>
          <w:tcPr>
            <w:tcW w:w="437"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2</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single" w:sz="8"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val="restart"/>
            <w:tcBorders>
              <w:top w:val="nil"/>
              <w:left w:val="single" w:sz="8" w:space="0" w:color="auto"/>
              <w:bottom w:val="single" w:sz="8" w:space="0" w:color="000000"/>
              <w:right w:val="nil"/>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Luxembourg II</w:t>
            </w:r>
          </w:p>
        </w:tc>
        <w:tc>
          <w:tcPr>
            <w:tcW w:w="840" w:type="dxa"/>
            <w:tcBorders>
              <w:top w:val="nil"/>
              <w:left w:val="single" w:sz="8" w:space="0" w:color="auto"/>
              <w:bottom w:val="single" w:sz="4"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 xml:space="preserve">Mat. &amp; </w:t>
            </w:r>
            <w:proofErr w:type="spellStart"/>
            <w:r w:rsidRPr="00E27E50">
              <w:rPr>
                <w:rFonts w:cs="Arial"/>
                <w:b/>
                <w:bCs/>
                <w:color w:val="333399"/>
                <w:sz w:val="12"/>
                <w:szCs w:val="12"/>
                <w:lang w:val="fr-FR" w:eastAsia="de-AT"/>
              </w:rPr>
              <w:t>Prim</w:t>
            </w:r>
            <w:proofErr w:type="spellEnd"/>
            <w:r w:rsidRPr="00E27E50">
              <w:rPr>
                <w:rFonts w:cs="Arial"/>
                <w:b/>
                <w:bCs/>
                <w:color w:val="333399"/>
                <w:sz w:val="12"/>
                <w:szCs w:val="12"/>
                <w:lang w:val="fr-FR" w:eastAsia="de-AT"/>
              </w:rPr>
              <w:t>.</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127</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78</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78</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AC7D09">
            <w:pPr>
              <w:jc w:val="center"/>
              <w:rPr>
                <w:rFonts w:cs="Arial"/>
                <w:color w:val="000000"/>
                <w:sz w:val="12"/>
                <w:szCs w:val="12"/>
                <w:lang w:val="fr-FR" w:eastAsia="de-AT"/>
              </w:rPr>
            </w:pPr>
            <w:r w:rsidRPr="00E27E50">
              <w:rPr>
                <w:rFonts w:cs="Arial"/>
                <w:color w:val="000000"/>
                <w:sz w:val="12"/>
                <w:szCs w:val="12"/>
                <w:lang w:val="fr-FR" w:eastAsia="de-AT"/>
              </w:rPr>
              <w:t>99</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11</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12</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12</w:t>
            </w:r>
          </w:p>
        </w:tc>
        <w:tc>
          <w:tcPr>
            <w:tcW w:w="480" w:type="dxa"/>
            <w:tcBorders>
              <w:top w:val="nil"/>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237</w:t>
            </w:r>
          </w:p>
        </w:tc>
        <w:tc>
          <w:tcPr>
            <w:tcW w:w="480" w:type="dxa"/>
            <w:tcBorders>
              <w:top w:val="nil"/>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94</w:t>
            </w:r>
          </w:p>
        </w:tc>
        <w:tc>
          <w:tcPr>
            <w:tcW w:w="480" w:type="dxa"/>
            <w:tcBorders>
              <w:top w:val="nil"/>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94</w:t>
            </w:r>
          </w:p>
        </w:tc>
        <w:tc>
          <w:tcPr>
            <w:tcW w:w="450"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553"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37"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729</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239</w:t>
            </w: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auto"/>
                <w:sz w:val="12"/>
                <w:szCs w:val="12"/>
                <w:lang w:val="fr-FR" w:eastAsia="de-AT"/>
              </w:rPr>
            </w:pPr>
          </w:p>
        </w:tc>
        <w:tc>
          <w:tcPr>
            <w:tcW w:w="840" w:type="dxa"/>
            <w:tcBorders>
              <w:top w:val="nil"/>
              <w:left w:val="single" w:sz="8" w:space="0" w:color="auto"/>
              <w:bottom w:val="nil"/>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Secondaire</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135</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122</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122</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184</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8</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8</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44</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w:t>
            </w:r>
          </w:p>
        </w:tc>
        <w:tc>
          <w:tcPr>
            <w:tcW w:w="480" w:type="dxa"/>
            <w:tcBorders>
              <w:top w:val="single" w:sz="8" w:space="0" w:color="auto"/>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363</w:t>
            </w:r>
          </w:p>
        </w:tc>
        <w:tc>
          <w:tcPr>
            <w:tcW w:w="480" w:type="dxa"/>
            <w:tcBorders>
              <w:top w:val="single" w:sz="8" w:space="0" w:color="auto"/>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134</w:t>
            </w:r>
          </w:p>
        </w:tc>
        <w:tc>
          <w:tcPr>
            <w:tcW w:w="480" w:type="dxa"/>
            <w:tcBorders>
              <w:top w:val="single" w:sz="8" w:space="0" w:color="auto"/>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132</w:t>
            </w:r>
          </w:p>
        </w:tc>
        <w:tc>
          <w:tcPr>
            <w:tcW w:w="450"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553"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37"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227</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auto"/>
                <w:sz w:val="12"/>
                <w:szCs w:val="12"/>
                <w:lang w:val="fr-FR" w:eastAsia="de-AT"/>
              </w:rPr>
            </w:pPr>
          </w:p>
        </w:tc>
        <w:tc>
          <w:tcPr>
            <w:tcW w:w="84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Total</w:t>
            </w:r>
          </w:p>
        </w:tc>
        <w:tc>
          <w:tcPr>
            <w:tcW w:w="480" w:type="dxa"/>
            <w:tcBorders>
              <w:top w:val="nil"/>
              <w:left w:val="nil"/>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262</w:t>
            </w:r>
          </w:p>
        </w:tc>
        <w:tc>
          <w:tcPr>
            <w:tcW w:w="480"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200</w:t>
            </w:r>
          </w:p>
        </w:tc>
        <w:tc>
          <w:tcPr>
            <w:tcW w:w="480"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200</w:t>
            </w:r>
          </w:p>
        </w:tc>
        <w:tc>
          <w:tcPr>
            <w:tcW w:w="569"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283</w:t>
            </w:r>
          </w:p>
        </w:tc>
        <w:tc>
          <w:tcPr>
            <w:tcW w:w="487"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12</w:t>
            </w:r>
          </w:p>
        </w:tc>
        <w:tc>
          <w:tcPr>
            <w:tcW w:w="384"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12</w:t>
            </w:r>
          </w:p>
        </w:tc>
        <w:tc>
          <w:tcPr>
            <w:tcW w:w="451"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55</w:t>
            </w:r>
          </w:p>
        </w:tc>
        <w:tc>
          <w:tcPr>
            <w:tcW w:w="553"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16</w:t>
            </w:r>
          </w:p>
        </w:tc>
        <w:tc>
          <w:tcPr>
            <w:tcW w:w="436"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14</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600</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228</w:t>
            </w:r>
          </w:p>
        </w:tc>
        <w:tc>
          <w:tcPr>
            <w:tcW w:w="48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226</w:t>
            </w:r>
          </w:p>
        </w:tc>
        <w:tc>
          <w:tcPr>
            <w:tcW w:w="450"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129</w:t>
            </w:r>
          </w:p>
        </w:tc>
        <w:tc>
          <w:tcPr>
            <w:tcW w:w="553"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11</w:t>
            </w:r>
          </w:p>
        </w:tc>
        <w:tc>
          <w:tcPr>
            <w:tcW w:w="437"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1</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single" w:sz="8"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val="restart"/>
            <w:tcBorders>
              <w:top w:val="nil"/>
              <w:left w:val="single" w:sz="8" w:space="0" w:color="auto"/>
              <w:bottom w:val="single" w:sz="8" w:space="0" w:color="000000"/>
              <w:right w:val="nil"/>
            </w:tcBorders>
            <w:shd w:val="clear" w:color="auto" w:fill="auto"/>
            <w:noWrap/>
            <w:vAlign w:val="center"/>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Mol</w:t>
            </w:r>
          </w:p>
        </w:tc>
        <w:tc>
          <w:tcPr>
            <w:tcW w:w="840" w:type="dxa"/>
            <w:tcBorders>
              <w:top w:val="nil"/>
              <w:left w:val="single" w:sz="8" w:space="0" w:color="auto"/>
              <w:bottom w:val="single" w:sz="4"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 xml:space="preserve">Mat. &amp; </w:t>
            </w:r>
            <w:proofErr w:type="spellStart"/>
            <w:r w:rsidRPr="00E27E50">
              <w:rPr>
                <w:rFonts w:cs="Arial"/>
                <w:b/>
                <w:bCs/>
                <w:color w:val="333399"/>
                <w:sz w:val="12"/>
                <w:szCs w:val="12"/>
                <w:lang w:val="fr-FR" w:eastAsia="de-AT"/>
              </w:rPr>
              <w:t>Prim</w:t>
            </w:r>
            <w:proofErr w:type="spellEnd"/>
            <w:r w:rsidRPr="00E27E50">
              <w:rPr>
                <w:rFonts w:cs="Arial"/>
                <w:b/>
                <w:bCs/>
                <w:color w:val="333399"/>
                <w:sz w:val="12"/>
                <w:szCs w:val="12"/>
                <w:lang w:val="fr-FR" w:eastAsia="de-AT"/>
              </w:rPr>
              <w:t>.</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38</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27</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26</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21</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6</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80" w:type="dxa"/>
            <w:tcBorders>
              <w:top w:val="nil"/>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65</w:t>
            </w:r>
          </w:p>
        </w:tc>
        <w:tc>
          <w:tcPr>
            <w:tcW w:w="480" w:type="dxa"/>
            <w:tcBorders>
              <w:top w:val="nil"/>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29</w:t>
            </w:r>
          </w:p>
        </w:tc>
        <w:tc>
          <w:tcPr>
            <w:tcW w:w="480" w:type="dxa"/>
            <w:tcBorders>
              <w:top w:val="nil"/>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27</w:t>
            </w:r>
          </w:p>
        </w:tc>
        <w:tc>
          <w:tcPr>
            <w:tcW w:w="450" w:type="dxa"/>
            <w:tcBorders>
              <w:top w:val="nil"/>
              <w:left w:val="nil"/>
              <w:bottom w:val="single" w:sz="8" w:space="0" w:color="auto"/>
              <w:right w:val="single" w:sz="8" w:space="0" w:color="auto"/>
            </w:tcBorders>
            <w:shd w:val="clear" w:color="000000" w:fill="FCD5B4"/>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 </w:t>
            </w:r>
          </w:p>
        </w:tc>
        <w:tc>
          <w:tcPr>
            <w:tcW w:w="553" w:type="dxa"/>
            <w:tcBorders>
              <w:top w:val="nil"/>
              <w:left w:val="nil"/>
              <w:bottom w:val="single" w:sz="8" w:space="0" w:color="auto"/>
              <w:right w:val="single" w:sz="8" w:space="0" w:color="auto"/>
            </w:tcBorders>
            <w:shd w:val="clear" w:color="000000" w:fill="FCD5B4"/>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 </w:t>
            </w:r>
          </w:p>
        </w:tc>
        <w:tc>
          <w:tcPr>
            <w:tcW w:w="437" w:type="dxa"/>
            <w:tcBorders>
              <w:top w:val="nil"/>
              <w:left w:val="nil"/>
              <w:bottom w:val="single" w:sz="8" w:space="0" w:color="auto"/>
              <w:right w:val="single" w:sz="8" w:space="0" w:color="auto"/>
            </w:tcBorders>
            <w:shd w:val="clear" w:color="000000" w:fill="FCD5B4"/>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 </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221</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84</w:t>
            </w: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333399"/>
                <w:sz w:val="12"/>
                <w:szCs w:val="12"/>
                <w:lang w:val="fr-FR" w:eastAsia="de-AT"/>
              </w:rPr>
            </w:pPr>
          </w:p>
        </w:tc>
        <w:tc>
          <w:tcPr>
            <w:tcW w:w="840" w:type="dxa"/>
            <w:tcBorders>
              <w:top w:val="nil"/>
              <w:left w:val="single" w:sz="8" w:space="0" w:color="auto"/>
              <w:bottom w:val="nil"/>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Secondaire</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49</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48</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34</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52</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21</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80" w:type="dxa"/>
            <w:tcBorders>
              <w:top w:val="single" w:sz="8" w:space="0" w:color="auto"/>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122</w:t>
            </w:r>
          </w:p>
        </w:tc>
        <w:tc>
          <w:tcPr>
            <w:tcW w:w="480" w:type="dxa"/>
            <w:tcBorders>
              <w:top w:val="single" w:sz="8" w:space="0" w:color="auto"/>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53</w:t>
            </w:r>
          </w:p>
        </w:tc>
        <w:tc>
          <w:tcPr>
            <w:tcW w:w="480" w:type="dxa"/>
            <w:tcBorders>
              <w:top w:val="single" w:sz="8" w:space="0" w:color="auto"/>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36</w:t>
            </w:r>
          </w:p>
        </w:tc>
        <w:tc>
          <w:tcPr>
            <w:tcW w:w="450" w:type="dxa"/>
            <w:tcBorders>
              <w:top w:val="nil"/>
              <w:left w:val="nil"/>
              <w:bottom w:val="single" w:sz="8" w:space="0" w:color="auto"/>
              <w:right w:val="single" w:sz="8" w:space="0" w:color="auto"/>
            </w:tcBorders>
            <w:shd w:val="clear" w:color="000000" w:fill="FCD5B4"/>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 </w:t>
            </w:r>
          </w:p>
        </w:tc>
        <w:tc>
          <w:tcPr>
            <w:tcW w:w="553" w:type="dxa"/>
            <w:tcBorders>
              <w:top w:val="nil"/>
              <w:left w:val="nil"/>
              <w:bottom w:val="single" w:sz="8" w:space="0" w:color="auto"/>
              <w:right w:val="single" w:sz="8" w:space="0" w:color="auto"/>
            </w:tcBorders>
            <w:shd w:val="clear" w:color="000000" w:fill="FCD5B4"/>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 </w:t>
            </w:r>
          </w:p>
        </w:tc>
        <w:tc>
          <w:tcPr>
            <w:tcW w:w="437" w:type="dxa"/>
            <w:tcBorders>
              <w:top w:val="nil"/>
              <w:left w:val="nil"/>
              <w:bottom w:val="single" w:sz="8" w:space="0" w:color="auto"/>
              <w:right w:val="single" w:sz="8" w:space="0" w:color="auto"/>
            </w:tcBorders>
            <w:shd w:val="clear" w:color="000000" w:fill="FCD5B4"/>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 </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65</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333399"/>
                <w:sz w:val="12"/>
                <w:szCs w:val="12"/>
                <w:lang w:val="fr-FR" w:eastAsia="de-AT"/>
              </w:rPr>
            </w:pPr>
          </w:p>
        </w:tc>
        <w:tc>
          <w:tcPr>
            <w:tcW w:w="84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Total</w:t>
            </w:r>
          </w:p>
        </w:tc>
        <w:tc>
          <w:tcPr>
            <w:tcW w:w="480" w:type="dxa"/>
            <w:tcBorders>
              <w:top w:val="nil"/>
              <w:left w:val="nil"/>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87</w:t>
            </w:r>
          </w:p>
        </w:tc>
        <w:tc>
          <w:tcPr>
            <w:tcW w:w="480"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75</w:t>
            </w:r>
          </w:p>
        </w:tc>
        <w:tc>
          <w:tcPr>
            <w:tcW w:w="480"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60</w:t>
            </w:r>
          </w:p>
        </w:tc>
        <w:tc>
          <w:tcPr>
            <w:tcW w:w="569"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73</w:t>
            </w:r>
          </w:p>
        </w:tc>
        <w:tc>
          <w:tcPr>
            <w:tcW w:w="487"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4</w:t>
            </w:r>
          </w:p>
        </w:tc>
        <w:tc>
          <w:tcPr>
            <w:tcW w:w="384"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3</w:t>
            </w:r>
          </w:p>
        </w:tc>
        <w:tc>
          <w:tcPr>
            <w:tcW w:w="451"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27</w:t>
            </w:r>
          </w:p>
        </w:tc>
        <w:tc>
          <w:tcPr>
            <w:tcW w:w="553"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3</w:t>
            </w:r>
          </w:p>
        </w:tc>
        <w:tc>
          <w:tcPr>
            <w:tcW w:w="436" w:type="dxa"/>
            <w:tcBorders>
              <w:top w:val="nil"/>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0</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187</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82</w:t>
            </w:r>
          </w:p>
        </w:tc>
        <w:tc>
          <w:tcPr>
            <w:tcW w:w="48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63</w:t>
            </w:r>
          </w:p>
        </w:tc>
        <w:tc>
          <w:tcPr>
            <w:tcW w:w="450"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34</w:t>
            </w:r>
          </w:p>
        </w:tc>
        <w:tc>
          <w:tcPr>
            <w:tcW w:w="553"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2</w:t>
            </w:r>
          </w:p>
        </w:tc>
        <w:tc>
          <w:tcPr>
            <w:tcW w:w="437"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2</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single" w:sz="8"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val="restart"/>
            <w:tcBorders>
              <w:top w:val="nil"/>
              <w:left w:val="single" w:sz="8" w:space="0" w:color="auto"/>
              <w:bottom w:val="single" w:sz="8" w:space="0" w:color="000000"/>
              <w:right w:val="nil"/>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Munich</w:t>
            </w:r>
          </w:p>
        </w:tc>
        <w:tc>
          <w:tcPr>
            <w:tcW w:w="840" w:type="dxa"/>
            <w:tcBorders>
              <w:top w:val="single" w:sz="4" w:space="0" w:color="auto"/>
              <w:left w:val="single" w:sz="8" w:space="0" w:color="auto"/>
              <w:bottom w:val="nil"/>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 xml:space="preserve">Mat. &amp; </w:t>
            </w:r>
            <w:proofErr w:type="spellStart"/>
            <w:r w:rsidRPr="00E27E50">
              <w:rPr>
                <w:rFonts w:cs="Arial"/>
                <w:b/>
                <w:bCs/>
                <w:color w:val="333399"/>
                <w:sz w:val="12"/>
                <w:szCs w:val="12"/>
                <w:lang w:val="fr-FR" w:eastAsia="de-AT"/>
              </w:rPr>
              <w:t>Prim</w:t>
            </w:r>
            <w:proofErr w:type="spellEnd"/>
            <w:r w:rsidRPr="00E27E50">
              <w:rPr>
                <w:rFonts w:cs="Arial"/>
                <w:b/>
                <w:bCs/>
                <w:color w:val="333399"/>
                <w:sz w:val="12"/>
                <w:szCs w:val="12"/>
                <w:lang w:val="fr-FR" w:eastAsia="de-AT"/>
              </w:rPr>
              <w:t>.</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111</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54</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53</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47</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28</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80" w:type="dxa"/>
            <w:tcBorders>
              <w:top w:val="nil"/>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186</w:t>
            </w:r>
          </w:p>
        </w:tc>
        <w:tc>
          <w:tcPr>
            <w:tcW w:w="480" w:type="dxa"/>
            <w:tcBorders>
              <w:top w:val="nil"/>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58</w:t>
            </w:r>
          </w:p>
        </w:tc>
        <w:tc>
          <w:tcPr>
            <w:tcW w:w="480" w:type="dxa"/>
            <w:tcBorders>
              <w:top w:val="nil"/>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55</w:t>
            </w:r>
          </w:p>
        </w:tc>
        <w:tc>
          <w:tcPr>
            <w:tcW w:w="450" w:type="dxa"/>
            <w:tcBorders>
              <w:top w:val="nil"/>
              <w:left w:val="nil"/>
              <w:bottom w:val="single" w:sz="8" w:space="0" w:color="auto"/>
              <w:right w:val="single" w:sz="8" w:space="0" w:color="auto"/>
            </w:tcBorders>
            <w:shd w:val="clear" w:color="000000" w:fill="FCD5B4"/>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 </w:t>
            </w:r>
          </w:p>
        </w:tc>
        <w:tc>
          <w:tcPr>
            <w:tcW w:w="553" w:type="dxa"/>
            <w:tcBorders>
              <w:top w:val="nil"/>
              <w:left w:val="nil"/>
              <w:bottom w:val="single" w:sz="8" w:space="0" w:color="auto"/>
              <w:right w:val="single" w:sz="8" w:space="0" w:color="auto"/>
            </w:tcBorders>
            <w:shd w:val="clear" w:color="000000" w:fill="FCD5B4"/>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 </w:t>
            </w:r>
          </w:p>
        </w:tc>
        <w:tc>
          <w:tcPr>
            <w:tcW w:w="437" w:type="dxa"/>
            <w:tcBorders>
              <w:top w:val="nil"/>
              <w:left w:val="nil"/>
              <w:bottom w:val="single" w:sz="8" w:space="0" w:color="auto"/>
              <w:right w:val="single" w:sz="8" w:space="0" w:color="auto"/>
            </w:tcBorders>
            <w:shd w:val="clear" w:color="000000" w:fill="FCD5B4"/>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 </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518</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147</w:t>
            </w: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auto"/>
                <w:sz w:val="12"/>
                <w:szCs w:val="12"/>
                <w:lang w:val="fr-FR" w:eastAsia="de-AT"/>
              </w:rPr>
            </w:pPr>
          </w:p>
        </w:tc>
        <w:tc>
          <w:tcPr>
            <w:tcW w:w="840" w:type="dxa"/>
            <w:tcBorders>
              <w:top w:val="single" w:sz="4" w:space="0" w:color="auto"/>
              <w:left w:val="single" w:sz="8" w:space="0" w:color="auto"/>
              <w:bottom w:val="nil"/>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Secondaire</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90</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74</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57</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70</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130</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11</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2</w:t>
            </w:r>
          </w:p>
        </w:tc>
        <w:tc>
          <w:tcPr>
            <w:tcW w:w="480" w:type="dxa"/>
            <w:tcBorders>
              <w:top w:val="single" w:sz="8" w:space="0" w:color="auto"/>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290</w:t>
            </w:r>
          </w:p>
        </w:tc>
        <w:tc>
          <w:tcPr>
            <w:tcW w:w="480" w:type="dxa"/>
            <w:tcBorders>
              <w:top w:val="single" w:sz="8" w:space="0" w:color="auto"/>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89</w:t>
            </w:r>
          </w:p>
        </w:tc>
        <w:tc>
          <w:tcPr>
            <w:tcW w:w="480" w:type="dxa"/>
            <w:tcBorders>
              <w:top w:val="single" w:sz="8" w:space="0" w:color="auto"/>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62</w:t>
            </w:r>
          </w:p>
        </w:tc>
        <w:tc>
          <w:tcPr>
            <w:tcW w:w="450" w:type="dxa"/>
            <w:tcBorders>
              <w:top w:val="nil"/>
              <w:left w:val="nil"/>
              <w:bottom w:val="single" w:sz="8" w:space="0" w:color="auto"/>
              <w:right w:val="single" w:sz="8" w:space="0" w:color="auto"/>
            </w:tcBorders>
            <w:shd w:val="clear" w:color="000000" w:fill="FCD5B4"/>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 </w:t>
            </w:r>
          </w:p>
        </w:tc>
        <w:tc>
          <w:tcPr>
            <w:tcW w:w="553" w:type="dxa"/>
            <w:tcBorders>
              <w:top w:val="nil"/>
              <w:left w:val="nil"/>
              <w:bottom w:val="single" w:sz="8" w:space="0" w:color="auto"/>
              <w:right w:val="single" w:sz="8" w:space="0" w:color="auto"/>
            </w:tcBorders>
            <w:shd w:val="clear" w:color="000000" w:fill="FCD5B4"/>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 </w:t>
            </w:r>
          </w:p>
        </w:tc>
        <w:tc>
          <w:tcPr>
            <w:tcW w:w="437" w:type="dxa"/>
            <w:tcBorders>
              <w:top w:val="nil"/>
              <w:left w:val="nil"/>
              <w:bottom w:val="single" w:sz="8" w:space="0" w:color="auto"/>
              <w:right w:val="single" w:sz="8" w:space="0" w:color="auto"/>
            </w:tcBorders>
            <w:shd w:val="clear" w:color="000000" w:fill="FCD5B4"/>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 </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117</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auto"/>
                <w:sz w:val="12"/>
                <w:szCs w:val="12"/>
                <w:lang w:val="fr-FR" w:eastAsia="de-AT"/>
              </w:rPr>
            </w:pPr>
          </w:p>
        </w:tc>
        <w:tc>
          <w:tcPr>
            <w:tcW w:w="84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Total</w:t>
            </w:r>
          </w:p>
        </w:tc>
        <w:tc>
          <w:tcPr>
            <w:tcW w:w="480" w:type="dxa"/>
            <w:tcBorders>
              <w:top w:val="nil"/>
              <w:left w:val="nil"/>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000000"/>
                <w:sz w:val="12"/>
                <w:szCs w:val="12"/>
                <w:lang w:val="fr-FR" w:eastAsia="de-AT"/>
              </w:rPr>
            </w:pPr>
            <w:r w:rsidRPr="00E27E50">
              <w:rPr>
                <w:rFonts w:cs="Arial"/>
                <w:b/>
                <w:bCs/>
                <w:color w:val="000000"/>
                <w:sz w:val="12"/>
                <w:szCs w:val="12"/>
                <w:lang w:val="fr-FR" w:eastAsia="de-AT"/>
              </w:rPr>
              <w:t>201</w:t>
            </w:r>
          </w:p>
        </w:tc>
        <w:tc>
          <w:tcPr>
            <w:tcW w:w="480" w:type="dxa"/>
            <w:tcBorders>
              <w:top w:val="nil"/>
              <w:left w:val="nil"/>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000000"/>
                <w:sz w:val="12"/>
                <w:szCs w:val="12"/>
                <w:lang w:val="fr-FR" w:eastAsia="de-AT"/>
              </w:rPr>
            </w:pPr>
            <w:r w:rsidRPr="00E27E50">
              <w:rPr>
                <w:rFonts w:cs="Arial"/>
                <w:b/>
                <w:bCs/>
                <w:color w:val="000000"/>
                <w:sz w:val="12"/>
                <w:szCs w:val="12"/>
                <w:lang w:val="fr-FR" w:eastAsia="de-AT"/>
              </w:rPr>
              <w:t>128</w:t>
            </w:r>
          </w:p>
        </w:tc>
        <w:tc>
          <w:tcPr>
            <w:tcW w:w="480" w:type="dxa"/>
            <w:tcBorders>
              <w:top w:val="nil"/>
              <w:left w:val="nil"/>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000000"/>
                <w:sz w:val="12"/>
                <w:szCs w:val="12"/>
                <w:lang w:val="fr-FR" w:eastAsia="de-AT"/>
              </w:rPr>
            </w:pPr>
            <w:r w:rsidRPr="00E27E50">
              <w:rPr>
                <w:rFonts w:cs="Arial"/>
                <w:b/>
                <w:bCs/>
                <w:color w:val="000000"/>
                <w:sz w:val="12"/>
                <w:szCs w:val="12"/>
                <w:lang w:val="fr-FR" w:eastAsia="de-AT"/>
              </w:rPr>
              <w:t>110</w:t>
            </w:r>
          </w:p>
        </w:tc>
        <w:tc>
          <w:tcPr>
            <w:tcW w:w="569" w:type="dxa"/>
            <w:tcBorders>
              <w:top w:val="nil"/>
              <w:left w:val="nil"/>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000000"/>
                <w:sz w:val="12"/>
                <w:szCs w:val="12"/>
                <w:lang w:val="fr-FR" w:eastAsia="de-AT"/>
              </w:rPr>
            </w:pPr>
            <w:r w:rsidRPr="00E27E50">
              <w:rPr>
                <w:rFonts w:cs="Arial"/>
                <w:b/>
                <w:bCs/>
                <w:color w:val="000000"/>
                <w:sz w:val="12"/>
                <w:szCs w:val="12"/>
                <w:lang w:val="fr-FR" w:eastAsia="de-AT"/>
              </w:rPr>
              <w:t>117</w:t>
            </w:r>
          </w:p>
        </w:tc>
        <w:tc>
          <w:tcPr>
            <w:tcW w:w="487" w:type="dxa"/>
            <w:tcBorders>
              <w:top w:val="nil"/>
              <w:left w:val="nil"/>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000000"/>
                <w:sz w:val="12"/>
                <w:szCs w:val="12"/>
                <w:lang w:val="fr-FR" w:eastAsia="de-AT"/>
              </w:rPr>
            </w:pPr>
            <w:r w:rsidRPr="00E27E50">
              <w:rPr>
                <w:rFonts w:cs="Arial"/>
                <w:b/>
                <w:bCs/>
                <w:color w:val="000000"/>
                <w:sz w:val="12"/>
                <w:szCs w:val="12"/>
                <w:lang w:val="fr-FR" w:eastAsia="de-AT"/>
              </w:rPr>
              <w:t>6</w:t>
            </w:r>
          </w:p>
        </w:tc>
        <w:tc>
          <w:tcPr>
            <w:tcW w:w="384" w:type="dxa"/>
            <w:tcBorders>
              <w:top w:val="nil"/>
              <w:left w:val="nil"/>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000000"/>
                <w:sz w:val="12"/>
                <w:szCs w:val="12"/>
                <w:lang w:val="fr-FR" w:eastAsia="de-AT"/>
              </w:rPr>
            </w:pPr>
            <w:r w:rsidRPr="00E27E50">
              <w:rPr>
                <w:rFonts w:cs="Arial"/>
                <w:b/>
                <w:bCs/>
                <w:color w:val="000000"/>
                <w:sz w:val="12"/>
                <w:szCs w:val="12"/>
                <w:lang w:val="fr-FR" w:eastAsia="de-AT"/>
              </w:rPr>
              <w:t>5</w:t>
            </w:r>
          </w:p>
        </w:tc>
        <w:tc>
          <w:tcPr>
            <w:tcW w:w="451" w:type="dxa"/>
            <w:tcBorders>
              <w:top w:val="nil"/>
              <w:left w:val="nil"/>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000000"/>
                <w:sz w:val="12"/>
                <w:szCs w:val="12"/>
                <w:lang w:val="fr-FR" w:eastAsia="de-AT"/>
              </w:rPr>
            </w:pPr>
            <w:r w:rsidRPr="00E27E50">
              <w:rPr>
                <w:rFonts w:cs="Arial"/>
                <w:b/>
                <w:bCs/>
                <w:color w:val="000000"/>
                <w:sz w:val="12"/>
                <w:szCs w:val="12"/>
                <w:lang w:val="fr-FR" w:eastAsia="de-AT"/>
              </w:rPr>
              <w:t>158</w:t>
            </w:r>
          </w:p>
        </w:tc>
        <w:tc>
          <w:tcPr>
            <w:tcW w:w="553" w:type="dxa"/>
            <w:tcBorders>
              <w:top w:val="nil"/>
              <w:left w:val="nil"/>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000000"/>
                <w:sz w:val="12"/>
                <w:szCs w:val="12"/>
                <w:lang w:val="fr-FR" w:eastAsia="de-AT"/>
              </w:rPr>
            </w:pPr>
            <w:r w:rsidRPr="00E27E50">
              <w:rPr>
                <w:rFonts w:cs="Arial"/>
                <w:b/>
                <w:bCs/>
                <w:color w:val="000000"/>
                <w:sz w:val="12"/>
                <w:szCs w:val="12"/>
                <w:lang w:val="fr-FR" w:eastAsia="de-AT"/>
              </w:rPr>
              <w:t>13</w:t>
            </w:r>
          </w:p>
        </w:tc>
        <w:tc>
          <w:tcPr>
            <w:tcW w:w="436" w:type="dxa"/>
            <w:tcBorders>
              <w:top w:val="nil"/>
              <w:left w:val="nil"/>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000000"/>
                <w:sz w:val="12"/>
                <w:szCs w:val="12"/>
                <w:lang w:val="fr-FR" w:eastAsia="de-AT"/>
              </w:rPr>
            </w:pPr>
            <w:r w:rsidRPr="00E27E50">
              <w:rPr>
                <w:rFonts w:cs="Arial"/>
                <w:b/>
                <w:bCs/>
                <w:color w:val="000000"/>
                <w:sz w:val="12"/>
                <w:szCs w:val="12"/>
                <w:lang w:val="fr-FR" w:eastAsia="de-AT"/>
              </w:rPr>
              <w:t>2</w:t>
            </w:r>
          </w:p>
        </w:tc>
        <w:tc>
          <w:tcPr>
            <w:tcW w:w="480" w:type="dxa"/>
            <w:tcBorders>
              <w:top w:val="single" w:sz="8" w:space="0" w:color="auto"/>
              <w:left w:val="nil"/>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476</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147</w:t>
            </w:r>
          </w:p>
        </w:tc>
        <w:tc>
          <w:tcPr>
            <w:tcW w:w="48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117</w:t>
            </w:r>
          </w:p>
        </w:tc>
        <w:tc>
          <w:tcPr>
            <w:tcW w:w="450"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42</w:t>
            </w:r>
          </w:p>
        </w:tc>
        <w:tc>
          <w:tcPr>
            <w:tcW w:w="553"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0</w:t>
            </w:r>
          </w:p>
        </w:tc>
        <w:tc>
          <w:tcPr>
            <w:tcW w:w="437"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0</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single" w:sz="8"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val="restart"/>
            <w:tcBorders>
              <w:top w:val="nil"/>
              <w:left w:val="single" w:sz="8" w:space="0" w:color="auto"/>
              <w:bottom w:val="single" w:sz="8" w:space="0" w:color="000000"/>
              <w:right w:val="nil"/>
            </w:tcBorders>
            <w:shd w:val="clear" w:color="auto" w:fill="auto"/>
            <w:noWrap/>
            <w:vAlign w:val="center"/>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Varese</w:t>
            </w:r>
          </w:p>
        </w:tc>
        <w:tc>
          <w:tcPr>
            <w:tcW w:w="840" w:type="dxa"/>
            <w:tcBorders>
              <w:top w:val="nil"/>
              <w:left w:val="single" w:sz="8" w:space="0" w:color="auto"/>
              <w:bottom w:val="single" w:sz="4"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 xml:space="preserve">Mat. &amp; </w:t>
            </w:r>
            <w:proofErr w:type="spellStart"/>
            <w:r w:rsidRPr="00E27E50">
              <w:rPr>
                <w:rFonts w:cs="Arial"/>
                <w:b/>
                <w:bCs/>
                <w:color w:val="333399"/>
                <w:sz w:val="12"/>
                <w:szCs w:val="12"/>
                <w:lang w:val="fr-FR" w:eastAsia="de-AT"/>
              </w:rPr>
              <w:t>Prim</w:t>
            </w:r>
            <w:proofErr w:type="spellEnd"/>
            <w:r w:rsidRPr="00E27E50">
              <w:rPr>
                <w:rFonts w:cs="Arial"/>
                <w:b/>
                <w:bCs/>
                <w:color w:val="333399"/>
                <w:sz w:val="12"/>
                <w:szCs w:val="12"/>
                <w:lang w:val="fr-FR" w:eastAsia="de-AT"/>
              </w:rPr>
              <w:t>.</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59</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41</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45</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15</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4</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w:t>
            </w:r>
          </w:p>
        </w:tc>
        <w:tc>
          <w:tcPr>
            <w:tcW w:w="480" w:type="dxa"/>
            <w:tcBorders>
              <w:top w:val="nil"/>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78</w:t>
            </w:r>
          </w:p>
        </w:tc>
        <w:tc>
          <w:tcPr>
            <w:tcW w:w="480" w:type="dxa"/>
            <w:tcBorders>
              <w:top w:val="nil"/>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45</w:t>
            </w:r>
          </w:p>
        </w:tc>
        <w:tc>
          <w:tcPr>
            <w:tcW w:w="480" w:type="dxa"/>
            <w:tcBorders>
              <w:top w:val="nil"/>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46</w:t>
            </w:r>
          </w:p>
        </w:tc>
        <w:tc>
          <w:tcPr>
            <w:tcW w:w="450"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553"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37"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298</w:t>
            </w:r>
          </w:p>
        </w:tc>
        <w:tc>
          <w:tcPr>
            <w:tcW w:w="4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112</w:t>
            </w: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333399"/>
                <w:sz w:val="12"/>
                <w:szCs w:val="12"/>
                <w:lang w:val="fr-FR" w:eastAsia="de-AT"/>
              </w:rPr>
            </w:pPr>
          </w:p>
        </w:tc>
        <w:tc>
          <w:tcPr>
            <w:tcW w:w="840" w:type="dxa"/>
            <w:tcBorders>
              <w:top w:val="nil"/>
              <w:left w:val="single" w:sz="8" w:space="0" w:color="auto"/>
              <w:bottom w:val="nil"/>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Secondaire</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88</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64</w:t>
            </w:r>
          </w:p>
        </w:tc>
        <w:tc>
          <w:tcPr>
            <w:tcW w:w="480" w:type="dxa"/>
            <w:tcBorders>
              <w:top w:val="nil"/>
              <w:left w:val="nil"/>
              <w:bottom w:val="single" w:sz="8" w:space="0" w:color="auto"/>
              <w:right w:val="single" w:sz="8" w:space="0" w:color="auto"/>
            </w:tcBorders>
            <w:shd w:val="clear" w:color="000000" w:fill="DCE6F1"/>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38</w:t>
            </w:r>
          </w:p>
        </w:tc>
        <w:tc>
          <w:tcPr>
            <w:tcW w:w="569"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63</w:t>
            </w:r>
          </w:p>
        </w:tc>
        <w:tc>
          <w:tcPr>
            <w:tcW w:w="487"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w:t>
            </w:r>
          </w:p>
        </w:tc>
        <w:tc>
          <w:tcPr>
            <w:tcW w:w="384" w:type="dxa"/>
            <w:tcBorders>
              <w:top w:val="nil"/>
              <w:left w:val="nil"/>
              <w:bottom w:val="single" w:sz="8" w:space="0" w:color="auto"/>
              <w:right w:val="single" w:sz="8" w:space="0" w:color="auto"/>
            </w:tcBorders>
            <w:shd w:val="clear" w:color="000000" w:fill="E4DFEC"/>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51"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31</w:t>
            </w:r>
          </w:p>
        </w:tc>
        <w:tc>
          <w:tcPr>
            <w:tcW w:w="553"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0</w:t>
            </w:r>
          </w:p>
        </w:tc>
        <w:tc>
          <w:tcPr>
            <w:tcW w:w="436" w:type="dxa"/>
            <w:tcBorders>
              <w:top w:val="nil"/>
              <w:left w:val="nil"/>
              <w:bottom w:val="single" w:sz="8" w:space="0" w:color="auto"/>
              <w:right w:val="single" w:sz="8" w:space="0" w:color="auto"/>
            </w:tcBorders>
            <w:shd w:val="clear" w:color="000000" w:fill="FDE9D9"/>
            <w:noWrap/>
            <w:vAlign w:val="bottom"/>
            <w:hideMark/>
          </w:tcPr>
          <w:p w:rsidR="000C2089" w:rsidRPr="00E27E50" w:rsidRDefault="000C2089" w:rsidP="000C2089">
            <w:pPr>
              <w:jc w:val="right"/>
              <w:rPr>
                <w:rFonts w:cs="Arial"/>
                <w:color w:val="000000"/>
                <w:sz w:val="12"/>
                <w:szCs w:val="12"/>
                <w:lang w:val="fr-FR" w:eastAsia="de-AT"/>
              </w:rPr>
            </w:pPr>
            <w:r w:rsidRPr="00E27E50">
              <w:rPr>
                <w:rFonts w:cs="Arial"/>
                <w:color w:val="000000"/>
                <w:sz w:val="12"/>
                <w:szCs w:val="12"/>
                <w:lang w:val="fr-FR" w:eastAsia="de-AT"/>
              </w:rPr>
              <w:t>1</w:t>
            </w:r>
          </w:p>
        </w:tc>
        <w:tc>
          <w:tcPr>
            <w:tcW w:w="480" w:type="dxa"/>
            <w:tcBorders>
              <w:top w:val="single" w:sz="8" w:space="0" w:color="auto"/>
              <w:left w:val="nil"/>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182</w:t>
            </w:r>
          </w:p>
        </w:tc>
        <w:tc>
          <w:tcPr>
            <w:tcW w:w="480" w:type="dxa"/>
            <w:tcBorders>
              <w:top w:val="single" w:sz="8" w:space="0" w:color="auto"/>
              <w:left w:val="single" w:sz="8" w:space="0" w:color="auto"/>
              <w:bottom w:val="single" w:sz="4" w:space="0" w:color="auto"/>
              <w:right w:val="single" w:sz="4"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67</w:t>
            </w:r>
          </w:p>
        </w:tc>
        <w:tc>
          <w:tcPr>
            <w:tcW w:w="480" w:type="dxa"/>
            <w:tcBorders>
              <w:top w:val="single" w:sz="8" w:space="0" w:color="auto"/>
              <w:left w:val="single" w:sz="8" w:space="0" w:color="auto"/>
              <w:bottom w:val="single" w:sz="4" w:space="0" w:color="auto"/>
              <w:right w:val="single" w:sz="8" w:space="0" w:color="auto"/>
            </w:tcBorders>
            <w:shd w:val="clear" w:color="000000" w:fill="C4BD97"/>
            <w:noWrap/>
            <w:vAlign w:val="bottom"/>
            <w:hideMark/>
          </w:tcPr>
          <w:p w:rsidR="000C2089" w:rsidRPr="00E27E50" w:rsidRDefault="000C2089" w:rsidP="000C2089">
            <w:pPr>
              <w:jc w:val="center"/>
              <w:rPr>
                <w:rFonts w:cs="Arial"/>
                <w:i/>
                <w:iCs/>
                <w:color w:val="auto"/>
                <w:sz w:val="12"/>
                <w:szCs w:val="12"/>
                <w:lang w:val="fr-FR" w:eastAsia="de-AT"/>
              </w:rPr>
            </w:pPr>
            <w:r w:rsidRPr="00E27E50">
              <w:rPr>
                <w:rFonts w:cs="Arial"/>
                <w:i/>
                <w:iCs/>
                <w:color w:val="auto"/>
                <w:sz w:val="12"/>
                <w:szCs w:val="12"/>
                <w:lang w:val="fr-FR" w:eastAsia="de-AT"/>
              </w:rPr>
              <w:t>39</w:t>
            </w:r>
          </w:p>
        </w:tc>
        <w:tc>
          <w:tcPr>
            <w:tcW w:w="450"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553"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37" w:type="dxa"/>
            <w:tcBorders>
              <w:top w:val="nil"/>
              <w:left w:val="nil"/>
              <w:bottom w:val="double" w:sz="6" w:space="0" w:color="auto"/>
              <w:right w:val="single" w:sz="8" w:space="0" w:color="auto"/>
            </w:tcBorders>
            <w:shd w:val="clear" w:color="000000" w:fill="FCD5B4"/>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 </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nil"/>
              <w:right w:val="single" w:sz="8" w:space="0" w:color="auto"/>
            </w:tcBorders>
            <w:shd w:val="clear" w:color="auto" w:fill="auto"/>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87</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333399"/>
                <w:sz w:val="12"/>
                <w:szCs w:val="12"/>
                <w:lang w:val="fr-FR" w:eastAsia="de-AT"/>
              </w:rPr>
            </w:pPr>
          </w:p>
        </w:tc>
        <w:tc>
          <w:tcPr>
            <w:tcW w:w="84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Total</w:t>
            </w:r>
          </w:p>
        </w:tc>
        <w:tc>
          <w:tcPr>
            <w:tcW w:w="480" w:type="dxa"/>
            <w:tcBorders>
              <w:top w:val="nil"/>
              <w:left w:val="nil"/>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000000"/>
                <w:sz w:val="12"/>
                <w:szCs w:val="12"/>
                <w:lang w:val="fr-FR" w:eastAsia="de-AT"/>
              </w:rPr>
            </w:pPr>
            <w:r w:rsidRPr="00E27E50">
              <w:rPr>
                <w:rFonts w:cs="Arial"/>
                <w:b/>
                <w:bCs/>
                <w:color w:val="000000"/>
                <w:sz w:val="12"/>
                <w:szCs w:val="12"/>
                <w:lang w:val="fr-FR" w:eastAsia="de-AT"/>
              </w:rPr>
              <w:t>147</w:t>
            </w:r>
          </w:p>
        </w:tc>
        <w:tc>
          <w:tcPr>
            <w:tcW w:w="480" w:type="dxa"/>
            <w:tcBorders>
              <w:top w:val="nil"/>
              <w:left w:val="nil"/>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000000"/>
                <w:sz w:val="12"/>
                <w:szCs w:val="12"/>
                <w:lang w:val="fr-FR" w:eastAsia="de-AT"/>
              </w:rPr>
            </w:pPr>
            <w:r w:rsidRPr="00E27E50">
              <w:rPr>
                <w:rFonts w:cs="Arial"/>
                <w:b/>
                <w:bCs/>
                <w:color w:val="000000"/>
                <w:sz w:val="12"/>
                <w:szCs w:val="12"/>
                <w:lang w:val="fr-FR" w:eastAsia="de-AT"/>
              </w:rPr>
              <w:t>105</w:t>
            </w:r>
          </w:p>
        </w:tc>
        <w:tc>
          <w:tcPr>
            <w:tcW w:w="480" w:type="dxa"/>
            <w:tcBorders>
              <w:top w:val="nil"/>
              <w:left w:val="nil"/>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000000"/>
                <w:sz w:val="12"/>
                <w:szCs w:val="12"/>
                <w:lang w:val="fr-FR" w:eastAsia="de-AT"/>
              </w:rPr>
            </w:pPr>
            <w:r w:rsidRPr="00E27E50">
              <w:rPr>
                <w:rFonts w:cs="Arial"/>
                <w:b/>
                <w:bCs/>
                <w:color w:val="000000"/>
                <w:sz w:val="12"/>
                <w:szCs w:val="12"/>
                <w:lang w:val="fr-FR" w:eastAsia="de-AT"/>
              </w:rPr>
              <w:t>83</w:t>
            </w:r>
          </w:p>
        </w:tc>
        <w:tc>
          <w:tcPr>
            <w:tcW w:w="569" w:type="dxa"/>
            <w:tcBorders>
              <w:top w:val="nil"/>
              <w:left w:val="nil"/>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000000"/>
                <w:sz w:val="12"/>
                <w:szCs w:val="12"/>
                <w:lang w:val="fr-FR" w:eastAsia="de-AT"/>
              </w:rPr>
            </w:pPr>
            <w:r w:rsidRPr="00E27E50">
              <w:rPr>
                <w:rFonts w:cs="Arial"/>
                <w:b/>
                <w:bCs/>
                <w:color w:val="000000"/>
                <w:sz w:val="12"/>
                <w:szCs w:val="12"/>
                <w:lang w:val="fr-FR" w:eastAsia="de-AT"/>
              </w:rPr>
              <w:t>78</w:t>
            </w:r>
          </w:p>
        </w:tc>
        <w:tc>
          <w:tcPr>
            <w:tcW w:w="487" w:type="dxa"/>
            <w:tcBorders>
              <w:top w:val="nil"/>
              <w:left w:val="nil"/>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000000"/>
                <w:sz w:val="12"/>
                <w:szCs w:val="12"/>
                <w:lang w:val="fr-FR" w:eastAsia="de-AT"/>
              </w:rPr>
            </w:pPr>
            <w:r w:rsidRPr="00E27E50">
              <w:rPr>
                <w:rFonts w:cs="Arial"/>
                <w:b/>
                <w:bCs/>
                <w:color w:val="000000"/>
                <w:sz w:val="12"/>
                <w:szCs w:val="12"/>
                <w:lang w:val="fr-FR" w:eastAsia="de-AT"/>
              </w:rPr>
              <w:t>4</w:t>
            </w:r>
          </w:p>
        </w:tc>
        <w:tc>
          <w:tcPr>
            <w:tcW w:w="384" w:type="dxa"/>
            <w:tcBorders>
              <w:top w:val="nil"/>
              <w:left w:val="nil"/>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000000"/>
                <w:sz w:val="12"/>
                <w:szCs w:val="12"/>
                <w:lang w:val="fr-FR" w:eastAsia="de-AT"/>
              </w:rPr>
            </w:pPr>
            <w:r w:rsidRPr="00E27E50">
              <w:rPr>
                <w:rFonts w:cs="Arial"/>
                <w:b/>
                <w:bCs/>
                <w:color w:val="000000"/>
                <w:sz w:val="12"/>
                <w:szCs w:val="12"/>
                <w:lang w:val="fr-FR" w:eastAsia="de-AT"/>
              </w:rPr>
              <w:t>0</w:t>
            </w:r>
          </w:p>
        </w:tc>
        <w:tc>
          <w:tcPr>
            <w:tcW w:w="451" w:type="dxa"/>
            <w:tcBorders>
              <w:top w:val="nil"/>
              <w:left w:val="nil"/>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000000"/>
                <w:sz w:val="12"/>
                <w:szCs w:val="12"/>
                <w:lang w:val="fr-FR" w:eastAsia="de-AT"/>
              </w:rPr>
            </w:pPr>
            <w:r w:rsidRPr="00E27E50">
              <w:rPr>
                <w:rFonts w:cs="Arial"/>
                <w:b/>
                <w:bCs/>
                <w:color w:val="000000"/>
                <w:sz w:val="12"/>
                <w:szCs w:val="12"/>
                <w:lang w:val="fr-FR" w:eastAsia="de-AT"/>
              </w:rPr>
              <w:t>35</w:t>
            </w:r>
          </w:p>
        </w:tc>
        <w:tc>
          <w:tcPr>
            <w:tcW w:w="553" w:type="dxa"/>
            <w:tcBorders>
              <w:top w:val="nil"/>
              <w:left w:val="nil"/>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000000"/>
                <w:sz w:val="12"/>
                <w:szCs w:val="12"/>
                <w:lang w:val="fr-FR" w:eastAsia="de-AT"/>
              </w:rPr>
            </w:pPr>
            <w:r w:rsidRPr="00E27E50">
              <w:rPr>
                <w:rFonts w:cs="Arial"/>
                <w:b/>
                <w:bCs/>
                <w:color w:val="000000"/>
                <w:sz w:val="12"/>
                <w:szCs w:val="12"/>
                <w:lang w:val="fr-FR" w:eastAsia="de-AT"/>
              </w:rPr>
              <w:t>3</w:t>
            </w:r>
          </w:p>
        </w:tc>
        <w:tc>
          <w:tcPr>
            <w:tcW w:w="436" w:type="dxa"/>
            <w:tcBorders>
              <w:top w:val="nil"/>
              <w:left w:val="nil"/>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000000"/>
                <w:sz w:val="12"/>
                <w:szCs w:val="12"/>
                <w:lang w:val="fr-FR" w:eastAsia="de-AT"/>
              </w:rPr>
            </w:pPr>
            <w:r w:rsidRPr="00E27E50">
              <w:rPr>
                <w:rFonts w:cs="Arial"/>
                <w:b/>
                <w:bCs/>
                <w:color w:val="000000"/>
                <w:sz w:val="12"/>
                <w:szCs w:val="12"/>
                <w:lang w:val="fr-FR" w:eastAsia="de-AT"/>
              </w:rPr>
              <w:t>2</w:t>
            </w:r>
          </w:p>
        </w:tc>
        <w:tc>
          <w:tcPr>
            <w:tcW w:w="480" w:type="dxa"/>
            <w:tcBorders>
              <w:top w:val="single" w:sz="8" w:space="0" w:color="auto"/>
              <w:left w:val="nil"/>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260</w:t>
            </w:r>
          </w:p>
        </w:tc>
        <w:tc>
          <w:tcPr>
            <w:tcW w:w="48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112</w:t>
            </w:r>
          </w:p>
        </w:tc>
        <w:tc>
          <w:tcPr>
            <w:tcW w:w="48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85</w:t>
            </w:r>
          </w:p>
        </w:tc>
        <w:tc>
          <w:tcPr>
            <w:tcW w:w="450"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38</w:t>
            </w:r>
          </w:p>
        </w:tc>
        <w:tc>
          <w:tcPr>
            <w:tcW w:w="553"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0</w:t>
            </w:r>
          </w:p>
        </w:tc>
        <w:tc>
          <w:tcPr>
            <w:tcW w:w="437" w:type="dxa"/>
            <w:tcBorders>
              <w:top w:val="nil"/>
              <w:left w:val="nil"/>
              <w:bottom w:val="double" w:sz="6" w:space="0" w:color="auto"/>
              <w:right w:val="single" w:sz="8" w:space="0" w:color="auto"/>
            </w:tcBorders>
            <w:shd w:val="clear" w:color="000000" w:fill="D9D9D9"/>
            <w:noWrap/>
            <w:vAlign w:val="bottom"/>
            <w:hideMark/>
          </w:tcPr>
          <w:p w:rsidR="000C2089" w:rsidRPr="00E27E50" w:rsidRDefault="000C2089" w:rsidP="000C2089">
            <w:pPr>
              <w:jc w:val="right"/>
              <w:rPr>
                <w:rFonts w:cs="Arial"/>
                <w:b/>
                <w:bCs/>
                <w:color w:val="000000"/>
                <w:sz w:val="12"/>
                <w:szCs w:val="12"/>
                <w:lang w:val="fr-FR" w:eastAsia="de-AT"/>
              </w:rPr>
            </w:pPr>
            <w:r w:rsidRPr="00E27E50">
              <w:rPr>
                <w:rFonts w:cs="Arial"/>
                <w:b/>
                <w:bCs/>
                <w:color w:val="000000"/>
                <w:sz w:val="12"/>
                <w:szCs w:val="12"/>
                <w:lang w:val="fr-FR" w:eastAsia="de-AT"/>
              </w:rPr>
              <w:t>2</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single" w:sz="8"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val="restart"/>
            <w:tcBorders>
              <w:top w:val="nil"/>
              <w:left w:val="single" w:sz="8" w:space="0" w:color="auto"/>
              <w:bottom w:val="single" w:sz="8" w:space="0" w:color="000000"/>
              <w:right w:val="nil"/>
            </w:tcBorders>
            <w:shd w:val="clear" w:color="000000" w:fill="CCFFFF"/>
            <w:noWrap/>
            <w:vAlign w:val="center"/>
            <w:hideMark/>
          </w:tcPr>
          <w:p w:rsidR="000C2089" w:rsidRPr="00E27E50" w:rsidRDefault="000C2089" w:rsidP="000C2089">
            <w:pPr>
              <w:jc w:val="center"/>
              <w:rPr>
                <w:rFonts w:cs="Arial"/>
                <w:b/>
                <w:bCs/>
                <w:color w:val="auto"/>
                <w:sz w:val="12"/>
                <w:szCs w:val="12"/>
                <w:lang w:val="fr-FR" w:eastAsia="de-AT"/>
              </w:rPr>
            </w:pPr>
            <w:proofErr w:type="spellStart"/>
            <w:r w:rsidRPr="00E27E50">
              <w:rPr>
                <w:rFonts w:cs="Arial"/>
                <w:b/>
                <w:bCs/>
                <w:color w:val="auto"/>
                <w:sz w:val="12"/>
                <w:szCs w:val="12"/>
                <w:lang w:val="fr-FR" w:eastAsia="de-AT"/>
              </w:rPr>
              <w:t>Totals</w:t>
            </w:r>
            <w:proofErr w:type="spellEnd"/>
          </w:p>
        </w:tc>
        <w:tc>
          <w:tcPr>
            <w:tcW w:w="840" w:type="dxa"/>
            <w:tcBorders>
              <w:top w:val="nil"/>
              <w:left w:val="single" w:sz="8" w:space="0" w:color="auto"/>
              <w:bottom w:val="single" w:sz="4" w:space="0" w:color="auto"/>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 xml:space="preserve">Mat. &amp; </w:t>
            </w:r>
            <w:proofErr w:type="spellStart"/>
            <w:r w:rsidRPr="00E27E50">
              <w:rPr>
                <w:rFonts w:cs="Arial"/>
                <w:b/>
                <w:bCs/>
                <w:color w:val="333399"/>
                <w:sz w:val="12"/>
                <w:szCs w:val="12"/>
                <w:lang w:val="fr-FR" w:eastAsia="de-AT"/>
              </w:rPr>
              <w:t>Prim</w:t>
            </w:r>
            <w:proofErr w:type="spellEnd"/>
            <w:r w:rsidRPr="00E27E50">
              <w:rPr>
                <w:rFonts w:cs="Arial"/>
                <w:b/>
                <w:bCs/>
                <w:color w:val="333399"/>
                <w:sz w:val="12"/>
                <w:szCs w:val="12"/>
                <w:lang w:val="fr-FR" w:eastAsia="de-AT"/>
              </w:rPr>
              <w:t>.</w:t>
            </w:r>
          </w:p>
        </w:tc>
        <w:tc>
          <w:tcPr>
            <w:tcW w:w="480" w:type="dxa"/>
            <w:tcBorders>
              <w:top w:val="nil"/>
              <w:left w:val="nil"/>
              <w:bottom w:val="single" w:sz="4" w:space="0" w:color="auto"/>
              <w:right w:val="single" w:sz="4"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1222</w:t>
            </w:r>
          </w:p>
        </w:tc>
        <w:tc>
          <w:tcPr>
            <w:tcW w:w="480" w:type="dxa"/>
            <w:tcBorders>
              <w:top w:val="nil"/>
              <w:left w:val="single" w:sz="8" w:space="0" w:color="auto"/>
              <w:bottom w:val="single" w:sz="4" w:space="0" w:color="auto"/>
              <w:right w:val="single" w:sz="4"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636</w:t>
            </w:r>
          </w:p>
        </w:tc>
        <w:tc>
          <w:tcPr>
            <w:tcW w:w="480" w:type="dxa"/>
            <w:tcBorders>
              <w:top w:val="nil"/>
              <w:left w:val="single" w:sz="8" w:space="0" w:color="auto"/>
              <w:bottom w:val="single" w:sz="4" w:space="0" w:color="auto"/>
              <w:right w:val="single" w:sz="4"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692</w:t>
            </w:r>
          </w:p>
        </w:tc>
        <w:tc>
          <w:tcPr>
            <w:tcW w:w="569" w:type="dxa"/>
            <w:tcBorders>
              <w:top w:val="nil"/>
              <w:left w:val="single" w:sz="8" w:space="0" w:color="auto"/>
              <w:bottom w:val="single" w:sz="4" w:space="0" w:color="auto"/>
              <w:right w:val="single" w:sz="4"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563</w:t>
            </w:r>
          </w:p>
        </w:tc>
        <w:tc>
          <w:tcPr>
            <w:tcW w:w="487" w:type="dxa"/>
            <w:tcBorders>
              <w:top w:val="nil"/>
              <w:left w:val="single" w:sz="8" w:space="0" w:color="auto"/>
              <w:bottom w:val="single" w:sz="4" w:space="0" w:color="auto"/>
              <w:right w:val="single" w:sz="4"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20</w:t>
            </w:r>
          </w:p>
        </w:tc>
        <w:tc>
          <w:tcPr>
            <w:tcW w:w="384" w:type="dxa"/>
            <w:tcBorders>
              <w:top w:val="nil"/>
              <w:left w:val="single" w:sz="8" w:space="0" w:color="auto"/>
              <w:bottom w:val="single" w:sz="4" w:space="0" w:color="auto"/>
              <w:right w:val="single" w:sz="4"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40</w:t>
            </w:r>
          </w:p>
        </w:tc>
        <w:tc>
          <w:tcPr>
            <w:tcW w:w="451" w:type="dxa"/>
            <w:tcBorders>
              <w:top w:val="nil"/>
              <w:left w:val="single" w:sz="8" w:space="0" w:color="auto"/>
              <w:bottom w:val="single" w:sz="4" w:space="0" w:color="auto"/>
              <w:right w:val="single" w:sz="4"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149</w:t>
            </w:r>
          </w:p>
        </w:tc>
        <w:tc>
          <w:tcPr>
            <w:tcW w:w="553" w:type="dxa"/>
            <w:tcBorders>
              <w:top w:val="nil"/>
              <w:left w:val="single" w:sz="8" w:space="0" w:color="auto"/>
              <w:bottom w:val="single" w:sz="4" w:space="0" w:color="auto"/>
              <w:right w:val="single" w:sz="4"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28</w:t>
            </w:r>
          </w:p>
        </w:tc>
        <w:tc>
          <w:tcPr>
            <w:tcW w:w="436" w:type="dxa"/>
            <w:tcBorders>
              <w:top w:val="nil"/>
              <w:left w:val="single" w:sz="8" w:space="0" w:color="auto"/>
              <w:bottom w:val="single" w:sz="4" w:space="0" w:color="auto"/>
              <w:right w:val="single" w:sz="4"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19</w:t>
            </w:r>
          </w:p>
        </w:tc>
        <w:tc>
          <w:tcPr>
            <w:tcW w:w="480" w:type="dxa"/>
            <w:tcBorders>
              <w:top w:val="nil"/>
              <w:left w:val="single" w:sz="8" w:space="0" w:color="auto"/>
              <w:bottom w:val="single" w:sz="4" w:space="0" w:color="auto"/>
              <w:right w:val="single" w:sz="4"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1934</w:t>
            </w:r>
          </w:p>
        </w:tc>
        <w:tc>
          <w:tcPr>
            <w:tcW w:w="480" w:type="dxa"/>
            <w:tcBorders>
              <w:top w:val="nil"/>
              <w:left w:val="single" w:sz="8" w:space="0" w:color="auto"/>
              <w:bottom w:val="single" w:sz="4" w:space="0" w:color="auto"/>
              <w:right w:val="single" w:sz="4"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684</w:t>
            </w:r>
          </w:p>
        </w:tc>
        <w:tc>
          <w:tcPr>
            <w:tcW w:w="480" w:type="dxa"/>
            <w:tcBorders>
              <w:top w:val="nil"/>
              <w:left w:val="single" w:sz="8" w:space="0" w:color="auto"/>
              <w:bottom w:val="single" w:sz="4" w:space="0" w:color="auto"/>
              <w:right w:val="single" w:sz="8"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751</w:t>
            </w:r>
          </w:p>
        </w:tc>
        <w:tc>
          <w:tcPr>
            <w:tcW w:w="450" w:type="dxa"/>
            <w:vMerge w:val="restart"/>
            <w:tcBorders>
              <w:top w:val="single" w:sz="8" w:space="0" w:color="auto"/>
              <w:left w:val="nil"/>
              <w:bottom w:val="single" w:sz="8" w:space="0" w:color="000000"/>
              <w:right w:val="single" w:sz="8" w:space="0" w:color="auto"/>
            </w:tcBorders>
            <w:shd w:val="clear" w:color="000000" w:fill="CCFFFF"/>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654</w:t>
            </w:r>
          </w:p>
        </w:tc>
        <w:tc>
          <w:tcPr>
            <w:tcW w:w="553" w:type="dxa"/>
            <w:vMerge w:val="restart"/>
            <w:tcBorders>
              <w:top w:val="single" w:sz="8" w:space="0" w:color="auto"/>
              <w:left w:val="single" w:sz="8" w:space="0" w:color="auto"/>
              <w:bottom w:val="single" w:sz="8" w:space="0" w:color="000000"/>
              <w:right w:val="single" w:sz="8" w:space="0" w:color="auto"/>
            </w:tcBorders>
            <w:shd w:val="clear" w:color="000000" w:fill="CCFFFF"/>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28</w:t>
            </w:r>
          </w:p>
        </w:tc>
        <w:tc>
          <w:tcPr>
            <w:tcW w:w="437" w:type="dxa"/>
            <w:tcBorders>
              <w:top w:val="single" w:sz="8" w:space="0" w:color="auto"/>
              <w:left w:val="nil"/>
              <w:bottom w:val="nil"/>
              <w:right w:val="single" w:sz="8" w:space="0" w:color="auto"/>
            </w:tcBorders>
            <w:shd w:val="clear" w:color="000000" w:fill="CCFFFF"/>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c>
          <w:tcPr>
            <w:tcW w:w="480" w:type="dxa"/>
            <w:vMerge w:val="restart"/>
            <w:tcBorders>
              <w:top w:val="nil"/>
              <w:left w:val="single" w:sz="8" w:space="0" w:color="auto"/>
              <w:bottom w:val="single" w:sz="8" w:space="0" w:color="000000"/>
              <w:right w:val="single" w:sz="8" w:space="0" w:color="auto"/>
            </w:tcBorders>
            <w:shd w:val="clear" w:color="000000" w:fill="CCFFFF"/>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5779</w:t>
            </w:r>
          </w:p>
        </w:tc>
        <w:tc>
          <w:tcPr>
            <w:tcW w:w="480" w:type="dxa"/>
            <w:vMerge w:val="restart"/>
            <w:tcBorders>
              <w:top w:val="nil"/>
              <w:left w:val="single" w:sz="8" w:space="0" w:color="auto"/>
              <w:bottom w:val="single" w:sz="8" w:space="0" w:color="000000"/>
              <w:right w:val="single" w:sz="8" w:space="0" w:color="auto"/>
            </w:tcBorders>
            <w:shd w:val="clear" w:color="000000" w:fill="CCFFFF"/>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1882</w:t>
            </w:r>
          </w:p>
        </w:tc>
        <w:tc>
          <w:tcPr>
            <w:tcW w:w="480" w:type="dxa"/>
            <w:tcBorders>
              <w:top w:val="nil"/>
              <w:left w:val="nil"/>
              <w:bottom w:val="nil"/>
              <w:right w:val="single" w:sz="8" w:space="0" w:color="auto"/>
            </w:tcBorders>
            <w:shd w:val="clear" w:color="000000" w:fill="CCFFFF"/>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auto"/>
                <w:sz w:val="12"/>
                <w:szCs w:val="12"/>
                <w:lang w:val="fr-FR" w:eastAsia="de-AT"/>
              </w:rPr>
            </w:pPr>
          </w:p>
        </w:tc>
        <w:tc>
          <w:tcPr>
            <w:tcW w:w="840" w:type="dxa"/>
            <w:tcBorders>
              <w:top w:val="nil"/>
              <w:left w:val="single" w:sz="8" w:space="0" w:color="auto"/>
              <w:bottom w:val="nil"/>
              <w:right w:val="single" w:sz="8" w:space="0" w:color="auto"/>
            </w:tcBorders>
            <w:shd w:val="clear" w:color="auto" w:fill="auto"/>
            <w:noWrap/>
            <w:vAlign w:val="bottom"/>
            <w:hideMark/>
          </w:tcPr>
          <w:p w:rsidR="000C2089" w:rsidRPr="00E27E50" w:rsidRDefault="000C2089" w:rsidP="000C2089">
            <w:pPr>
              <w:jc w:val="center"/>
              <w:rPr>
                <w:rFonts w:cs="Arial"/>
                <w:b/>
                <w:bCs/>
                <w:color w:val="333399"/>
                <w:sz w:val="12"/>
                <w:szCs w:val="12"/>
                <w:lang w:val="fr-FR" w:eastAsia="de-AT"/>
              </w:rPr>
            </w:pPr>
            <w:r w:rsidRPr="00E27E50">
              <w:rPr>
                <w:rFonts w:cs="Arial"/>
                <w:b/>
                <w:bCs/>
                <w:color w:val="333399"/>
                <w:sz w:val="12"/>
                <w:szCs w:val="12"/>
                <w:lang w:val="fr-FR" w:eastAsia="de-AT"/>
              </w:rPr>
              <w:t>Secondaire</w:t>
            </w:r>
          </w:p>
        </w:tc>
        <w:tc>
          <w:tcPr>
            <w:tcW w:w="480" w:type="dxa"/>
            <w:tcBorders>
              <w:top w:val="single" w:sz="8" w:space="0" w:color="auto"/>
              <w:left w:val="nil"/>
              <w:bottom w:val="single" w:sz="4" w:space="0" w:color="auto"/>
              <w:right w:val="single" w:sz="4"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1388</w:t>
            </w:r>
          </w:p>
        </w:tc>
        <w:tc>
          <w:tcPr>
            <w:tcW w:w="480"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1085</w:t>
            </w:r>
          </w:p>
        </w:tc>
        <w:tc>
          <w:tcPr>
            <w:tcW w:w="480"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 xml:space="preserve">680 </w:t>
            </w:r>
          </w:p>
        </w:tc>
        <w:tc>
          <w:tcPr>
            <w:tcW w:w="569"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 xml:space="preserve">1.219 </w:t>
            </w:r>
          </w:p>
        </w:tc>
        <w:tc>
          <w:tcPr>
            <w:tcW w:w="487"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 xml:space="preserve">48 </w:t>
            </w:r>
          </w:p>
        </w:tc>
        <w:tc>
          <w:tcPr>
            <w:tcW w:w="384"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 xml:space="preserve">31 </w:t>
            </w:r>
          </w:p>
        </w:tc>
        <w:tc>
          <w:tcPr>
            <w:tcW w:w="451"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 xml:space="preserve">584 </w:t>
            </w:r>
          </w:p>
        </w:tc>
        <w:tc>
          <w:tcPr>
            <w:tcW w:w="553"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 xml:space="preserve">37 </w:t>
            </w:r>
          </w:p>
        </w:tc>
        <w:tc>
          <w:tcPr>
            <w:tcW w:w="436"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 xml:space="preserve">6 </w:t>
            </w:r>
          </w:p>
        </w:tc>
        <w:tc>
          <w:tcPr>
            <w:tcW w:w="480"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3191</w:t>
            </w:r>
          </w:p>
        </w:tc>
        <w:tc>
          <w:tcPr>
            <w:tcW w:w="480"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1170</w:t>
            </w:r>
          </w:p>
        </w:tc>
        <w:tc>
          <w:tcPr>
            <w:tcW w:w="480" w:type="dxa"/>
            <w:tcBorders>
              <w:top w:val="single" w:sz="8" w:space="0" w:color="auto"/>
              <w:left w:val="single" w:sz="8" w:space="0" w:color="auto"/>
              <w:bottom w:val="single" w:sz="4" w:space="0" w:color="auto"/>
              <w:right w:val="single" w:sz="8" w:space="0" w:color="auto"/>
            </w:tcBorders>
            <w:shd w:val="clear" w:color="000000" w:fill="CCFFFF"/>
            <w:noWrap/>
            <w:vAlign w:val="bottom"/>
            <w:hideMark/>
          </w:tcPr>
          <w:p w:rsidR="000C2089" w:rsidRPr="00E27E50" w:rsidRDefault="000C2089" w:rsidP="000C2089">
            <w:pPr>
              <w:jc w:val="center"/>
              <w:rPr>
                <w:rFonts w:cs="Arial"/>
                <w:color w:val="auto"/>
                <w:sz w:val="12"/>
                <w:szCs w:val="12"/>
                <w:lang w:val="fr-FR" w:eastAsia="de-AT"/>
              </w:rPr>
            </w:pPr>
            <w:r w:rsidRPr="00E27E50">
              <w:rPr>
                <w:rFonts w:cs="Arial"/>
                <w:color w:val="auto"/>
                <w:sz w:val="12"/>
                <w:szCs w:val="12"/>
                <w:lang w:val="fr-FR" w:eastAsia="de-AT"/>
              </w:rPr>
              <w:t>717</w:t>
            </w:r>
          </w:p>
        </w:tc>
        <w:tc>
          <w:tcPr>
            <w:tcW w:w="450" w:type="dxa"/>
            <w:vMerge/>
            <w:tcBorders>
              <w:top w:val="single" w:sz="8" w:space="0" w:color="auto"/>
              <w:left w:val="nil"/>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553" w:type="dxa"/>
            <w:vMerge/>
            <w:tcBorders>
              <w:top w:val="single" w:sz="8" w:space="0" w:color="auto"/>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37" w:type="dxa"/>
            <w:tcBorders>
              <w:top w:val="nil"/>
              <w:left w:val="nil"/>
              <w:bottom w:val="nil"/>
              <w:right w:val="single" w:sz="8" w:space="0" w:color="auto"/>
            </w:tcBorders>
            <w:shd w:val="clear" w:color="000000" w:fill="CCFFFF"/>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10</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nil"/>
              <w:right w:val="single" w:sz="8" w:space="0" w:color="auto"/>
            </w:tcBorders>
            <w:shd w:val="clear" w:color="000000" w:fill="CCFFFF"/>
            <w:noWrap/>
            <w:vAlign w:val="center"/>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1478</w:t>
            </w:r>
          </w:p>
        </w:tc>
      </w:tr>
      <w:tr w:rsidR="000C2089" w:rsidRPr="00E27E50" w:rsidTr="00AC7D09">
        <w:trPr>
          <w:trHeight w:val="210"/>
          <w:jc w:val="center"/>
        </w:trPr>
        <w:tc>
          <w:tcPr>
            <w:tcW w:w="860" w:type="dxa"/>
            <w:vMerge/>
            <w:tcBorders>
              <w:top w:val="nil"/>
              <w:left w:val="single" w:sz="8" w:space="0" w:color="auto"/>
              <w:bottom w:val="single" w:sz="8" w:space="0" w:color="000000"/>
              <w:right w:val="nil"/>
            </w:tcBorders>
            <w:vAlign w:val="center"/>
            <w:hideMark/>
          </w:tcPr>
          <w:p w:rsidR="000C2089" w:rsidRPr="00E27E50" w:rsidRDefault="000C2089" w:rsidP="000C2089">
            <w:pPr>
              <w:jc w:val="left"/>
              <w:rPr>
                <w:rFonts w:cs="Arial"/>
                <w:b/>
                <w:bCs/>
                <w:color w:val="auto"/>
                <w:sz w:val="12"/>
                <w:szCs w:val="12"/>
                <w:lang w:val="fr-FR" w:eastAsia="de-AT"/>
              </w:rPr>
            </w:pPr>
          </w:p>
        </w:tc>
        <w:tc>
          <w:tcPr>
            <w:tcW w:w="84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Total</w:t>
            </w:r>
          </w:p>
        </w:tc>
        <w:tc>
          <w:tcPr>
            <w:tcW w:w="480" w:type="dxa"/>
            <w:tcBorders>
              <w:top w:val="single" w:sz="8" w:space="0" w:color="auto"/>
              <w:left w:val="nil"/>
              <w:bottom w:val="single" w:sz="8" w:space="0" w:color="auto"/>
              <w:right w:val="single" w:sz="4" w:space="0" w:color="auto"/>
            </w:tcBorders>
            <w:shd w:val="clear" w:color="000000" w:fill="CCFFFF"/>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2610</w:t>
            </w:r>
          </w:p>
        </w:tc>
        <w:tc>
          <w:tcPr>
            <w:tcW w:w="480"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1721</w:t>
            </w:r>
          </w:p>
        </w:tc>
        <w:tc>
          <w:tcPr>
            <w:tcW w:w="480"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1372</w:t>
            </w:r>
          </w:p>
        </w:tc>
        <w:tc>
          <w:tcPr>
            <w:tcW w:w="569"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1782</w:t>
            </w:r>
          </w:p>
        </w:tc>
        <w:tc>
          <w:tcPr>
            <w:tcW w:w="487"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68</w:t>
            </w:r>
          </w:p>
        </w:tc>
        <w:tc>
          <w:tcPr>
            <w:tcW w:w="384"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xml:space="preserve">71 </w:t>
            </w:r>
          </w:p>
        </w:tc>
        <w:tc>
          <w:tcPr>
            <w:tcW w:w="451"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733</w:t>
            </w:r>
          </w:p>
        </w:tc>
        <w:tc>
          <w:tcPr>
            <w:tcW w:w="553"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65</w:t>
            </w:r>
          </w:p>
        </w:tc>
        <w:tc>
          <w:tcPr>
            <w:tcW w:w="436"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xml:space="preserve">25 </w:t>
            </w:r>
          </w:p>
        </w:tc>
        <w:tc>
          <w:tcPr>
            <w:tcW w:w="480"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5125</w:t>
            </w:r>
          </w:p>
        </w:tc>
        <w:tc>
          <w:tcPr>
            <w:tcW w:w="480"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1854</w:t>
            </w:r>
          </w:p>
        </w:tc>
        <w:tc>
          <w:tcPr>
            <w:tcW w:w="480"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1468</w:t>
            </w:r>
          </w:p>
        </w:tc>
        <w:tc>
          <w:tcPr>
            <w:tcW w:w="450" w:type="dxa"/>
            <w:vMerge/>
            <w:tcBorders>
              <w:top w:val="single" w:sz="8" w:space="0" w:color="auto"/>
              <w:left w:val="nil"/>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553" w:type="dxa"/>
            <w:vMerge/>
            <w:tcBorders>
              <w:top w:val="single" w:sz="8" w:space="0" w:color="auto"/>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37" w:type="dxa"/>
            <w:tcBorders>
              <w:top w:val="nil"/>
              <w:left w:val="nil"/>
              <w:bottom w:val="single" w:sz="8" w:space="0" w:color="auto"/>
              <w:right w:val="single" w:sz="8" w:space="0" w:color="auto"/>
            </w:tcBorders>
            <w:shd w:val="clear" w:color="000000" w:fill="CCFFFF"/>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vMerge/>
            <w:tcBorders>
              <w:top w:val="nil"/>
              <w:left w:val="single" w:sz="8" w:space="0" w:color="auto"/>
              <w:bottom w:val="single" w:sz="8" w:space="0" w:color="000000"/>
              <w:right w:val="single" w:sz="8" w:space="0" w:color="auto"/>
            </w:tcBorders>
            <w:vAlign w:val="center"/>
            <w:hideMark/>
          </w:tcPr>
          <w:p w:rsidR="000C2089" w:rsidRPr="00E27E50" w:rsidRDefault="000C2089" w:rsidP="000C2089">
            <w:pPr>
              <w:jc w:val="left"/>
              <w:rPr>
                <w:rFonts w:cs="Arial"/>
                <w:b/>
                <w:bCs/>
                <w:color w:val="auto"/>
                <w:sz w:val="12"/>
                <w:szCs w:val="12"/>
                <w:lang w:val="fr-FR" w:eastAsia="de-AT"/>
              </w:rPr>
            </w:pPr>
          </w:p>
        </w:tc>
        <w:tc>
          <w:tcPr>
            <w:tcW w:w="480" w:type="dxa"/>
            <w:tcBorders>
              <w:top w:val="nil"/>
              <w:left w:val="nil"/>
              <w:bottom w:val="single" w:sz="8" w:space="0" w:color="auto"/>
              <w:right w:val="single" w:sz="8" w:space="0" w:color="auto"/>
            </w:tcBorders>
            <w:shd w:val="clear" w:color="000000" w:fill="CCFFFF"/>
            <w:noWrap/>
            <w:vAlign w:val="bottom"/>
            <w:hideMark/>
          </w:tcPr>
          <w:p w:rsidR="000C2089" w:rsidRPr="00E27E50" w:rsidRDefault="000C2089" w:rsidP="000C2089">
            <w:pPr>
              <w:jc w:val="center"/>
              <w:rPr>
                <w:rFonts w:cs="Arial"/>
                <w:b/>
                <w:bCs/>
                <w:color w:val="auto"/>
                <w:sz w:val="12"/>
                <w:szCs w:val="12"/>
                <w:lang w:val="fr-FR" w:eastAsia="de-AT"/>
              </w:rPr>
            </w:pPr>
            <w:r w:rsidRPr="00E27E50">
              <w:rPr>
                <w:rFonts w:cs="Arial"/>
                <w:b/>
                <w:bCs/>
                <w:color w:val="auto"/>
                <w:sz w:val="12"/>
                <w:szCs w:val="12"/>
                <w:lang w:val="fr-FR" w:eastAsia="de-AT"/>
              </w:rPr>
              <w:t> </w:t>
            </w:r>
          </w:p>
        </w:tc>
      </w:tr>
    </w:tbl>
    <w:p w:rsidR="00FD4DB5" w:rsidRPr="00E27E50" w:rsidRDefault="00FD4DB5" w:rsidP="00463084">
      <w:pPr>
        <w:ind w:left="-567" w:right="-427"/>
        <w:jc w:val="center"/>
        <w:rPr>
          <w:b/>
          <w:color w:val="444239"/>
          <w:lang w:val="fr-FR"/>
        </w:rPr>
      </w:pPr>
    </w:p>
    <w:p w:rsidR="00463084" w:rsidRPr="00E27E50" w:rsidRDefault="00BD65A4" w:rsidP="00957F98">
      <w:pPr>
        <w:ind w:right="-427"/>
        <w:jc w:val="center"/>
        <w:rPr>
          <w:color w:val="444239"/>
          <w:lang w:val="fr-FR"/>
        </w:rPr>
      </w:pPr>
      <w:r w:rsidRPr="00E27E50">
        <w:rPr>
          <w:b/>
          <w:color w:val="444239"/>
          <w:lang w:val="fr-FR"/>
        </w:rPr>
        <w:t xml:space="preserve">Tableau </w:t>
      </w:r>
      <w:r w:rsidRPr="00E27E50">
        <w:rPr>
          <w:b/>
          <w:color w:val="444239"/>
          <w:lang w:val="fr-FR"/>
        </w:rPr>
        <w:fldChar w:fldCharType="begin"/>
      </w:r>
      <w:r w:rsidRPr="00E27E50">
        <w:rPr>
          <w:b/>
          <w:color w:val="444239"/>
          <w:lang w:val="fr-FR"/>
        </w:rPr>
        <w:instrText xml:space="preserve"> SEQ Table \* ARABIC </w:instrText>
      </w:r>
      <w:r w:rsidRPr="00E27E50">
        <w:rPr>
          <w:b/>
          <w:color w:val="444239"/>
          <w:lang w:val="fr-FR"/>
        </w:rPr>
        <w:fldChar w:fldCharType="separate"/>
      </w:r>
      <w:r w:rsidR="00021E93">
        <w:rPr>
          <w:b/>
          <w:noProof/>
          <w:color w:val="444239"/>
          <w:lang w:val="fr-FR"/>
        </w:rPr>
        <w:t>1</w:t>
      </w:r>
      <w:r w:rsidRPr="00E27E50">
        <w:rPr>
          <w:b/>
          <w:color w:val="444239"/>
          <w:lang w:val="fr-FR"/>
        </w:rPr>
        <w:fldChar w:fldCharType="end"/>
      </w:r>
      <w:r w:rsidRPr="00E27E50">
        <w:rPr>
          <w:color w:val="444239"/>
          <w:lang w:val="fr-FR"/>
        </w:rPr>
        <w:t> : invent</w:t>
      </w:r>
      <w:r w:rsidR="00957F98" w:rsidRPr="00E27E50">
        <w:rPr>
          <w:color w:val="444239"/>
          <w:lang w:val="fr-FR"/>
        </w:rPr>
        <w:t>aire IT des écoles au 31/12/201</w:t>
      </w:r>
      <w:r w:rsidR="00E83AF6" w:rsidRPr="00E27E50">
        <w:rPr>
          <w:color w:val="444239"/>
          <w:lang w:val="fr-FR"/>
        </w:rPr>
        <w:t>8</w:t>
      </w:r>
    </w:p>
    <w:p w:rsidR="00463084" w:rsidRPr="00E27E50" w:rsidRDefault="00463084">
      <w:pPr>
        <w:jc w:val="left"/>
        <w:rPr>
          <w:color w:val="444239"/>
          <w:lang w:val="fr-FR"/>
        </w:rPr>
      </w:pPr>
      <w:r w:rsidRPr="00E27E50">
        <w:rPr>
          <w:color w:val="444239"/>
          <w:lang w:val="fr-FR"/>
        </w:rPr>
        <w:br w:type="page"/>
      </w:r>
    </w:p>
    <w:p w:rsidR="00BD65A4" w:rsidRPr="00E27E50" w:rsidRDefault="007D4FCD" w:rsidP="00463084">
      <w:pPr>
        <w:ind w:left="-426" w:right="-427"/>
        <w:jc w:val="center"/>
        <w:rPr>
          <w:color w:val="444239"/>
          <w:lang w:val="fr-FR"/>
        </w:rPr>
      </w:pPr>
      <w:r w:rsidRPr="007D4FCD">
        <w:lastRenderedPageBreak/>
        <w:drawing>
          <wp:inline distT="0" distB="0" distL="0" distR="0">
            <wp:extent cx="5729450" cy="719137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3336" cy="7196253"/>
                    </a:xfrm>
                    <a:prstGeom prst="rect">
                      <a:avLst/>
                    </a:prstGeom>
                    <a:noFill/>
                    <a:ln>
                      <a:noFill/>
                    </a:ln>
                  </pic:spPr>
                </pic:pic>
              </a:graphicData>
            </a:graphic>
          </wp:inline>
        </w:drawing>
      </w:r>
    </w:p>
    <w:p w:rsidR="00BD65A4" w:rsidRPr="00E27E50" w:rsidRDefault="00BD65A4" w:rsidP="00957F98">
      <w:pPr>
        <w:pStyle w:val="Closing"/>
        <w:ind w:left="0"/>
        <w:jc w:val="center"/>
        <w:rPr>
          <w:b/>
          <w:color w:val="444239"/>
        </w:rPr>
      </w:pPr>
      <w:r w:rsidRPr="00E27E50">
        <w:rPr>
          <w:b/>
          <w:color w:val="444239"/>
        </w:rPr>
        <w:t xml:space="preserve">Tableau </w:t>
      </w:r>
      <w:r w:rsidRPr="00E27E50">
        <w:rPr>
          <w:b/>
          <w:color w:val="444239"/>
        </w:rPr>
        <w:fldChar w:fldCharType="begin"/>
      </w:r>
      <w:r w:rsidRPr="00E27E50">
        <w:rPr>
          <w:b/>
          <w:color w:val="444239"/>
        </w:rPr>
        <w:instrText xml:space="preserve"> SEQ Table \* ARABIC </w:instrText>
      </w:r>
      <w:r w:rsidRPr="00E27E50">
        <w:rPr>
          <w:b/>
          <w:color w:val="444239"/>
        </w:rPr>
        <w:fldChar w:fldCharType="separate"/>
      </w:r>
      <w:r w:rsidR="00021E93">
        <w:rPr>
          <w:b/>
          <w:noProof/>
          <w:color w:val="444239"/>
        </w:rPr>
        <w:t>2</w:t>
      </w:r>
      <w:r w:rsidRPr="00E27E50">
        <w:rPr>
          <w:b/>
          <w:color w:val="444239"/>
        </w:rPr>
        <w:fldChar w:fldCharType="end"/>
      </w:r>
      <w:r w:rsidRPr="00E27E50">
        <w:rPr>
          <w:color w:val="444239"/>
        </w:rPr>
        <w:t xml:space="preserve"> - Taux d’équipement informatique pédagogique au 31/12/201</w:t>
      </w:r>
      <w:r w:rsidR="00E83AF6" w:rsidRPr="00E27E50">
        <w:rPr>
          <w:color w:val="444239"/>
        </w:rPr>
        <w:t>8</w:t>
      </w:r>
    </w:p>
    <w:p w:rsidR="00BD65A4" w:rsidRPr="00E27E50" w:rsidRDefault="00BD65A4" w:rsidP="006A5FB8">
      <w:pPr>
        <w:ind w:left="567"/>
        <w:rPr>
          <w:color w:val="444239"/>
          <w:lang w:val="fr-FR"/>
        </w:rPr>
      </w:pPr>
      <w:r w:rsidRPr="00E27E50">
        <w:rPr>
          <w:color w:val="444239"/>
          <w:lang w:val="fr-FR"/>
        </w:rPr>
        <w:br w:type="page"/>
      </w:r>
    </w:p>
    <w:p w:rsidR="00BD65A4" w:rsidRPr="00E27E50" w:rsidRDefault="00BD65A4" w:rsidP="00BD65A4">
      <w:pPr>
        <w:spacing w:after="480"/>
        <w:ind w:left="567"/>
        <w:jc w:val="left"/>
        <w:rPr>
          <w:color w:val="444239"/>
          <w:lang w:val="fr-FR"/>
        </w:rPr>
      </w:pPr>
      <w:r w:rsidRPr="00E27E50">
        <w:rPr>
          <w:color w:val="444239"/>
          <w:lang w:val="fr-FR"/>
        </w:rPr>
        <w:lastRenderedPageBreak/>
        <w:t xml:space="preserve">Le Tableau 3 (écoles classées en fonction du nombre d’élèves par appareil) classe les écoles en fonction de leur ratio élèves par PC, élèves par </w:t>
      </w:r>
      <w:proofErr w:type="spellStart"/>
      <w:r w:rsidRPr="00E27E50">
        <w:rPr>
          <w:color w:val="444239"/>
          <w:lang w:val="fr-FR"/>
        </w:rPr>
        <w:t>beamer</w:t>
      </w:r>
      <w:proofErr w:type="spellEnd"/>
      <w:r w:rsidRPr="00E27E50">
        <w:rPr>
          <w:color w:val="444239"/>
          <w:lang w:val="fr-FR"/>
        </w:rPr>
        <w:t xml:space="preserve"> et élèves par tableau blanc interactif.</w:t>
      </w:r>
    </w:p>
    <w:tbl>
      <w:tblPr>
        <w:tblW w:w="7680" w:type="dxa"/>
        <w:jc w:val="center"/>
        <w:tblCellMar>
          <w:left w:w="70" w:type="dxa"/>
          <w:right w:w="70" w:type="dxa"/>
        </w:tblCellMar>
        <w:tblLook w:val="04A0" w:firstRow="1" w:lastRow="0" w:firstColumn="1" w:lastColumn="0" w:noHBand="0" w:noVBand="1"/>
      </w:tblPr>
      <w:tblGrid>
        <w:gridCol w:w="1300"/>
        <w:gridCol w:w="960"/>
        <w:gridCol w:w="500"/>
        <w:gridCol w:w="1320"/>
        <w:gridCol w:w="960"/>
        <w:gridCol w:w="440"/>
        <w:gridCol w:w="1240"/>
        <w:gridCol w:w="960"/>
      </w:tblGrid>
      <w:tr w:rsidR="00AC7D09" w:rsidRPr="00E27E50" w:rsidTr="00AC7D09">
        <w:trPr>
          <w:trHeight w:val="735"/>
          <w:jc w:val="center"/>
        </w:trPr>
        <w:tc>
          <w:tcPr>
            <w:tcW w:w="1300" w:type="dxa"/>
            <w:tcBorders>
              <w:top w:val="single" w:sz="8" w:space="0" w:color="auto"/>
              <w:left w:val="single" w:sz="8" w:space="0" w:color="auto"/>
              <w:bottom w:val="single" w:sz="8" w:space="0" w:color="auto"/>
              <w:right w:val="nil"/>
            </w:tcBorders>
            <w:shd w:val="clear" w:color="000000" w:fill="8DB4E2"/>
            <w:noWrap/>
            <w:vAlign w:val="bottom"/>
            <w:hideMark/>
          </w:tcPr>
          <w:p w:rsidR="00AC7D09" w:rsidRPr="00E27E50" w:rsidRDefault="00AC7D09" w:rsidP="00AC7D09">
            <w:pPr>
              <w:jc w:val="center"/>
              <w:rPr>
                <w:rFonts w:cs="Arial"/>
                <w:b/>
                <w:bCs/>
                <w:color w:val="auto"/>
                <w:sz w:val="18"/>
                <w:szCs w:val="18"/>
                <w:lang w:val="fr-FR" w:eastAsia="de-AT"/>
              </w:rPr>
            </w:pPr>
            <w:r w:rsidRPr="00E27E50">
              <w:rPr>
                <w:rFonts w:cs="Arial"/>
                <w:b/>
                <w:bCs/>
                <w:color w:val="auto"/>
                <w:sz w:val="18"/>
                <w:szCs w:val="18"/>
                <w:lang w:val="fr-FR" w:eastAsia="de-AT"/>
              </w:rPr>
              <w:t>Ecole</w:t>
            </w:r>
          </w:p>
        </w:tc>
        <w:tc>
          <w:tcPr>
            <w:tcW w:w="960" w:type="dxa"/>
            <w:tcBorders>
              <w:top w:val="single" w:sz="8" w:space="0" w:color="auto"/>
              <w:left w:val="single" w:sz="8" w:space="0" w:color="auto"/>
              <w:bottom w:val="single" w:sz="8" w:space="0" w:color="auto"/>
              <w:right w:val="single" w:sz="8" w:space="0" w:color="auto"/>
            </w:tcBorders>
            <w:shd w:val="clear" w:color="000000" w:fill="8DB4E2"/>
            <w:vAlign w:val="bottom"/>
            <w:hideMark/>
          </w:tcPr>
          <w:p w:rsidR="00AC7D09" w:rsidRPr="00E27E50" w:rsidRDefault="00AC7D09" w:rsidP="00AC7D09">
            <w:pPr>
              <w:jc w:val="center"/>
              <w:rPr>
                <w:rFonts w:cs="Arial"/>
                <w:b/>
                <w:bCs/>
                <w:color w:val="auto"/>
                <w:sz w:val="18"/>
                <w:szCs w:val="18"/>
                <w:lang w:val="fr-FR" w:eastAsia="de-AT"/>
              </w:rPr>
            </w:pPr>
            <w:r w:rsidRPr="00E27E50">
              <w:rPr>
                <w:rFonts w:cs="Arial"/>
                <w:b/>
                <w:bCs/>
                <w:color w:val="auto"/>
                <w:sz w:val="18"/>
                <w:szCs w:val="18"/>
                <w:lang w:val="fr-FR" w:eastAsia="de-AT"/>
              </w:rPr>
              <w:t>Elèves par PC</w:t>
            </w:r>
          </w:p>
        </w:tc>
        <w:tc>
          <w:tcPr>
            <w:tcW w:w="500" w:type="dxa"/>
            <w:tcBorders>
              <w:top w:val="nil"/>
              <w:left w:val="nil"/>
              <w:bottom w:val="nil"/>
              <w:right w:val="nil"/>
            </w:tcBorders>
            <w:shd w:val="clear" w:color="auto" w:fill="auto"/>
            <w:vAlign w:val="bottom"/>
            <w:hideMark/>
          </w:tcPr>
          <w:p w:rsidR="00AC7D09" w:rsidRPr="00E27E50" w:rsidRDefault="00AC7D09" w:rsidP="00AC7D09">
            <w:pPr>
              <w:jc w:val="center"/>
              <w:rPr>
                <w:rFonts w:cs="Arial"/>
                <w:b/>
                <w:bCs/>
                <w:color w:val="auto"/>
                <w:sz w:val="18"/>
                <w:szCs w:val="18"/>
                <w:lang w:val="fr-FR" w:eastAsia="de-AT"/>
              </w:rPr>
            </w:pPr>
          </w:p>
        </w:tc>
        <w:tc>
          <w:tcPr>
            <w:tcW w:w="1320" w:type="dxa"/>
            <w:tcBorders>
              <w:top w:val="single" w:sz="8" w:space="0" w:color="auto"/>
              <w:left w:val="single" w:sz="8" w:space="0" w:color="auto"/>
              <w:bottom w:val="single" w:sz="8" w:space="0" w:color="auto"/>
              <w:right w:val="single" w:sz="8" w:space="0" w:color="auto"/>
            </w:tcBorders>
            <w:shd w:val="clear" w:color="000000" w:fill="8DB4E2"/>
            <w:noWrap/>
            <w:vAlign w:val="bottom"/>
            <w:hideMark/>
          </w:tcPr>
          <w:p w:rsidR="00AC7D09" w:rsidRPr="00E27E50" w:rsidRDefault="00AC7D09" w:rsidP="00AC7D09">
            <w:pPr>
              <w:jc w:val="center"/>
              <w:rPr>
                <w:rFonts w:cs="Arial"/>
                <w:b/>
                <w:bCs/>
                <w:color w:val="auto"/>
                <w:sz w:val="18"/>
                <w:szCs w:val="18"/>
                <w:lang w:val="fr-FR" w:eastAsia="de-AT"/>
              </w:rPr>
            </w:pPr>
            <w:r w:rsidRPr="00E27E50">
              <w:rPr>
                <w:rFonts w:cs="Arial"/>
                <w:b/>
                <w:bCs/>
                <w:color w:val="auto"/>
                <w:sz w:val="18"/>
                <w:szCs w:val="18"/>
                <w:lang w:val="fr-FR" w:eastAsia="de-AT"/>
              </w:rPr>
              <w:t>Ecole</w:t>
            </w:r>
          </w:p>
        </w:tc>
        <w:tc>
          <w:tcPr>
            <w:tcW w:w="960" w:type="dxa"/>
            <w:tcBorders>
              <w:top w:val="single" w:sz="8" w:space="0" w:color="auto"/>
              <w:left w:val="nil"/>
              <w:bottom w:val="single" w:sz="8" w:space="0" w:color="auto"/>
              <w:right w:val="single" w:sz="8" w:space="0" w:color="auto"/>
            </w:tcBorders>
            <w:shd w:val="clear" w:color="000000" w:fill="8DB4E2"/>
            <w:vAlign w:val="bottom"/>
            <w:hideMark/>
          </w:tcPr>
          <w:p w:rsidR="00AC7D09" w:rsidRPr="00E27E50" w:rsidRDefault="00AC7D09" w:rsidP="00AC7D09">
            <w:pPr>
              <w:jc w:val="center"/>
              <w:rPr>
                <w:rFonts w:cs="Arial"/>
                <w:b/>
                <w:bCs/>
                <w:color w:val="auto"/>
                <w:sz w:val="18"/>
                <w:szCs w:val="18"/>
                <w:lang w:val="fr-FR" w:eastAsia="de-AT"/>
              </w:rPr>
            </w:pPr>
            <w:r w:rsidRPr="00E27E50">
              <w:rPr>
                <w:rFonts w:cs="Arial"/>
                <w:b/>
                <w:bCs/>
                <w:color w:val="auto"/>
                <w:sz w:val="18"/>
                <w:szCs w:val="18"/>
                <w:lang w:val="fr-FR" w:eastAsia="de-AT"/>
              </w:rPr>
              <w:t xml:space="preserve">Elèves par </w:t>
            </w:r>
            <w:proofErr w:type="spellStart"/>
            <w:r w:rsidRPr="00E27E50">
              <w:rPr>
                <w:rFonts w:cs="Arial"/>
                <w:b/>
                <w:bCs/>
                <w:color w:val="auto"/>
                <w:sz w:val="18"/>
                <w:szCs w:val="18"/>
                <w:lang w:val="fr-FR" w:eastAsia="de-AT"/>
              </w:rPr>
              <w:t>beamer</w:t>
            </w:r>
            <w:proofErr w:type="spellEnd"/>
          </w:p>
        </w:tc>
        <w:tc>
          <w:tcPr>
            <w:tcW w:w="440" w:type="dxa"/>
            <w:tcBorders>
              <w:top w:val="nil"/>
              <w:left w:val="nil"/>
              <w:bottom w:val="nil"/>
              <w:right w:val="nil"/>
            </w:tcBorders>
            <w:shd w:val="clear" w:color="auto" w:fill="auto"/>
            <w:vAlign w:val="bottom"/>
            <w:hideMark/>
          </w:tcPr>
          <w:p w:rsidR="00AC7D09" w:rsidRPr="00E27E50" w:rsidRDefault="00AC7D09" w:rsidP="00AC7D09">
            <w:pPr>
              <w:jc w:val="center"/>
              <w:rPr>
                <w:rFonts w:cs="Arial"/>
                <w:b/>
                <w:bCs/>
                <w:color w:val="auto"/>
                <w:sz w:val="18"/>
                <w:szCs w:val="18"/>
                <w:lang w:val="fr-FR" w:eastAsia="de-AT"/>
              </w:rPr>
            </w:pPr>
          </w:p>
        </w:tc>
        <w:tc>
          <w:tcPr>
            <w:tcW w:w="1240" w:type="dxa"/>
            <w:tcBorders>
              <w:top w:val="single" w:sz="8" w:space="0" w:color="auto"/>
              <w:left w:val="single" w:sz="8" w:space="0" w:color="auto"/>
              <w:bottom w:val="single" w:sz="8" w:space="0" w:color="auto"/>
              <w:right w:val="single" w:sz="8" w:space="0" w:color="auto"/>
            </w:tcBorders>
            <w:shd w:val="clear" w:color="000000" w:fill="8DB4E2"/>
            <w:noWrap/>
            <w:vAlign w:val="bottom"/>
            <w:hideMark/>
          </w:tcPr>
          <w:p w:rsidR="00AC7D09" w:rsidRPr="00E27E50" w:rsidRDefault="00AC7D09" w:rsidP="00AC7D09">
            <w:pPr>
              <w:jc w:val="center"/>
              <w:rPr>
                <w:rFonts w:cs="Arial"/>
                <w:b/>
                <w:bCs/>
                <w:color w:val="auto"/>
                <w:sz w:val="18"/>
                <w:szCs w:val="18"/>
                <w:lang w:val="fr-FR" w:eastAsia="de-AT"/>
              </w:rPr>
            </w:pPr>
            <w:r w:rsidRPr="00E27E50">
              <w:rPr>
                <w:rFonts w:cs="Arial"/>
                <w:b/>
                <w:bCs/>
                <w:color w:val="auto"/>
                <w:sz w:val="18"/>
                <w:szCs w:val="18"/>
                <w:lang w:val="fr-FR" w:eastAsia="de-AT"/>
              </w:rPr>
              <w:t>Ecole</w:t>
            </w:r>
          </w:p>
        </w:tc>
        <w:tc>
          <w:tcPr>
            <w:tcW w:w="960" w:type="dxa"/>
            <w:tcBorders>
              <w:top w:val="single" w:sz="8" w:space="0" w:color="auto"/>
              <w:left w:val="nil"/>
              <w:bottom w:val="single" w:sz="8" w:space="0" w:color="auto"/>
              <w:right w:val="single" w:sz="8" w:space="0" w:color="auto"/>
            </w:tcBorders>
            <w:shd w:val="clear" w:color="000000" w:fill="8DB4E2"/>
            <w:vAlign w:val="bottom"/>
            <w:hideMark/>
          </w:tcPr>
          <w:p w:rsidR="00AC7D09" w:rsidRPr="00E27E50" w:rsidRDefault="00AC7D09" w:rsidP="00AC7D09">
            <w:pPr>
              <w:jc w:val="center"/>
              <w:rPr>
                <w:rFonts w:cs="Arial"/>
                <w:b/>
                <w:bCs/>
                <w:color w:val="auto"/>
                <w:sz w:val="18"/>
                <w:szCs w:val="18"/>
                <w:lang w:val="fr-FR" w:eastAsia="de-AT"/>
              </w:rPr>
            </w:pPr>
            <w:r w:rsidRPr="00E27E50">
              <w:rPr>
                <w:rFonts w:cs="Arial"/>
                <w:b/>
                <w:bCs/>
                <w:color w:val="auto"/>
                <w:sz w:val="18"/>
                <w:szCs w:val="18"/>
                <w:lang w:val="fr-FR" w:eastAsia="de-AT"/>
              </w:rPr>
              <w:t>Elèves par TBI</w:t>
            </w:r>
          </w:p>
        </w:tc>
      </w:tr>
      <w:tr w:rsidR="00AC7D09" w:rsidRPr="00E27E50" w:rsidTr="00AC7D09">
        <w:trPr>
          <w:trHeight w:val="270"/>
          <w:jc w:val="center"/>
        </w:trPr>
        <w:tc>
          <w:tcPr>
            <w:tcW w:w="130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Bergen</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2,5</w:t>
            </w:r>
          </w:p>
        </w:tc>
        <w:tc>
          <w:tcPr>
            <w:tcW w:w="50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32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Mol</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8,9</w:t>
            </w:r>
          </w:p>
        </w:tc>
        <w:tc>
          <w:tcPr>
            <w:tcW w:w="44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24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Bergen</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11,1</w:t>
            </w:r>
          </w:p>
        </w:tc>
      </w:tr>
      <w:tr w:rsidR="00AC7D09" w:rsidRPr="00E27E50" w:rsidTr="00AC7D09">
        <w:trPr>
          <w:trHeight w:val="270"/>
          <w:jc w:val="center"/>
        </w:trPr>
        <w:tc>
          <w:tcPr>
            <w:tcW w:w="130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Karlsruhe</w:t>
            </w:r>
          </w:p>
        </w:tc>
        <w:tc>
          <w:tcPr>
            <w:tcW w:w="960" w:type="dxa"/>
            <w:tcBorders>
              <w:top w:val="nil"/>
              <w:left w:val="nil"/>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3,1</w:t>
            </w:r>
          </w:p>
        </w:tc>
        <w:tc>
          <w:tcPr>
            <w:tcW w:w="50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Luxembourg II</w:t>
            </w:r>
          </w:p>
        </w:tc>
        <w:tc>
          <w:tcPr>
            <w:tcW w:w="960" w:type="dxa"/>
            <w:tcBorders>
              <w:top w:val="nil"/>
              <w:left w:val="nil"/>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11,4</w:t>
            </w:r>
          </w:p>
        </w:tc>
        <w:tc>
          <w:tcPr>
            <w:tcW w:w="44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Alicante</w:t>
            </w:r>
          </w:p>
        </w:tc>
        <w:tc>
          <w:tcPr>
            <w:tcW w:w="960" w:type="dxa"/>
            <w:tcBorders>
              <w:top w:val="nil"/>
              <w:left w:val="nil"/>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11,2</w:t>
            </w:r>
          </w:p>
        </w:tc>
      </w:tr>
      <w:tr w:rsidR="00AC7D09" w:rsidRPr="00E27E50" w:rsidTr="00AC7D09">
        <w:trPr>
          <w:trHeight w:val="270"/>
          <w:jc w:val="center"/>
        </w:trPr>
        <w:tc>
          <w:tcPr>
            <w:tcW w:w="1300" w:type="dxa"/>
            <w:tcBorders>
              <w:top w:val="nil"/>
              <w:left w:val="single" w:sz="8" w:space="0" w:color="auto"/>
              <w:bottom w:val="single" w:sz="8" w:space="0" w:color="auto"/>
              <w:right w:val="single" w:sz="8" w:space="0" w:color="auto"/>
            </w:tcBorders>
            <w:shd w:val="clear" w:color="000000" w:fill="FFFFFF"/>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Mol</w:t>
            </w:r>
          </w:p>
        </w:tc>
        <w:tc>
          <w:tcPr>
            <w:tcW w:w="960" w:type="dxa"/>
            <w:tcBorders>
              <w:top w:val="nil"/>
              <w:left w:val="nil"/>
              <w:bottom w:val="single" w:sz="8" w:space="0" w:color="auto"/>
              <w:right w:val="single" w:sz="8" w:space="0" w:color="auto"/>
            </w:tcBorders>
            <w:shd w:val="clear" w:color="000000" w:fill="FFFFFF"/>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3,5</w:t>
            </w:r>
          </w:p>
        </w:tc>
        <w:tc>
          <w:tcPr>
            <w:tcW w:w="50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Karlsruhe</w:t>
            </w:r>
          </w:p>
        </w:tc>
        <w:tc>
          <w:tcPr>
            <w:tcW w:w="960" w:type="dxa"/>
            <w:tcBorders>
              <w:top w:val="nil"/>
              <w:left w:val="nil"/>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11,5</w:t>
            </w:r>
          </w:p>
        </w:tc>
        <w:tc>
          <w:tcPr>
            <w:tcW w:w="44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Luxembourg II</w:t>
            </w:r>
          </w:p>
        </w:tc>
        <w:tc>
          <w:tcPr>
            <w:tcW w:w="960" w:type="dxa"/>
            <w:tcBorders>
              <w:top w:val="nil"/>
              <w:left w:val="nil"/>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11,5</w:t>
            </w:r>
          </w:p>
        </w:tc>
      </w:tr>
      <w:tr w:rsidR="00AC7D09" w:rsidRPr="00E27E50" w:rsidTr="00AC7D09">
        <w:trPr>
          <w:trHeight w:val="270"/>
          <w:jc w:val="center"/>
        </w:trPr>
        <w:tc>
          <w:tcPr>
            <w:tcW w:w="130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Luxembourg II</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4,3</w:t>
            </w:r>
          </w:p>
        </w:tc>
        <w:tc>
          <w:tcPr>
            <w:tcW w:w="50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32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Varese</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11,8</w:t>
            </w:r>
          </w:p>
        </w:tc>
        <w:tc>
          <w:tcPr>
            <w:tcW w:w="44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24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Mol</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11,6</w:t>
            </w:r>
          </w:p>
        </w:tc>
      </w:tr>
      <w:tr w:rsidR="00AC7D09" w:rsidRPr="00E27E50" w:rsidTr="00AC7D09">
        <w:trPr>
          <w:trHeight w:val="270"/>
          <w:jc w:val="center"/>
        </w:trPr>
        <w:tc>
          <w:tcPr>
            <w:tcW w:w="130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Alicante</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4,3</w:t>
            </w:r>
          </w:p>
        </w:tc>
        <w:tc>
          <w:tcPr>
            <w:tcW w:w="50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32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Luxembourg I</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12,0</w:t>
            </w:r>
          </w:p>
        </w:tc>
        <w:tc>
          <w:tcPr>
            <w:tcW w:w="44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24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Varese</w:t>
            </w:r>
          </w:p>
        </w:tc>
        <w:tc>
          <w:tcPr>
            <w:tcW w:w="960" w:type="dxa"/>
            <w:tcBorders>
              <w:top w:val="nil"/>
              <w:left w:val="single" w:sz="8" w:space="0" w:color="auto"/>
              <w:bottom w:val="single" w:sz="8" w:space="0" w:color="auto"/>
              <w:right w:val="single" w:sz="8" w:space="0" w:color="auto"/>
            </w:tcBorders>
            <w:shd w:val="clear" w:color="000000" w:fill="FFFFFF"/>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16,7</w:t>
            </w:r>
          </w:p>
        </w:tc>
      </w:tr>
      <w:tr w:rsidR="00AC7D09" w:rsidRPr="00E27E50" w:rsidTr="00AC7D09">
        <w:trPr>
          <w:trHeight w:val="270"/>
          <w:jc w:val="center"/>
        </w:trPr>
        <w:tc>
          <w:tcPr>
            <w:tcW w:w="130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Francfort</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4,5</w:t>
            </w:r>
          </w:p>
        </w:tc>
        <w:tc>
          <w:tcPr>
            <w:tcW w:w="50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32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Alicante</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13,1</w:t>
            </w:r>
          </w:p>
        </w:tc>
        <w:tc>
          <w:tcPr>
            <w:tcW w:w="44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Karlsruhe</w:t>
            </w:r>
          </w:p>
        </w:tc>
        <w:tc>
          <w:tcPr>
            <w:tcW w:w="960" w:type="dxa"/>
            <w:tcBorders>
              <w:top w:val="nil"/>
              <w:left w:val="nil"/>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17,9</w:t>
            </w:r>
          </w:p>
        </w:tc>
      </w:tr>
      <w:tr w:rsidR="00AC7D09" w:rsidRPr="00E27E50" w:rsidTr="00AC7D09">
        <w:trPr>
          <w:trHeight w:val="270"/>
          <w:jc w:val="center"/>
        </w:trPr>
        <w:tc>
          <w:tcPr>
            <w:tcW w:w="130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b/>
                <w:bCs/>
                <w:color w:val="FF0000"/>
                <w:sz w:val="18"/>
                <w:szCs w:val="18"/>
                <w:lang w:val="fr-FR" w:eastAsia="de-AT"/>
              </w:rPr>
            </w:pPr>
            <w:proofErr w:type="spellStart"/>
            <w:r w:rsidRPr="00E27E50">
              <w:rPr>
                <w:rFonts w:cs="Arial"/>
                <w:b/>
                <w:bCs/>
                <w:color w:val="FF0000"/>
                <w:sz w:val="18"/>
                <w:szCs w:val="18"/>
                <w:lang w:val="fr-FR" w:eastAsia="de-AT"/>
              </w:rPr>
              <w:t>Average</w:t>
            </w:r>
            <w:proofErr w:type="spellEnd"/>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b/>
                <w:bCs/>
                <w:color w:val="FF0000"/>
                <w:sz w:val="18"/>
                <w:szCs w:val="18"/>
                <w:lang w:val="fr-FR" w:eastAsia="de-AT"/>
              </w:rPr>
            </w:pPr>
            <w:r w:rsidRPr="00E27E50">
              <w:rPr>
                <w:rFonts w:cs="Arial"/>
                <w:b/>
                <w:bCs/>
                <w:color w:val="FF0000"/>
                <w:sz w:val="18"/>
                <w:szCs w:val="18"/>
                <w:lang w:val="fr-FR" w:eastAsia="de-AT"/>
              </w:rPr>
              <w:t>4,7</w:t>
            </w:r>
          </w:p>
        </w:tc>
        <w:tc>
          <w:tcPr>
            <w:tcW w:w="50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32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b/>
                <w:bCs/>
                <w:color w:val="FF0000"/>
                <w:sz w:val="18"/>
                <w:szCs w:val="18"/>
                <w:lang w:val="fr-FR" w:eastAsia="de-AT"/>
              </w:rPr>
            </w:pPr>
            <w:proofErr w:type="spellStart"/>
            <w:r w:rsidRPr="00E27E50">
              <w:rPr>
                <w:rFonts w:cs="Arial"/>
                <w:b/>
                <w:bCs/>
                <w:color w:val="FF0000"/>
                <w:sz w:val="18"/>
                <w:szCs w:val="18"/>
                <w:lang w:val="fr-FR" w:eastAsia="de-AT"/>
              </w:rPr>
              <w:t>Average</w:t>
            </w:r>
            <w:proofErr w:type="spellEnd"/>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b/>
                <w:bCs/>
                <w:color w:val="FF0000"/>
                <w:sz w:val="18"/>
                <w:szCs w:val="18"/>
                <w:lang w:val="fr-FR" w:eastAsia="de-AT"/>
              </w:rPr>
            </w:pPr>
            <w:r w:rsidRPr="00E27E50">
              <w:rPr>
                <w:rFonts w:cs="Arial"/>
                <w:b/>
                <w:bCs/>
                <w:color w:val="FF0000"/>
                <w:sz w:val="18"/>
                <w:szCs w:val="18"/>
                <w:lang w:val="fr-FR" w:eastAsia="de-AT"/>
              </w:rPr>
              <w:t>13,8</w:t>
            </w:r>
          </w:p>
        </w:tc>
        <w:tc>
          <w:tcPr>
            <w:tcW w:w="44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24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b/>
                <w:bCs/>
                <w:color w:val="FF0000"/>
                <w:sz w:val="18"/>
                <w:szCs w:val="18"/>
                <w:lang w:val="fr-FR" w:eastAsia="de-AT"/>
              </w:rPr>
            </w:pPr>
            <w:proofErr w:type="spellStart"/>
            <w:r w:rsidRPr="00E27E50">
              <w:rPr>
                <w:rFonts w:cs="Arial"/>
                <w:b/>
                <w:bCs/>
                <w:color w:val="FF0000"/>
                <w:sz w:val="18"/>
                <w:szCs w:val="18"/>
                <w:lang w:val="fr-FR" w:eastAsia="de-AT"/>
              </w:rPr>
              <w:t>Average</w:t>
            </w:r>
            <w:proofErr w:type="spellEnd"/>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b/>
                <w:bCs/>
                <w:color w:val="FF0000"/>
                <w:sz w:val="18"/>
                <w:szCs w:val="18"/>
                <w:lang w:val="fr-FR" w:eastAsia="de-AT"/>
              </w:rPr>
            </w:pPr>
            <w:r w:rsidRPr="00E27E50">
              <w:rPr>
                <w:rFonts w:cs="Arial"/>
                <w:b/>
                <w:bCs/>
                <w:color w:val="FF0000"/>
                <w:sz w:val="18"/>
                <w:szCs w:val="18"/>
                <w:lang w:val="fr-FR" w:eastAsia="de-AT"/>
              </w:rPr>
              <w:t>18,0</w:t>
            </w:r>
          </w:p>
        </w:tc>
      </w:tr>
      <w:tr w:rsidR="00AC7D09" w:rsidRPr="00E27E50" w:rsidTr="00AC7D09">
        <w:trPr>
          <w:trHeight w:val="270"/>
          <w:jc w:val="center"/>
        </w:trPr>
        <w:tc>
          <w:tcPr>
            <w:tcW w:w="130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Munich</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5,3</w:t>
            </w:r>
          </w:p>
        </w:tc>
        <w:tc>
          <w:tcPr>
            <w:tcW w:w="50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32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Bruxelles IV</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15,2</w:t>
            </w:r>
          </w:p>
        </w:tc>
        <w:tc>
          <w:tcPr>
            <w:tcW w:w="44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24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Luxembourg I</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18,9</w:t>
            </w:r>
          </w:p>
        </w:tc>
      </w:tr>
      <w:tr w:rsidR="00AC7D09" w:rsidRPr="00E27E50" w:rsidTr="00AC7D09">
        <w:trPr>
          <w:trHeight w:val="270"/>
          <w:jc w:val="center"/>
        </w:trPr>
        <w:tc>
          <w:tcPr>
            <w:tcW w:w="1300" w:type="dxa"/>
            <w:tcBorders>
              <w:top w:val="nil"/>
              <w:left w:val="single" w:sz="8" w:space="0" w:color="auto"/>
              <w:bottom w:val="single" w:sz="8" w:space="0" w:color="auto"/>
              <w:right w:val="nil"/>
            </w:tcBorders>
            <w:shd w:val="clear" w:color="000000" w:fill="FFFFFF"/>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Varese</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5,3</w:t>
            </w:r>
          </w:p>
        </w:tc>
        <w:tc>
          <w:tcPr>
            <w:tcW w:w="50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32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Munich</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15,2</w:t>
            </w:r>
          </w:p>
        </w:tc>
        <w:tc>
          <w:tcPr>
            <w:tcW w:w="44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24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Munich</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20,4</w:t>
            </w:r>
          </w:p>
        </w:tc>
      </w:tr>
      <w:tr w:rsidR="00AC7D09" w:rsidRPr="00E27E50" w:rsidTr="00AC7D09">
        <w:trPr>
          <w:trHeight w:val="270"/>
          <w:jc w:val="center"/>
        </w:trPr>
        <w:tc>
          <w:tcPr>
            <w:tcW w:w="130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Bruxelles IV</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5,4</w:t>
            </w:r>
          </w:p>
        </w:tc>
        <w:tc>
          <w:tcPr>
            <w:tcW w:w="50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Bruxelles II</w:t>
            </w:r>
          </w:p>
        </w:tc>
        <w:tc>
          <w:tcPr>
            <w:tcW w:w="960" w:type="dxa"/>
            <w:tcBorders>
              <w:top w:val="nil"/>
              <w:left w:val="nil"/>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15,5</w:t>
            </w:r>
          </w:p>
        </w:tc>
        <w:tc>
          <w:tcPr>
            <w:tcW w:w="44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24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Bruxelles I</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21,0</w:t>
            </w:r>
          </w:p>
        </w:tc>
      </w:tr>
      <w:tr w:rsidR="00AC7D09" w:rsidRPr="00E27E50" w:rsidTr="00AC7D09">
        <w:trPr>
          <w:trHeight w:val="270"/>
          <w:jc w:val="center"/>
        </w:trPr>
        <w:tc>
          <w:tcPr>
            <w:tcW w:w="130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Luxembourg I</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6,4</w:t>
            </w:r>
          </w:p>
        </w:tc>
        <w:tc>
          <w:tcPr>
            <w:tcW w:w="50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32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Bruxelles I</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18,1</w:t>
            </w:r>
          </w:p>
        </w:tc>
        <w:tc>
          <w:tcPr>
            <w:tcW w:w="44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24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Bruxelles II</w:t>
            </w:r>
          </w:p>
        </w:tc>
        <w:tc>
          <w:tcPr>
            <w:tcW w:w="960" w:type="dxa"/>
            <w:tcBorders>
              <w:top w:val="nil"/>
              <w:left w:val="single" w:sz="8" w:space="0" w:color="auto"/>
              <w:bottom w:val="single" w:sz="8" w:space="0" w:color="auto"/>
              <w:right w:val="single" w:sz="8" w:space="0" w:color="auto"/>
            </w:tcBorders>
            <w:shd w:val="clear" w:color="000000" w:fill="FFFFFF"/>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23,9</w:t>
            </w:r>
          </w:p>
        </w:tc>
      </w:tr>
      <w:tr w:rsidR="00AC7D09" w:rsidRPr="00E27E50" w:rsidTr="00AC7D09">
        <w:trPr>
          <w:trHeight w:val="270"/>
          <w:jc w:val="center"/>
        </w:trPr>
        <w:tc>
          <w:tcPr>
            <w:tcW w:w="130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Bruxelles I</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7,0</w:t>
            </w:r>
          </w:p>
        </w:tc>
        <w:tc>
          <w:tcPr>
            <w:tcW w:w="50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32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Bruxelles III</w:t>
            </w:r>
          </w:p>
        </w:tc>
        <w:tc>
          <w:tcPr>
            <w:tcW w:w="960" w:type="dxa"/>
            <w:tcBorders>
              <w:top w:val="nil"/>
              <w:left w:val="single" w:sz="8" w:space="0" w:color="auto"/>
              <w:bottom w:val="single" w:sz="8" w:space="0" w:color="auto"/>
              <w:right w:val="single" w:sz="8" w:space="0" w:color="auto"/>
            </w:tcBorders>
            <w:shd w:val="clear" w:color="000000" w:fill="FFFFFF"/>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18,1</w:t>
            </w:r>
          </w:p>
        </w:tc>
        <w:tc>
          <w:tcPr>
            <w:tcW w:w="44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24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Francfort</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24,1</w:t>
            </w:r>
          </w:p>
        </w:tc>
      </w:tr>
      <w:tr w:rsidR="00AC7D09" w:rsidRPr="00E27E50" w:rsidTr="00AC7D09">
        <w:trPr>
          <w:trHeight w:val="270"/>
          <w:jc w:val="center"/>
        </w:trPr>
        <w:tc>
          <w:tcPr>
            <w:tcW w:w="130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Bruxelles II</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7,2</w:t>
            </w:r>
          </w:p>
        </w:tc>
        <w:tc>
          <w:tcPr>
            <w:tcW w:w="50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32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Bergen</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18,6</w:t>
            </w:r>
          </w:p>
        </w:tc>
        <w:tc>
          <w:tcPr>
            <w:tcW w:w="44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24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Bruxelles III</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28,3</w:t>
            </w:r>
          </w:p>
        </w:tc>
      </w:tr>
      <w:tr w:rsidR="00AC7D09" w:rsidRPr="00E27E50" w:rsidTr="00AC7D09">
        <w:trPr>
          <w:trHeight w:val="270"/>
          <w:jc w:val="center"/>
        </w:trPr>
        <w:tc>
          <w:tcPr>
            <w:tcW w:w="130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Bruxelles III</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7,2</w:t>
            </w:r>
          </w:p>
        </w:tc>
        <w:tc>
          <w:tcPr>
            <w:tcW w:w="50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32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Francfort</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23,3</w:t>
            </w:r>
          </w:p>
        </w:tc>
        <w:tc>
          <w:tcPr>
            <w:tcW w:w="440" w:type="dxa"/>
            <w:tcBorders>
              <w:top w:val="nil"/>
              <w:left w:val="nil"/>
              <w:bottom w:val="nil"/>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p>
        </w:tc>
        <w:tc>
          <w:tcPr>
            <w:tcW w:w="1240" w:type="dxa"/>
            <w:tcBorders>
              <w:top w:val="nil"/>
              <w:left w:val="single" w:sz="8" w:space="0" w:color="auto"/>
              <w:bottom w:val="single" w:sz="8" w:space="0" w:color="auto"/>
              <w:right w:val="nil"/>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Bruxelles IV</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C7D09" w:rsidRPr="00E27E50" w:rsidRDefault="00AC7D09" w:rsidP="00AC7D09">
            <w:pPr>
              <w:jc w:val="center"/>
              <w:rPr>
                <w:rFonts w:cs="Arial"/>
                <w:color w:val="auto"/>
                <w:sz w:val="18"/>
                <w:szCs w:val="18"/>
                <w:lang w:val="fr-FR" w:eastAsia="de-AT"/>
              </w:rPr>
            </w:pPr>
            <w:r w:rsidRPr="00E27E50">
              <w:rPr>
                <w:rFonts w:cs="Arial"/>
                <w:color w:val="auto"/>
                <w:sz w:val="18"/>
                <w:szCs w:val="18"/>
                <w:lang w:val="fr-FR" w:eastAsia="de-AT"/>
              </w:rPr>
              <w:t>35,6</w:t>
            </w:r>
          </w:p>
        </w:tc>
      </w:tr>
    </w:tbl>
    <w:p w:rsidR="00BD65A4" w:rsidRPr="00E27E50" w:rsidRDefault="00463084" w:rsidP="00463084">
      <w:pPr>
        <w:spacing w:after="480"/>
        <w:jc w:val="center"/>
        <w:rPr>
          <w:color w:val="444239"/>
          <w:lang w:val="fr-FR"/>
        </w:rPr>
      </w:pPr>
      <w:r w:rsidRPr="00E27E50">
        <w:rPr>
          <w:color w:val="444239"/>
          <w:lang w:val="fr-FR"/>
        </w:rPr>
        <w:br/>
      </w:r>
      <w:r w:rsidR="00BD65A4" w:rsidRPr="00E27E50">
        <w:rPr>
          <w:b/>
          <w:color w:val="444239"/>
          <w:lang w:val="fr-FR"/>
        </w:rPr>
        <w:t xml:space="preserve">Tableau </w:t>
      </w:r>
      <w:r w:rsidR="00BD65A4" w:rsidRPr="00E27E50">
        <w:rPr>
          <w:b/>
          <w:color w:val="444239"/>
          <w:lang w:val="fr-FR"/>
        </w:rPr>
        <w:fldChar w:fldCharType="begin"/>
      </w:r>
      <w:r w:rsidR="00BD65A4" w:rsidRPr="00E27E50">
        <w:rPr>
          <w:b/>
          <w:color w:val="444239"/>
          <w:lang w:val="fr-FR"/>
        </w:rPr>
        <w:instrText xml:space="preserve"> SEQ Table \* ARABIC </w:instrText>
      </w:r>
      <w:r w:rsidR="00BD65A4" w:rsidRPr="00E27E50">
        <w:rPr>
          <w:b/>
          <w:color w:val="444239"/>
          <w:lang w:val="fr-FR"/>
        </w:rPr>
        <w:fldChar w:fldCharType="separate"/>
      </w:r>
      <w:r w:rsidR="00021E93">
        <w:rPr>
          <w:b/>
          <w:noProof/>
          <w:color w:val="444239"/>
          <w:lang w:val="fr-FR"/>
        </w:rPr>
        <w:t>3</w:t>
      </w:r>
      <w:r w:rsidR="00BD65A4" w:rsidRPr="00E27E50">
        <w:rPr>
          <w:b/>
          <w:color w:val="444239"/>
          <w:lang w:val="fr-FR"/>
        </w:rPr>
        <w:fldChar w:fldCharType="end"/>
      </w:r>
      <w:r w:rsidR="00BD65A4" w:rsidRPr="00E27E50">
        <w:rPr>
          <w:color w:val="444239"/>
          <w:lang w:val="fr-FR"/>
        </w:rPr>
        <w:t> - Ecoles classées en fonction du nombre d’élèves par appareil</w:t>
      </w:r>
    </w:p>
    <w:p w:rsidR="00BD65A4" w:rsidRPr="00E27E50" w:rsidRDefault="00BD65A4" w:rsidP="00BD65A4">
      <w:pPr>
        <w:jc w:val="left"/>
        <w:rPr>
          <w:color w:val="444239"/>
          <w:lang w:val="fr-FR"/>
        </w:rPr>
      </w:pPr>
      <w:r w:rsidRPr="00E27E50">
        <w:rPr>
          <w:color w:val="444239"/>
          <w:lang w:val="fr-FR"/>
        </w:rPr>
        <w:br w:type="page"/>
      </w:r>
    </w:p>
    <w:p w:rsidR="00BD65A4" w:rsidRPr="00E27E50" w:rsidRDefault="00BD65A4" w:rsidP="0078542F">
      <w:pPr>
        <w:pStyle w:val="Closing"/>
        <w:spacing w:before="360"/>
        <w:ind w:left="0"/>
        <w:jc w:val="left"/>
        <w:rPr>
          <w:color w:val="444239"/>
        </w:rPr>
      </w:pPr>
      <w:r w:rsidRPr="00E27E50">
        <w:rPr>
          <w:color w:val="444239"/>
        </w:rPr>
        <w:lastRenderedPageBreak/>
        <w:t>Le Tableau n°4 montre l</w:t>
      </w:r>
      <w:r w:rsidR="00C76E50">
        <w:rPr>
          <w:color w:val="444239"/>
        </w:rPr>
        <w:t>’</w:t>
      </w:r>
      <w:r w:rsidRPr="00E27E50">
        <w:rPr>
          <w:color w:val="444239"/>
        </w:rPr>
        <w:t xml:space="preserve">évolution du ratio d’élèves par PC au cours des dernières années. </w:t>
      </w:r>
    </w:p>
    <w:p w:rsidR="00E02C93" w:rsidRPr="00E27E50" w:rsidRDefault="00AC7D09" w:rsidP="00AC7D09">
      <w:pPr>
        <w:pStyle w:val="Closing"/>
        <w:ind w:left="-284"/>
        <w:jc w:val="center"/>
        <w:rPr>
          <w:b/>
          <w:color w:val="444239"/>
        </w:rPr>
      </w:pPr>
      <w:r w:rsidRPr="00E27E50">
        <w:rPr>
          <w:noProof/>
          <w:lang w:val="en-US" w:eastAsia="en-US"/>
        </w:rPr>
        <w:drawing>
          <wp:inline distT="0" distB="0" distL="0" distR="0" wp14:anchorId="5B16DAFE" wp14:editId="16DC293A">
            <wp:extent cx="6424284" cy="2242294"/>
            <wp:effectExtent l="0" t="0" r="0" b="571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4284" cy="2245784"/>
                    </a:xfrm>
                    <a:prstGeom prst="rect">
                      <a:avLst/>
                    </a:prstGeom>
                    <a:noFill/>
                    <a:ln>
                      <a:noFill/>
                    </a:ln>
                  </pic:spPr>
                </pic:pic>
              </a:graphicData>
            </a:graphic>
          </wp:inline>
        </w:drawing>
      </w:r>
    </w:p>
    <w:p w:rsidR="00BD65A4" w:rsidRPr="00E27E50" w:rsidRDefault="00BD65A4" w:rsidP="00BD65A4">
      <w:pPr>
        <w:pStyle w:val="Closing"/>
        <w:ind w:left="142"/>
        <w:jc w:val="center"/>
        <w:rPr>
          <w:bCs/>
          <w:color w:val="444239"/>
          <w:sz w:val="20"/>
          <w:szCs w:val="20"/>
        </w:rPr>
      </w:pPr>
      <w:r w:rsidRPr="00E27E50">
        <w:rPr>
          <w:b/>
          <w:color w:val="444239"/>
        </w:rPr>
        <w:t xml:space="preserve">Tableau </w:t>
      </w:r>
      <w:r w:rsidRPr="00E27E50">
        <w:rPr>
          <w:b/>
          <w:color w:val="444239"/>
        </w:rPr>
        <w:fldChar w:fldCharType="begin"/>
      </w:r>
      <w:r w:rsidRPr="00E27E50">
        <w:rPr>
          <w:b/>
          <w:color w:val="444239"/>
        </w:rPr>
        <w:instrText xml:space="preserve"> SEQ Table \* ARABIC </w:instrText>
      </w:r>
      <w:r w:rsidRPr="00E27E50">
        <w:rPr>
          <w:b/>
          <w:color w:val="444239"/>
        </w:rPr>
        <w:fldChar w:fldCharType="separate"/>
      </w:r>
      <w:r w:rsidR="00021E93">
        <w:rPr>
          <w:b/>
          <w:noProof/>
          <w:color w:val="444239"/>
        </w:rPr>
        <w:t>4</w:t>
      </w:r>
      <w:r w:rsidRPr="00E27E50">
        <w:rPr>
          <w:b/>
          <w:color w:val="444239"/>
        </w:rPr>
        <w:fldChar w:fldCharType="end"/>
      </w:r>
      <w:r w:rsidRPr="00E27E50">
        <w:rPr>
          <w:color w:val="444239"/>
        </w:rPr>
        <w:t xml:space="preserve"> - </w:t>
      </w:r>
      <w:r w:rsidRPr="00E27E50">
        <w:rPr>
          <w:bCs/>
          <w:color w:val="444239"/>
          <w:sz w:val="20"/>
          <w:szCs w:val="20"/>
        </w:rPr>
        <w:t>Evolution de ratio d’élèves par PC</w:t>
      </w:r>
    </w:p>
    <w:p w:rsidR="00643694" w:rsidRPr="00E27E50" w:rsidRDefault="00643694" w:rsidP="00643694">
      <w:pPr>
        <w:pStyle w:val="Closing"/>
        <w:spacing w:before="360"/>
        <w:ind w:left="0"/>
        <w:jc w:val="left"/>
        <w:rPr>
          <w:bCs/>
          <w:color w:val="444239"/>
          <w:sz w:val="20"/>
          <w:szCs w:val="20"/>
        </w:rPr>
      </w:pPr>
      <w:r w:rsidRPr="00E27E50">
        <w:rPr>
          <w:color w:val="444239"/>
        </w:rPr>
        <w:t>Le Tableau n°5 montre l</w:t>
      </w:r>
      <w:r w:rsidR="00C76E50">
        <w:rPr>
          <w:color w:val="444239"/>
        </w:rPr>
        <w:t>’</w:t>
      </w:r>
      <w:r w:rsidRPr="00E27E50">
        <w:rPr>
          <w:color w:val="444239"/>
        </w:rPr>
        <w:t>évolution de l’équipement ICT depuis 2006.</w:t>
      </w:r>
    </w:p>
    <w:p w:rsidR="001F5938" w:rsidRPr="00E27E50" w:rsidRDefault="00AC7D09" w:rsidP="00AC7D09">
      <w:pPr>
        <w:pStyle w:val="Closing"/>
        <w:ind w:left="142"/>
        <w:jc w:val="left"/>
        <w:rPr>
          <w:color w:val="444239"/>
        </w:rPr>
      </w:pPr>
      <w:r w:rsidRPr="00E27E50">
        <w:rPr>
          <w:noProof/>
          <w:lang w:val="en-US" w:eastAsia="en-US"/>
        </w:rPr>
        <w:drawing>
          <wp:inline distT="0" distB="0" distL="0" distR="0" wp14:anchorId="17265F94" wp14:editId="362D6B83">
            <wp:extent cx="2390775" cy="3635559"/>
            <wp:effectExtent l="0" t="0" r="0" b="317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3665"/>
                    <a:stretch/>
                  </pic:blipFill>
                  <pic:spPr bwMode="auto">
                    <a:xfrm>
                      <a:off x="0" y="0"/>
                      <a:ext cx="2390775" cy="3635559"/>
                    </a:xfrm>
                    <a:prstGeom prst="rect">
                      <a:avLst/>
                    </a:prstGeom>
                    <a:noFill/>
                    <a:ln>
                      <a:noFill/>
                    </a:ln>
                    <a:extLst>
                      <a:ext uri="{53640926-AAD7-44D8-BBD7-CCE9431645EC}">
                        <a14:shadowObscured xmlns:a14="http://schemas.microsoft.com/office/drawing/2010/main"/>
                      </a:ext>
                    </a:extLst>
                  </pic:spPr>
                </pic:pic>
              </a:graphicData>
            </a:graphic>
          </wp:inline>
        </w:drawing>
      </w:r>
      <w:r w:rsidRPr="00E27E50">
        <w:rPr>
          <w:lang w:eastAsia="de-AT"/>
        </w:rPr>
        <w:t xml:space="preserve"> </w:t>
      </w:r>
      <w:r w:rsidRPr="00E27E50">
        <w:rPr>
          <w:noProof/>
          <w:lang w:val="en-US" w:eastAsia="en-US"/>
        </w:rPr>
        <w:drawing>
          <wp:inline distT="0" distB="0" distL="0" distR="0" wp14:anchorId="078243A8" wp14:editId="2B6A26F3">
            <wp:extent cx="3420166" cy="3609975"/>
            <wp:effectExtent l="0" t="0" r="889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0166" cy="3609975"/>
                    </a:xfrm>
                    <a:prstGeom prst="rect">
                      <a:avLst/>
                    </a:prstGeom>
                    <a:noFill/>
                  </pic:spPr>
                </pic:pic>
              </a:graphicData>
            </a:graphic>
          </wp:inline>
        </w:drawing>
      </w:r>
    </w:p>
    <w:p w:rsidR="006F27CE" w:rsidRPr="00E27E50" w:rsidRDefault="00BD65A4" w:rsidP="00BD65A4">
      <w:pPr>
        <w:pStyle w:val="Closing"/>
        <w:ind w:left="0"/>
        <w:jc w:val="center"/>
        <w:rPr>
          <w:color w:val="444239"/>
        </w:rPr>
      </w:pPr>
      <w:r w:rsidRPr="00E27E50">
        <w:rPr>
          <w:b/>
          <w:color w:val="444239"/>
        </w:rPr>
        <w:t>Tableau 5</w:t>
      </w:r>
      <w:r w:rsidRPr="00E27E50">
        <w:rPr>
          <w:color w:val="444239"/>
        </w:rPr>
        <w:t xml:space="preserve"> - Evolution du nombre d’ordinateurs, </w:t>
      </w:r>
      <w:proofErr w:type="spellStart"/>
      <w:r w:rsidRPr="00E27E50">
        <w:rPr>
          <w:color w:val="444239"/>
        </w:rPr>
        <w:t>beamers</w:t>
      </w:r>
      <w:proofErr w:type="spellEnd"/>
      <w:r w:rsidRPr="00E27E50">
        <w:rPr>
          <w:color w:val="444239"/>
        </w:rPr>
        <w:t xml:space="preserve"> et tableaux blancs interactifs</w:t>
      </w:r>
    </w:p>
    <w:p w:rsidR="00643694" w:rsidRPr="00E27E50" w:rsidRDefault="00643694" w:rsidP="00BD65A4">
      <w:pPr>
        <w:pStyle w:val="Closing"/>
        <w:ind w:left="0"/>
        <w:jc w:val="center"/>
        <w:rPr>
          <w:color w:val="444239"/>
        </w:rPr>
      </w:pPr>
    </w:p>
    <w:p w:rsidR="00643694" w:rsidRPr="00E27E50" w:rsidRDefault="00643694" w:rsidP="00643694">
      <w:pPr>
        <w:pStyle w:val="Closing"/>
        <w:spacing w:before="360"/>
        <w:ind w:left="0"/>
        <w:jc w:val="left"/>
        <w:rPr>
          <w:color w:val="444239"/>
        </w:rPr>
      </w:pPr>
      <w:r w:rsidRPr="00E27E50">
        <w:rPr>
          <w:color w:val="444239"/>
        </w:rPr>
        <w:t>Le Tableau n°6 montre la disponibilité des tablettes par école et cycle ainsi que pour l’administration des écoles.</w:t>
      </w:r>
    </w:p>
    <w:p w:rsidR="006F27CE" w:rsidRPr="00E27E50" w:rsidRDefault="006F27CE" w:rsidP="00D63E24">
      <w:pPr>
        <w:jc w:val="center"/>
        <w:rPr>
          <w:rFonts w:cs="Arial"/>
          <w:color w:val="444239"/>
          <w:szCs w:val="22"/>
          <w:lang w:val="fr-FR" w:eastAsia="fr-FR"/>
        </w:rPr>
      </w:pPr>
      <w:r w:rsidRPr="00E27E50">
        <w:rPr>
          <w:color w:val="444239"/>
          <w:lang w:val="fr-FR"/>
        </w:rPr>
        <w:br w:type="page"/>
      </w:r>
      <w:r w:rsidR="00D63E24" w:rsidRPr="00E27E50">
        <w:rPr>
          <w:noProof/>
        </w:rPr>
        <w:lastRenderedPageBreak/>
        <w:drawing>
          <wp:inline distT="0" distB="0" distL="0" distR="0" wp14:anchorId="2265047B" wp14:editId="1869B21C">
            <wp:extent cx="6486524" cy="6718472"/>
            <wp:effectExtent l="0" t="0" r="0" b="635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95908" cy="6728191"/>
                    </a:xfrm>
                    <a:prstGeom prst="rect">
                      <a:avLst/>
                    </a:prstGeom>
                    <a:noFill/>
                    <a:ln>
                      <a:noFill/>
                    </a:ln>
                  </pic:spPr>
                </pic:pic>
              </a:graphicData>
            </a:graphic>
          </wp:inline>
        </w:drawing>
      </w:r>
    </w:p>
    <w:p w:rsidR="00BD65A4" w:rsidRPr="00E27E50" w:rsidRDefault="006F27CE" w:rsidP="00BD65A4">
      <w:pPr>
        <w:pStyle w:val="Closing"/>
        <w:ind w:left="0"/>
        <w:jc w:val="center"/>
        <w:rPr>
          <w:color w:val="444239"/>
        </w:rPr>
      </w:pPr>
      <w:r w:rsidRPr="00E27E50">
        <w:rPr>
          <w:b/>
          <w:color w:val="444239"/>
        </w:rPr>
        <w:t>Tableau 6</w:t>
      </w:r>
      <w:r w:rsidRPr="00E27E50">
        <w:rPr>
          <w:color w:val="444239"/>
        </w:rPr>
        <w:t xml:space="preserve"> - Nombre de tablette-</w:t>
      </w:r>
      <w:proofErr w:type="spellStart"/>
      <w:r w:rsidRPr="00E27E50">
        <w:rPr>
          <w:color w:val="444239"/>
        </w:rPr>
        <w:t>PCs</w:t>
      </w:r>
      <w:proofErr w:type="spellEnd"/>
      <w:r w:rsidRPr="00E27E50">
        <w:rPr>
          <w:color w:val="444239"/>
        </w:rPr>
        <w:t xml:space="preserve"> par école </w:t>
      </w:r>
      <w:r w:rsidR="007F3C8B" w:rsidRPr="00E27E50">
        <w:rPr>
          <w:color w:val="444239"/>
        </w:rPr>
        <w:t>de</w:t>
      </w:r>
      <w:r w:rsidRPr="00E27E50">
        <w:rPr>
          <w:color w:val="444239"/>
        </w:rPr>
        <w:t xml:space="preserve"> 201</w:t>
      </w:r>
      <w:r w:rsidR="00D63E24" w:rsidRPr="00E27E50">
        <w:rPr>
          <w:color w:val="444239"/>
        </w:rPr>
        <w:t>6</w:t>
      </w:r>
      <w:r w:rsidRPr="00E27E50">
        <w:rPr>
          <w:color w:val="444239"/>
        </w:rPr>
        <w:t xml:space="preserve"> </w:t>
      </w:r>
      <w:r w:rsidR="007F3C8B" w:rsidRPr="00E27E50">
        <w:rPr>
          <w:color w:val="444239"/>
        </w:rPr>
        <w:t xml:space="preserve">à </w:t>
      </w:r>
      <w:r w:rsidRPr="00E27E50">
        <w:rPr>
          <w:color w:val="444239"/>
        </w:rPr>
        <w:t>201</w:t>
      </w:r>
      <w:r w:rsidR="00E83AF6" w:rsidRPr="00E27E50">
        <w:rPr>
          <w:color w:val="444239"/>
        </w:rPr>
        <w:t>8</w:t>
      </w:r>
    </w:p>
    <w:p w:rsidR="00A01098" w:rsidRPr="00E27E50" w:rsidRDefault="00A01098">
      <w:pPr>
        <w:jc w:val="left"/>
        <w:rPr>
          <w:color w:val="444239"/>
          <w:lang w:val="fr-FR"/>
        </w:rPr>
      </w:pPr>
    </w:p>
    <w:p w:rsidR="007F3C8B" w:rsidRPr="00E27E50" w:rsidRDefault="00D63E24" w:rsidP="00D63E24">
      <w:pPr>
        <w:jc w:val="center"/>
        <w:rPr>
          <w:color w:val="444239"/>
          <w:lang w:val="fr-FR"/>
        </w:rPr>
      </w:pPr>
      <w:r w:rsidRPr="00E27E50">
        <w:rPr>
          <w:noProof/>
        </w:rPr>
        <w:lastRenderedPageBreak/>
        <w:drawing>
          <wp:inline distT="0" distB="0" distL="0" distR="0" wp14:anchorId="29E2A454" wp14:editId="76C70148">
            <wp:extent cx="5554639" cy="3534771"/>
            <wp:effectExtent l="0" t="0" r="8255" b="8890"/>
            <wp:docPr id="30" name="Diagramm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F3C8B" w:rsidRPr="00E27E50" w:rsidRDefault="007F3C8B">
      <w:pPr>
        <w:jc w:val="left"/>
        <w:rPr>
          <w:color w:val="444239"/>
          <w:lang w:val="fr-FR"/>
        </w:rPr>
      </w:pPr>
    </w:p>
    <w:p w:rsidR="007F3C8B" w:rsidRPr="00E27E50" w:rsidRDefault="007F3C8B" w:rsidP="007F3C8B">
      <w:pPr>
        <w:pStyle w:val="Closing"/>
        <w:ind w:left="0"/>
        <w:jc w:val="center"/>
        <w:rPr>
          <w:color w:val="444239"/>
        </w:rPr>
      </w:pPr>
      <w:r w:rsidRPr="00E27E50">
        <w:rPr>
          <w:b/>
          <w:color w:val="444239"/>
        </w:rPr>
        <w:t>Tableau 7</w:t>
      </w:r>
      <w:r w:rsidRPr="00E27E50">
        <w:rPr>
          <w:color w:val="444239"/>
        </w:rPr>
        <w:t xml:space="preserve"> – Evolution </w:t>
      </w:r>
      <w:r w:rsidR="00643694" w:rsidRPr="00E27E50">
        <w:rPr>
          <w:color w:val="444239"/>
        </w:rPr>
        <w:t xml:space="preserve">graphique </w:t>
      </w:r>
      <w:r w:rsidRPr="00E27E50">
        <w:rPr>
          <w:color w:val="444239"/>
        </w:rPr>
        <w:t>du nombre de ta</w:t>
      </w:r>
      <w:r w:rsidR="00E83AF6" w:rsidRPr="00E27E50">
        <w:rPr>
          <w:color w:val="444239"/>
        </w:rPr>
        <w:t>blettes par école de 2015 à 2018</w:t>
      </w:r>
    </w:p>
    <w:p w:rsidR="00082393" w:rsidRPr="00E27E50" w:rsidRDefault="007F3C8B">
      <w:pPr>
        <w:jc w:val="left"/>
        <w:rPr>
          <w:color w:val="444239"/>
          <w:lang w:val="fr-FR"/>
        </w:rPr>
      </w:pPr>
      <w:r w:rsidRPr="00E27E50">
        <w:rPr>
          <w:color w:val="444239"/>
          <w:lang w:val="fr-FR"/>
        </w:rPr>
        <w:t xml:space="preserve"> </w:t>
      </w:r>
    </w:p>
    <w:p w:rsidR="00983522" w:rsidRPr="00E27E50" w:rsidRDefault="00983522">
      <w:pPr>
        <w:jc w:val="left"/>
        <w:rPr>
          <w:color w:val="444239"/>
          <w:lang w:val="fr-FR"/>
        </w:rPr>
      </w:pPr>
    </w:p>
    <w:p w:rsidR="00983522" w:rsidRPr="00E27E50" w:rsidRDefault="00983522">
      <w:pPr>
        <w:jc w:val="left"/>
        <w:rPr>
          <w:color w:val="444239"/>
          <w:lang w:val="fr-FR"/>
        </w:rPr>
      </w:pPr>
    </w:p>
    <w:p w:rsidR="00983522" w:rsidRPr="00E27E50" w:rsidRDefault="00983522" w:rsidP="00983522">
      <w:pPr>
        <w:pStyle w:val="Heading1"/>
        <w:rPr>
          <w:lang w:val="fr-FR"/>
        </w:rPr>
      </w:pPr>
      <w:r w:rsidRPr="00E27E50">
        <w:rPr>
          <w:lang w:val="fr-FR"/>
        </w:rPr>
        <w:br w:type="page"/>
      </w:r>
      <w:bookmarkStart w:id="46" w:name="_Toc2092716"/>
      <w:bookmarkStart w:id="47" w:name="_Toc4511380"/>
      <w:r w:rsidRPr="00E27E50">
        <w:rPr>
          <w:lang w:val="fr-FR"/>
        </w:rPr>
        <w:lastRenderedPageBreak/>
        <w:t>Evolution des budgets</w:t>
      </w:r>
      <w:bookmarkEnd w:id="46"/>
      <w:bookmarkEnd w:id="47"/>
    </w:p>
    <w:p w:rsidR="008D3FA0" w:rsidRPr="00E27E50" w:rsidRDefault="008D3FA0" w:rsidP="008D3FA0">
      <w:pPr>
        <w:rPr>
          <w:lang w:val="fr-FR"/>
        </w:rPr>
      </w:pPr>
    </w:p>
    <w:p w:rsidR="00983522" w:rsidRPr="00E27E50" w:rsidRDefault="00983522" w:rsidP="00983522">
      <w:pPr>
        <w:rPr>
          <w:rFonts w:eastAsiaTheme="majorEastAsia"/>
          <w:lang w:val="fr-FR"/>
        </w:rPr>
      </w:pPr>
    </w:p>
    <w:p w:rsidR="00983522" w:rsidRPr="00E27E50" w:rsidRDefault="00983522" w:rsidP="00983522">
      <w:pPr>
        <w:rPr>
          <w:rFonts w:eastAsiaTheme="majorEastAsia"/>
          <w:lang w:val="fr-FR"/>
        </w:rPr>
      </w:pPr>
    </w:p>
    <w:p w:rsidR="00983522" w:rsidRPr="00E27E50" w:rsidRDefault="009B1051" w:rsidP="00983522">
      <w:pPr>
        <w:rPr>
          <w:rFonts w:eastAsiaTheme="majorEastAsia"/>
          <w:lang w:val="fr-FR"/>
        </w:rPr>
        <w:sectPr w:rsidR="00983522" w:rsidRPr="00E27E50" w:rsidSect="007112F0">
          <w:headerReference w:type="default" r:id="rId18"/>
          <w:footerReference w:type="even" r:id="rId19"/>
          <w:footerReference w:type="default" r:id="rId20"/>
          <w:headerReference w:type="first" r:id="rId21"/>
          <w:footerReference w:type="first" r:id="rId22"/>
          <w:pgSz w:w="11906" w:h="16838" w:code="9"/>
          <w:pgMar w:top="1009" w:right="1009" w:bottom="1009" w:left="1418" w:header="680" w:footer="115" w:gutter="0"/>
          <w:cols w:space="720"/>
          <w:titlePg/>
          <w:docGrid w:linePitch="360"/>
        </w:sectPr>
      </w:pPr>
      <w:r w:rsidRPr="00E27E50">
        <w:rPr>
          <w:rFonts w:eastAsiaTheme="majorEastAsia"/>
          <w:noProof/>
        </w:rPr>
        <w:drawing>
          <wp:inline distT="0" distB="0" distL="0" distR="0" wp14:anchorId="1A09365B" wp14:editId="6E76F1C2">
            <wp:extent cx="6019165" cy="5451835"/>
            <wp:effectExtent l="0" t="0" r="635" b="0"/>
            <wp:docPr id="2053" name="Grafik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19165" cy="5451835"/>
                    </a:xfrm>
                    <a:prstGeom prst="rect">
                      <a:avLst/>
                    </a:prstGeom>
                    <a:noFill/>
                    <a:ln>
                      <a:noFill/>
                    </a:ln>
                  </pic:spPr>
                </pic:pic>
              </a:graphicData>
            </a:graphic>
          </wp:inline>
        </w:drawing>
      </w:r>
    </w:p>
    <w:p w:rsidR="00983522" w:rsidRPr="00E27E50" w:rsidRDefault="00983522" w:rsidP="00983522">
      <w:pPr>
        <w:rPr>
          <w:lang w:val="fr-FR" w:eastAsia="fr-FR"/>
        </w:rPr>
      </w:pPr>
      <w:bookmarkStart w:id="48" w:name="_Toc286702102"/>
      <w:bookmarkStart w:id="49" w:name="_Toc447275086"/>
    </w:p>
    <w:p w:rsidR="00983522" w:rsidRPr="00E27E50" w:rsidRDefault="00983522" w:rsidP="00983522">
      <w:pPr>
        <w:jc w:val="left"/>
        <w:rPr>
          <w:lang w:val="fr-FR" w:eastAsia="fr-FR"/>
        </w:rPr>
      </w:pPr>
    </w:p>
    <w:p w:rsidR="00983522" w:rsidRPr="00E27E50" w:rsidRDefault="00983522" w:rsidP="00983522">
      <w:pPr>
        <w:jc w:val="left"/>
        <w:rPr>
          <w:lang w:val="fr-FR" w:eastAsia="fr-FR"/>
        </w:rPr>
      </w:pPr>
    </w:p>
    <w:p w:rsidR="00983522" w:rsidRPr="00E27E50" w:rsidRDefault="00983522" w:rsidP="00983522">
      <w:pPr>
        <w:rPr>
          <w:lang w:val="fr-FR" w:eastAsia="fr-FR"/>
        </w:rPr>
      </w:pPr>
    </w:p>
    <w:p w:rsidR="00983522" w:rsidRPr="00E27E50" w:rsidRDefault="00983522" w:rsidP="00983522">
      <w:pPr>
        <w:rPr>
          <w:lang w:val="fr-FR" w:eastAsia="fr-FR"/>
        </w:rPr>
      </w:pPr>
    </w:p>
    <w:p w:rsidR="00983522" w:rsidRPr="00E27E50" w:rsidRDefault="009B1051" w:rsidP="00983522">
      <w:pPr>
        <w:jc w:val="left"/>
        <w:rPr>
          <w:lang w:val="fr-FR" w:eastAsia="fr-FR"/>
        </w:rPr>
      </w:pPr>
      <w:r w:rsidRPr="00E27E50">
        <w:rPr>
          <w:noProof/>
        </w:rPr>
        <w:drawing>
          <wp:inline distT="0" distB="0" distL="0" distR="0" wp14:anchorId="6D45BFF4" wp14:editId="27E1F32C">
            <wp:extent cx="6231255" cy="4415736"/>
            <wp:effectExtent l="0" t="0" r="0" b="4445"/>
            <wp:docPr id="2054" name="Grafik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31255" cy="4415736"/>
                    </a:xfrm>
                    <a:prstGeom prst="rect">
                      <a:avLst/>
                    </a:prstGeom>
                    <a:noFill/>
                    <a:ln>
                      <a:noFill/>
                    </a:ln>
                  </pic:spPr>
                </pic:pic>
              </a:graphicData>
            </a:graphic>
          </wp:inline>
        </w:drawing>
      </w:r>
    </w:p>
    <w:p w:rsidR="00983522" w:rsidRPr="00E27E50" w:rsidRDefault="00983522" w:rsidP="00983522">
      <w:pPr>
        <w:jc w:val="left"/>
        <w:rPr>
          <w:lang w:val="fr-FR" w:eastAsia="fr-FR"/>
        </w:rPr>
      </w:pPr>
    </w:p>
    <w:p w:rsidR="009B1051" w:rsidRPr="00E27E50" w:rsidRDefault="009B1051" w:rsidP="009B1051">
      <w:pPr>
        <w:jc w:val="center"/>
        <w:rPr>
          <w:lang w:val="fr-FR" w:eastAsia="fr-FR"/>
        </w:rPr>
      </w:pPr>
      <w:r w:rsidRPr="00E27E50">
        <w:rPr>
          <w:b/>
          <w:color w:val="444239"/>
          <w:lang w:val="fr-FR"/>
        </w:rPr>
        <w:t>Tableau 8</w:t>
      </w:r>
      <w:r w:rsidRPr="00E27E50">
        <w:rPr>
          <w:color w:val="444239"/>
          <w:lang w:val="fr-FR"/>
        </w:rPr>
        <w:t xml:space="preserve"> – Evolution du budget ICT par école de 2017 à 2020</w:t>
      </w:r>
    </w:p>
    <w:p w:rsidR="00983522" w:rsidRPr="00E27E50" w:rsidRDefault="00983522" w:rsidP="00983522">
      <w:pPr>
        <w:jc w:val="left"/>
        <w:rPr>
          <w:lang w:val="fr-FR" w:eastAsia="fr-FR"/>
        </w:rPr>
      </w:pPr>
    </w:p>
    <w:p w:rsidR="00983522" w:rsidRPr="00E27E50" w:rsidRDefault="00983522" w:rsidP="00983522">
      <w:pPr>
        <w:jc w:val="left"/>
        <w:rPr>
          <w:lang w:val="fr-FR" w:eastAsia="fr-FR"/>
        </w:rPr>
      </w:pPr>
    </w:p>
    <w:p w:rsidR="00983522" w:rsidRPr="00E27E50" w:rsidRDefault="00983522" w:rsidP="00983522">
      <w:pPr>
        <w:jc w:val="left"/>
        <w:rPr>
          <w:lang w:val="fr-FR" w:eastAsia="fr-FR"/>
        </w:rPr>
      </w:pPr>
    </w:p>
    <w:p w:rsidR="00983522" w:rsidRPr="00E27E50" w:rsidRDefault="00983522" w:rsidP="00983522">
      <w:pPr>
        <w:jc w:val="left"/>
        <w:rPr>
          <w:lang w:val="fr-FR" w:eastAsia="fr-FR"/>
        </w:rPr>
      </w:pPr>
    </w:p>
    <w:p w:rsidR="00983522" w:rsidRPr="00E27E50" w:rsidRDefault="00983522" w:rsidP="00983522">
      <w:pPr>
        <w:rPr>
          <w:lang w:val="fr-FR" w:eastAsia="fr-FR"/>
        </w:rPr>
      </w:pPr>
    </w:p>
    <w:p w:rsidR="00983522" w:rsidRPr="00E27E50" w:rsidRDefault="00983522" w:rsidP="00983522">
      <w:pPr>
        <w:jc w:val="left"/>
        <w:rPr>
          <w:lang w:val="fr-FR" w:eastAsia="fr-FR"/>
        </w:rPr>
      </w:pPr>
      <w:r w:rsidRPr="00E27E50">
        <w:rPr>
          <w:lang w:val="fr-FR" w:eastAsia="fr-FR"/>
        </w:rPr>
        <w:br w:type="page"/>
      </w:r>
    </w:p>
    <w:p w:rsidR="00983522" w:rsidRPr="00E27E50" w:rsidRDefault="00983522" w:rsidP="00983522">
      <w:pPr>
        <w:rPr>
          <w:lang w:val="fr-FR" w:eastAsia="fr-FR"/>
        </w:rPr>
        <w:sectPr w:rsidR="00983522" w:rsidRPr="00E27E50" w:rsidSect="00082393">
          <w:pgSz w:w="12240" w:h="15840" w:code="1"/>
          <w:pgMar w:top="1009" w:right="1009" w:bottom="1009" w:left="1418" w:header="680" w:footer="115" w:gutter="0"/>
          <w:cols w:space="720"/>
          <w:titlePg/>
          <w:docGrid w:linePitch="360"/>
        </w:sectPr>
      </w:pPr>
    </w:p>
    <w:bookmarkEnd w:id="48"/>
    <w:bookmarkEnd w:id="49"/>
    <w:p w:rsidR="00384914" w:rsidRPr="00E27E50" w:rsidRDefault="00384914" w:rsidP="00CB76B6">
      <w:pPr>
        <w:jc w:val="left"/>
        <w:rPr>
          <w:lang w:val="fr-FR"/>
        </w:rPr>
      </w:pPr>
    </w:p>
    <w:p w:rsidR="00384914" w:rsidRPr="00E27E50" w:rsidRDefault="00E73B5D" w:rsidP="00CB76B6">
      <w:pPr>
        <w:jc w:val="left"/>
        <w:rPr>
          <w:lang w:val="fr-FR"/>
        </w:rPr>
      </w:pPr>
      <w:r w:rsidRPr="00E27E50">
        <w:rPr>
          <w:noProof/>
        </w:rPr>
        <w:drawing>
          <wp:inline distT="0" distB="0" distL="0" distR="0" wp14:anchorId="29C8AE49" wp14:editId="17516096">
            <wp:extent cx="5972810" cy="5203825"/>
            <wp:effectExtent l="0" t="0" r="8890" b="15875"/>
            <wp:docPr id="2055" name="Diagramm 20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84914" w:rsidRPr="00E27E50" w:rsidRDefault="00384914" w:rsidP="00CB76B6">
      <w:pPr>
        <w:jc w:val="left"/>
        <w:rPr>
          <w:lang w:val="fr-FR"/>
        </w:rPr>
      </w:pPr>
    </w:p>
    <w:p w:rsidR="009B1051" w:rsidRPr="00E27E50" w:rsidRDefault="009B1051" w:rsidP="009B1051">
      <w:pPr>
        <w:jc w:val="center"/>
        <w:rPr>
          <w:lang w:val="fr-FR" w:eastAsia="fr-FR"/>
        </w:rPr>
      </w:pPr>
      <w:r w:rsidRPr="00E27E50">
        <w:rPr>
          <w:b/>
          <w:color w:val="444239"/>
          <w:lang w:val="fr-FR"/>
        </w:rPr>
        <w:t>Tableau 9</w:t>
      </w:r>
      <w:r w:rsidRPr="00E27E50">
        <w:rPr>
          <w:color w:val="444239"/>
          <w:lang w:val="fr-FR"/>
        </w:rPr>
        <w:t xml:space="preserve"> – Evolution graphique du budget ICT par école de 201</w:t>
      </w:r>
      <w:r w:rsidR="00E73B5D" w:rsidRPr="00E27E50">
        <w:rPr>
          <w:color w:val="444239"/>
          <w:lang w:val="fr-FR"/>
        </w:rPr>
        <w:t>6</w:t>
      </w:r>
      <w:r w:rsidRPr="00E27E50">
        <w:rPr>
          <w:color w:val="444239"/>
          <w:lang w:val="fr-FR"/>
        </w:rPr>
        <w:t xml:space="preserve"> à 2020</w:t>
      </w:r>
    </w:p>
    <w:p w:rsidR="00384914" w:rsidRPr="00E27E50" w:rsidRDefault="00384914" w:rsidP="00CB76B6">
      <w:pPr>
        <w:jc w:val="left"/>
        <w:rPr>
          <w:lang w:val="fr-FR"/>
        </w:rPr>
      </w:pPr>
    </w:p>
    <w:p w:rsidR="00384914" w:rsidRPr="00E27E50" w:rsidRDefault="00384914" w:rsidP="00E57D00">
      <w:pPr>
        <w:pStyle w:val="Heading1"/>
        <w:rPr>
          <w:color w:val="232B38"/>
          <w:lang w:val="fr-FR"/>
        </w:rPr>
      </w:pPr>
      <w:bookmarkStart w:id="50" w:name="_Toc2092717"/>
      <w:bookmarkStart w:id="51" w:name="_Toc4511381"/>
      <w:r w:rsidRPr="00E27E50">
        <w:rPr>
          <w:lang w:val="fr-FR"/>
        </w:rPr>
        <w:t>Proposition</w:t>
      </w:r>
      <w:bookmarkEnd w:id="50"/>
      <w:bookmarkEnd w:id="51"/>
      <w:r w:rsidRPr="00E27E50">
        <w:rPr>
          <w:lang w:val="fr-FR"/>
        </w:rPr>
        <w:t xml:space="preserve"> </w:t>
      </w:r>
    </w:p>
    <w:p w:rsidR="00384914" w:rsidRPr="00E27E50" w:rsidRDefault="00384914" w:rsidP="00384914">
      <w:pPr>
        <w:rPr>
          <w:lang w:val="fr-FR"/>
        </w:rPr>
      </w:pPr>
    </w:p>
    <w:p w:rsidR="00810CDF" w:rsidRDefault="00810CDF" w:rsidP="00810CDF">
      <w:pPr>
        <w:rPr>
          <w:lang w:val="fr-FR"/>
        </w:rPr>
      </w:pPr>
      <w:r>
        <w:rPr>
          <w:lang w:val="fr-FR"/>
        </w:rPr>
        <w:t>Le Conseil supérieur est invité à approuver le document 2019-02-D-17 « Rapport ICT 2018 ».</w:t>
      </w:r>
    </w:p>
    <w:sectPr w:rsidR="00810CDF" w:rsidSect="00125498">
      <w:pgSz w:w="12240" w:h="15840" w:code="1"/>
      <w:pgMar w:top="1009" w:right="1009" w:bottom="1009" w:left="1418" w:header="680"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BE1" w:rsidRDefault="00B57BE1">
      <w:r>
        <w:separator/>
      </w:r>
    </w:p>
    <w:p w:rsidR="00B57BE1" w:rsidRDefault="00B57BE1"/>
    <w:p w:rsidR="00B57BE1" w:rsidRDefault="00B57BE1" w:rsidP="008E343A"/>
    <w:p w:rsidR="00B57BE1" w:rsidRDefault="00B57BE1" w:rsidP="008E343A"/>
  </w:endnote>
  <w:endnote w:type="continuationSeparator" w:id="0">
    <w:p w:rsidR="00B57BE1" w:rsidRDefault="00B57BE1">
      <w:r>
        <w:continuationSeparator/>
      </w:r>
    </w:p>
    <w:p w:rsidR="00B57BE1" w:rsidRDefault="00B57BE1"/>
    <w:p w:rsidR="00B57BE1" w:rsidRDefault="00B57BE1" w:rsidP="008E343A"/>
    <w:p w:rsidR="00B57BE1" w:rsidRDefault="00B57BE1" w:rsidP="008E3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834" w:rsidRDefault="00906834" w:rsidP="00EB13D3">
    <w:pPr>
      <w:pStyle w:val="Footer"/>
      <w:framePr w:wrap="none" w:vAnchor="text" w:hAnchor="margin" w:xAlign="right" w:y="1"/>
      <w:rPr>
        <w:rFonts w:eastAsiaTheme="majorEastAsia"/>
      </w:rPr>
    </w:pPr>
    <w:r>
      <w:rPr>
        <w:rFonts w:eastAsiaTheme="majorEastAsia"/>
      </w:rPr>
      <w:fldChar w:fldCharType="begin"/>
    </w:r>
    <w:r>
      <w:rPr>
        <w:rFonts w:eastAsiaTheme="majorEastAsia"/>
      </w:rPr>
      <w:instrText xml:space="preserve">PAGE  </w:instrText>
    </w:r>
    <w:r>
      <w:rPr>
        <w:rFonts w:eastAsiaTheme="majorEastAsia"/>
      </w:rPr>
      <w:fldChar w:fldCharType="end"/>
    </w:r>
  </w:p>
  <w:p w:rsidR="00906834" w:rsidRDefault="00906834" w:rsidP="00E0616D">
    <w:pPr>
      <w:pStyle w:val="Footer"/>
      <w:ind w:right="360"/>
    </w:pPr>
  </w:p>
  <w:p w:rsidR="00906834" w:rsidRDefault="00906834"/>
  <w:p w:rsidR="00906834" w:rsidRDefault="00906834" w:rsidP="008E343A"/>
  <w:p w:rsidR="00906834" w:rsidRDefault="00906834" w:rsidP="008E343A"/>
  <w:p w:rsidR="00906834" w:rsidRDefault="00906834"/>
  <w:p w:rsidR="00906834" w:rsidRDefault="0090683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834" w:rsidRDefault="00906834">
    <w:pPr>
      <w:pStyle w:val="Footer"/>
      <w:jc w:val="center"/>
      <w:rPr>
        <w:rFonts w:cs="Arial"/>
        <w:sz w:val="20"/>
      </w:rPr>
    </w:pPr>
    <w:r>
      <w:rPr>
        <w:rFonts w:cs="Arial"/>
        <w:noProof/>
        <w:sz w:val="20"/>
      </w:rPr>
      <mc:AlternateContent>
        <mc:Choice Requires="wps">
          <w:drawing>
            <wp:anchor distT="0" distB="0" distL="114300" distR="114300" simplePos="0" relativeHeight="251659264" behindDoc="0" locked="0" layoutInCell="1" allowOverlap="1" wp14:anchorId="6D46765C" wp14:editId="43378E00">
              <wp:simplePos x="0" y="0"/>
              <wp:positionH relativeFrom="column">
                <wp:posOffset>5083810</wp:posOffset>
              </wp:positionH>
              <wp:positionV relativeFrom="paragraph">
                <wp:posOffset>104776</wp:posOffset>
              </wp:positionV>
              <wp:extent cx="1444202" cy="1930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44202" cy="193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06834" w:rsidRDefault="00906834" w:rsidP="00BD453F">
                          <w:pPr>
                            <w:jc w:val="right"/>
                            <w:rPr>
                              <w:sz w:val="16"/>
                              <w:szCs w:val="16"/>
                            </w:rPr>
                          </w:pPr>
                          <w:r>
                            <w:rPr>
                              <w:sz w:val="16"/>
                              <w:szCs w:val="16"/>
                            </w:rPr>
                            <w:t>2019</w:t>
                          </w:r>
                          <w:r w:rsidRPr="0064524E">
                            <w:rPr>
                              <w:sz w:val="16"/>
                              <w:szCs w:val="16"/>
                            </w:rPr>
                            <w:t>-</w:t>
                          </w:r>
                          <w:r w:rsidR="00810CDF">
                            <w:rPr>
                              <w:sz w:val="16"/>
                              <w:szCs w:val="16"/>
                            </w:rPr>
                            <w:t>02-D-17-fr-2</w:t>
                          </w:r>
                        </w:p>
                        <w:p w:rsidR="00906834" w:rsidRPr="0064524E" w:rsidRDefault="00906834" w:rsidP="00BD453F">
                          <w:pPr>
                            <w:jc w:val="right"/>
                            <w:rPr>
                              <w:sz w:val="16"/>
                              <w:szCs w:val="16"/>
                            </w:rPr>
                          </w:pPr>
                        </w:p>
                        <w:p w:rsidR="00906834" w:rsidRDefault="00906834" w:rsidP="00BD453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6765C" id="_x0000_t202" coordsize="21600,21600" o:spt="202" path="m,l,21600r21600,l21600,xe">
              <v:stroke joinstyle="miter"/>
              <v:path gradientshapeok="t" o:connecttype="rect"/>
            </v:shapetype>
            <v:shape id="Text Box 4" o:spid="_x0000_s1026" type="#_x0000_t202" style="position:absolute;left:0;text-align:left;margin-left:400.3pt;margin-top:8.25pt;width:113.7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" filled="f" stroked="f">
              <v:textbox>
                <w:txbxContent>
                  <w:p w:rsidR="00906834" w:rsidRDefault="00906834" w:rsidP="00BD453F">
                    <w:pPr>
                      <w:jc w:val="right"/>
                      <w:rPr>
                        <w:sz w:val="16"/>
                        <w:szCs w:val="16"/>
                      </w:rPr>
                    </w:pPr>
                    <w:r>
                      <w:rPr>
                        <w:sz w:val="16"/>
                        <w:szCs w:val="16"/>
                      </w:rPr>
                      <w:t>2019</w:t>
                    </w:r>
                    <w:r w:rsidRPr="0064524E">
                      <w:rPr>
                        <w:sz w:val="16"/>
                        <w:szCs w:val="16"/>
                      </w:rPr>
                      <w:t>-</w:t>
                    </w:r>
                    <w:r w:rsidR="00810CDF">
                      <w:rPr>
                        <w:sz w:val="16"/>
                        <w:szCs w:val="16"/>
                      </w:rPr>
                      <w:t>02-D-17-fr-2</w:t>
                    </w:r>
                  </w:p>
                  <w:p w:rsidR="00906834" w:rsidRPr="0064524E" w:rsidRDefault="00906834" w:rsidP="00BD453F">
                    <w:pPr>
                      <w:jc w:val="right"/>
                      <w:rPr>
                        <w:sz w:val="16"/>
                        <w:szCs w:val="16"/>
                      </w:rPr>
                    </w:pPr>
                  </w:p>
                  <w:p w:rsidR="00906834" w:rsidRDefault="00906834" w:rsidP="00BD453F">
                    <w:pPr>
                      <w:jc w:val="right"/>
                    </w:pPr>
                  </w:p>
                </w:txbxContent>
              </v:textbox>
            </v:shape>
          </w:pict>
        </mc:Fallback>
      </mc:AlternateContent>
    </w:r>
    <w:r>
      <w:rPr>
        <w:rFonts w:cs="Arial"/>
        <w:noProof/>
        <w:color w:val="8D8D89"/>
        <w:sz w:val="20"/>
      </w:rPr>
      <mc:AlternateContent>
        <mc:Choice Requires="wps">
          <w:drawing>
            <wp:anchor distT="0" distB="0" distL="114300" distR="114300" simplePos="0" relativeHeight="251663360" behindDoc="0" locked="0" layoutInCell="1" allowOverlap="1" wp14:anchorId="454F631A" wp14:editId="1199B2C4">
              <wp:simplePos x="0" y="0"/>
              <wp:positionH relativeFrom="column">
                <wp:posOffset>0</wp:posOffset>
              </wp:positionH>
              <wp:positionV relativeFrom="paragraph">
                <wp:posOffset>0</wp:posOffset>
              </wp:positionV>
              <wp:extent cx="6401435" cy="635"/>
              <wp:effectExtent l="0" t="0" r="50165" b="50165"/>
              <wp:wrapNone/>
              <wp:docPr id="1" name="Straight Connector 1"/>
              <wp:cNvGraphicFramePr/>
              <a:graphic xmlns:a="http://schemas.openxmlformats.org/drawingml/2006/main">
                <a:graphicData uri="http://schemas.microsoft.com/office/word/2010/wordprocessingShape">
                  <wps:wsp>
                    <wps:cNvCnPr/>
                    <wps:spPr>
                      <a:xfrm flipV="1">
                        <a:off x="0" y="0"/>
                        <a:ext cx="6401435"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860173A"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0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" strokecolor="#5b9bd5 [3204]" strokeweight=".5pt">
              <v:stroke joinstyle="miter"/>
            </v:line>
          </w:pict>
        </mc:Fallback>
      </mc:AlternateContent>
    </w:r>
  </w:p>
  <w:p w:rsidR="00906834" w:rsidRPr="00475C63" w:rsidRDefault="00906834" w:rsidP="00475C63">
    <w:pPr>
      <w:pStyle w:val="Footer"/>
      <w:jc w:val="center"/>
      <w:rPr>
        <w:rFonts w:cs="Arial"/>
        <w:sz w:val="16"/>
        <w:szCs w:val="16"/>
      </w:rPr>
    </w:pPr>
    <w:r w:rsidRPr="0064524E">
      <w:rPr>
        <w:rFonts w:cs="Arial"/>
        <w:sz w:val="16"/>
        <w:szCs w:val="16"/>
      </w:rPr>
      <w:fldChar w:fldCharType="begin"/>
    </w:r>
    <w:r w:rsidRPr="0064524E">
      <w:rPr>
        <w:rFonts w:cs="Arial"/>
        <w:sz w:val="16"/>
        <w:szCs w:val="16"/>
      </w:rPr>
      <w:instrText xml:space="preserve"> PAGE  \* Arabic  \* MERGEFORMAT </w:instrText>
    </w:r>
    <w:r w:rsidRPr="0064524E">
      <w:rPr>
        <w:rFonts w:cs="Arial"/>
        <w:sz w:val="16"/>
        <w:szCs w:val="16"/>
      </w:rPr>
      <w:fldChar w:fldCharType="separate"/>
    </w:r>
    <w:r w:rsidR="007D4FCD">
      <w:rPr>
        <w:rFonts w:cs="Arial"/>
        <w:noProof/>
        <w:sz w:val="16"/>
        <w:szCs w:val="16"/>
      </w:rPr>
      <w:t>5</w:t>
    </w:r>
    <w:r w:rsidRPr="0064524E">
      <w:rPr>
        <w:rFonts w:cs="Arial"/>
        <w:sz w:val="16"/>
        <w:szCs w:val="16"/>
      </w:rPr>
      <w:fldChar w:fldCharType="end"/>
    </w:r>
    <w:r w:rsidRPr="0064524E">
      <w:rPr>
        <w:rFonts w:cs="Arial"/>
        <w:sz w:val="16"/>
        <w:szCs w:val="16"/>
      </w:rPr>
      <w:t xml:space="preserve"> / </w:t>
    </w:r>
    <w:r w:rsidRPr="0064524E">
      <w:rPr>
        <w:rFonts w:cs="Arial"/>
        <w:sz w:val="16"/>
        <w:szCs w:val="16"/>
      </w:rPr>
      <w:fldChar w:fldCharType="begin"/>
    </w:r>
    <w:r w:rsidRPr="0064524E">
      <w:rPr>
        <w:rFonts w:cs="Arial"/>
        <w:sz w:val="16"/>
        <w:szCs w:val="16"/>
      </w:rPr>
      <w:instrText xml:space="preserve"> NUMPAGES  \* Arabic  \* MERGEFORMAT </w:instrText>
    </w:r>
    <w:r w:rsidRPr="0064524E">
      <w:rPr>
        <w:rFonts w:cs="Arial"/>
        <w:sz w:val="16"/>
        <w:szCs w:val="16"/>
      </w:rPr>
      <w:fldChar w:fldCharType="separate"/>
    </w:r>
    <w:r w:rsidR="007D4FCD">
      <w:rPr>
        <w:rFonts w:cs="Arial"/>
        <w:noProof/>
        <w:sz w:val="16"/>
        <w:szCs w:val="16"/>
      </w:rPr>
      <w:t>27</w:t>
    </w:r>
    <w:r w:rsidRPr="0064524E">
      <w:rPr>
        <w:rFonts w:cs="Arial"/>
        <w:sz w:val="16"/>
        <w:szCs w:val="16"/>
      </w:rPr>
      <w:fldChar w:fldCharType="end"/>
    </w:r>
  </w:p>
  <w:p w:rsidR="00906834" w:rsidRDefault="00906834"/>
  <w:p w:rsidR="00906834" w:rsidRDefault="0090683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834" w:rsidRDefault="00906834" w:rsidP="00E0616D">
    <w:pPr>
      <w:pStyle w:val="Footer"/>
      <w:jc w:val="center"/>
      <w:rPr>
        <w:rFonts w:cs="Arial"/>
        <w:sz w:val="20"/>
      </w:rPr>
    </w:pPr>
    <w:r>
      <w:rPr>
        <w:rFonts w:cs="Arial"/>
        <w:noProof/>
        <w:color w:val="8D8D89"/>
        <w:sz w:val="20"/>
      </w:rPr>
      <mc:AlternateContent>
        <mc:Choice Requires="wps">
          <w:drawing>
            <wp:anchor distT="0" distB="0" distL="114300" distR="114300" simplePos="0" relativeHeight="251661312" behindDoc="0" locked="0" layoutInCell="1" allowOverlap="1" wp14:anchorId="53BF197F" wp14:editId="6541F4F3">
              <wp:simplePos x="0" y="0"/>
              <wp:positionH relativeFrom="column">
                <wp:posOffset>0</wp:posOffset>
              </wp:positionH>
              <wp:positionV relativeFrom="paragraph">
                <wp:posOffset>0</wp:posOffset>
              </wp:positionV>
              <wp:extent cx="6401435" cy="635"/>
              <wp:effectExtent l="0" t="0" r="50165" b="50165"/>
              <wp:wrapNone/>
              <wp:docPr id="5" name="Straight Connector 5"/>
              <wp:cNvGraphicFramePr/>
              <a:graphic xmlns:a="http://schemas.openxmlformats.org/drawingml/2006/main">
                <a:graphicData uri="http://schemas.microsoft.com/office/word/2010/wordprocessingShape">
                  <wps:wsp>
                    <wps:cNvCnPr/>
                    <wps:spPr>
                      <a:xfrm flipV="1">
                        <a:off x="0" y="0"/>
                        <a:ext cx="6401435"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80E078"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0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" strokecolor="#5b9bd5 [3204]" strokeweight=".5pt">
              <v:stroke joinstyle="miter"/>
            </v:line>
          </w:pict>
        </mc:Fallback>
      </mc:AlternateContent>
    </w:r>
  </w:p>
  <w:p w:rsidR="00906834" w:rsidRPr="00475C63" w:rsidRDefault="00906834" w:rsidP="00475C63">
    <w:pPr>
      <w:pStyle w:val="Footer"/>
      <w:jc w:val="center"/>
      <w:rPr>
        <w:rFonts w:cs="Arial"/>
        <w:sz w:val="16"/>
        <w:szCs w:val="16"/>
      </w:rPr>
    </w:pPr>
    <w:r w:rsidRPr="0064524E">
      <w:rPr>
        <w:rFonts w:cs="Arial"/>
        <w:sz w:val="16"/>
        <w:szCs w:val="16"/>
      </w:rPr>
      <w:fldChar w:fldCharType="begin"/>
    </w:r>
    <w:r w:rsidRPr="0064524E">
      <w:rPr>
        <w:rFonts w:cs="Arial"/>
        <w:sz w:val="16"/>
        <w:szCs w:val="16"/>
      </w:rPr>
      <w:instrText xml:space="preserve"> PAGE  \* Arabic  \* MERGEFORMAT </w:instrText>
    </w:r>
    <w:r w:rsidRPr="0064524E">
      <w:rPr>
        <w:rFonts w:cs="Arial"/>
        <w:sz w:val="16"/>
        <w:szCs w:val="16"/>
      </w:rPr>
      <w:fldChar w:fldCharType="separate"/>
    </w:r>
    <w:r w:rsidR="007D4FCD">
      <w:rPr>
        <w:rFonts w:cs="Arial"/>
        <w:noProof/>
        <w:sz w:val="16"/>
        <w:szCs w:val="16"/>
      </w:rPr>
      <w:t>1</w:t>
    </w:r>
    <w:r w:rsidRPr="0064524E">
      <w:rPr>
        <w:rFonts w:cs="Arial"/>
        <w:sz w:val="16"/>
        <w:szCs w:val="16"/>
      </w:rPr>
      <w:fldChar w:fldCharType="end"/>
    </w:r>
    <w:r w:rsidRPr="0064524E">
      <w:rPr>
        <w:rFonts w:cs="Arial"/>
        <w:sz w:val="16"/>
        <w:szCs w:val="16"/>
      </w:rPr>
      <w:t xml:space="preserve"> / </w:t>
    </w:r>
    <w:r w:rsidRPr="0064524E">
      <w:rPr>
        <w:rFonts w:cs="Arial"/>
        <w:sz w:val="16"/>
        <w:szCs w:val="16"/>
      </w:rPr>
      <w:fldChar w:fldCharType="begin"/>
    </w:r>
    <w:r w:rsidRPr="0064524E">
      <w:rPr>
        <w:rFonts w:cs="Arial"/>
        <w:sz w:val="16"/>
        <w:szCs w:val="16"/>
      </w:rPr>
      <w:instrText xml:space="preserve"> NUMPAGES  \* Arabic  \* MERGEFORMAT </w:instrText>
    </w:r>
    <w:r w:rsidRPr="0064524E">
      <w:rPr>
        <w:rFonts w:cs="Arial"/>
        <w:sz w:val="16"/>
        <w:szCs w:val="16"/>
      </w:rPr>
      <w:fldChar w:fldCharType="separate"/>
    </w:r>
    <w:r w:rsidR="007D4FCD">
      <w:rPr>
        <w:rFonts w:cs="Arial"/>
        <w:noProof/>
        <w:sz w:val="16"/>
        <w:szCs w:val="16"/>
      </w:rPr>
      <w:t>27</w:t>
    </w:r>
    <w:r w:rsidRPr="0064524E">
      <w:rPr>
        <w:rFonts w:cs="Arial"/>
        <w:sz w:val="16"/>
        <w:szCs w:val="16"/>
      </w:rPr>
      <w:fldChar w:fldCharType="end"/>
    </w:r>
  </w:p>
  <w:p w:rsidR="00906834" w:rsidRDefault="00906834"/>
  <w:p w:rsidR="00906834" w:rsidRDefault="00906834">
    <w:r>
      <w:rPr>
        <w:rFonts w:cs="Arial"/>
        <w:noProof/>
        <w:sz w:val="20"/>
      </w:rPr>
      <mc:AlternateContent>
        <mc:Choice Requires="wps">
          <w:drawing>
            <wp:anchor distT="0" distB="0" distL="114300" distR="114300" simplePos="0" relativeHeight="251665408" behindDoc="0" locked="0" layoutInCell="1" allowOverlap="1" wp14:anchorId="1144DE8E" wp14:editId="1A1A9C7E">
              <wp:simplePos x="0" y="0"/>
              <wp:positionH relativeFrom="column">
                <wp:posOffset>5091125</wp:posOffset>
              </wp:positionH>
              <wp:positionV relativeFrom="paragraph">
                <wp:posOffset>-361848</wp:posOffset>
              </wp:positionV>
              <wp:extent cx="1444202" cy="19304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44202" cy="193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06834" w:rsidRDefault="00906834" w:rsidP="005B1784">
                          <w:pPr>
                            <w:jc w:val="right"/>
                            <w:rPr>
                              <w:sz w:val="16"/>
                              <w:szCs w:val="16"/>
                            </w:rPr>
                          </w:pPr>
                          <w:r>
                            <w:rPr>
                              <w:sz w:val="16"/>
                              <w:szCs w:val="16"/>
                            </w:rPr>
                            <w:t>2019</w:t>
                          </w:r>
                          <w:r w:rsidRPr="0064524E">
                            <w:rPr>
                              <w:sz w:val="16"/>
                              <w:szCs w:val="16"/>
                            </w:rPr>
                            <w:t>-</w:t>
                          </w:r>
                          <w:r w:rsidR="00810CDF">
                            <w:rPr>
                              <w:sz w:val="16"/>
                              <w:szCs w:val="16"/>
                            </w:rPr>
                            <w:t>02-D-17-fr-2</w:t>
                          </w:r>
                        </w:p>
                        <w:p w:rsidR="00906834" w:rsidRPr="0064524E" w:rsidRDefault="00906834" w:rsidP="005B1784">
                          <w:pPr>
                            <w:jc w:val="right"/>
                            <w:rPr>
                              <w:sz w:val="16"/>
                              <w:szCs w:val="16"/>
                            </w:rPr>
                          </w:pPr>
                        </w:p>
                        <w:p w:rsidR="00906834" w:rsidRDefault="00906834" w:rsidP="005B178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4DE8E" id="_x0000_t202" coordsize="21600,21600" o:spt="202" path="m,l,21600r21600,l21600,xe">
              <v:stroke joinstyle="miter"/>
              <v:path gradientshapeok="t" o:connecttype="rect"/>
            </v:shapetype>
            <v:shape id="Text Box 7" o:spid="_x0000_s1027" type="#_x0000_t202" style="position:absolute;left:0;text-align:left;margin-left:400.9pt;margin-top:-28.5pt;width:113.7pt;height:1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" filled="f" stroked="f">
              <v:textbox>
                <w:txbxContent>
                  <w:p w:rsidR="00906834" w:rsidRDefault="00906834" w:rsidP="005B1784">
                    <w:pPr>
                      <w:jc w:val="right"/>
                      <w:rPr>
                        <w:sz w:val="16"/>
                        <w:szCs w:val="16"/>
                      </w:rPr>
                    </w:pPr>
                    <w:r>
                      <w:rPr>
                        <w:sz w:val="16"/>
                        <w:szCs w:val="16"/>
                      </w:rPr>
                      <w:t>2019</w:t>
                    </w:r>
                    <w:r w:rsidRPr="0064524E">
                      <w:rPr>
                        <w:sz w:val="16"/>
                        <w:szCs w:val="16"/>
                      </w:rPr>
                      <w:t>-</w:t>
                    </w:r>
                    <w:r w:rsidR="00810CDF">
                      <w:rPr>
                        <w:sz w:val="16"/>
                        <w:szCs w:val="16"/>
                      </w:rPr>
                      <w:t>02-D-17-fr-2</w:t>
                    </w:r>
                  </w:p>
                  <w:p w:rsidR="00906834" w:rsidRPr="0064524E" w:rsidRDefault="00906834" w:rsidP="005B1784">
                    <w:pPr>
                      <w:jc w:val="right"/>
                      <w:rPr>
                        <w:sz w:val="16"/>
                        <w:szCs w:val="16"/>
                      </w:rPr>
                    </w:pPr>
                  </w:p>
                  <w:p w:rsidR="00906834" w:rsidRDefault="00906834" w:rsidP="005B1784">
                    <w:pPr>
                      <w:jc w:val="right"/>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BE1" w:rsidRDefault="00B57BE1">
      <w:r>
        <w:separator/>
      </w:r>
    </w:p>
    <w:p w:rsidR="00B57BE1" w:rsidRDefault="00B57BE1"/>
    <w:p w:rsidR="00B57BE1" w:rsidRDefault="00B57BE1" w:rsidP="008E343A"/>
    <w:p w:rsidR="00B57BE1" w:rsidRDefault="00B57BE1" w:rsidP="008E343A"/>
  </w:footnote>
  <w:footnote w:type="continuationSeparator" w:id="0">
    <w:p w:rsidR="00B57BE1" w:rsidRDefault="00B57BE1">
      <w:r>
        <w:continuationSeparator/>
      </w:r>
    </w:p>
    <w:p w:rsidR="00B57BE1" w:rsidRDefault="00B57BE1"/>
    <w:p w:rsidR="00B57BE1" w:rsidRDefault="00B57BE1" w:rsidP="008E343A"/>
    <w:p w:rsidR="00B57BE1" w:rsidRDefault="00B57BE1" w:rsidP="008E34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2793"/>
      <w:gridCol w:w="6686"/>
    </w:tblGrid>
    <w:tr w:rsidR="00906834" w:rsidRPr="00F324E7" w:rsidTr="00196BBE">
      <w:trPr>
        <w:trHeight w:val="1172"/>
      </w:trPr>
      <w:tc>
        <w:tcPr>
          <w:tcW w:w="1473" w:type="pct"/>
        </w:tcPr>
        <w:p w:rsidR="00906834" w:rsidRDefault="00906834" w:rsidP="00315755"/>
      </w:tc>
      <w:tc>
        <w:tcPr>
          <w:tcW w:w="3527" w:type="pct"/>
        </w:tcPr>
        <w:p w:rsidR="00906834" w:rsidRPr="002326F3" w:rsidRDefault="00906834" w:rsidP="00AA02ED">
          <w:pPr>
            <w:jc w:val="right"/>
            <w:rPr>
              <w:sz w:val="18"/>
              <w:szCs w:val="18"/>
            </w:rPr>
          </w:pPr>
        </w:p>
        <w:p w:rsidR="00906834" w:rsidRDefault="00906834" w:rsidP="00315755">
          <w:pPr>
            <w:spacing w:before="360"/>
            <w:jc w:val="right"/>
            <w:rPr>
              <w:color w:val="5B9BD5" w:themeColor="accent1"/>
              <w:sz w:val="20"/>
              <w:lang w:val="fr-FR"/>
            </w:rPr>
          </w:pPr>
          <w:r w:rsidRPr="00F324E7">
            <w:rPr>
              <w:b/>
              <w:color w:val="233E91"/>
              <w:sz w:val="20"/>
              <w:lang w:val="fr-FR"/>
            </w:rPr>
            <w:t>Schola Europaea</w:t>
          </w:r>
          <w:r w:rsidRPr="00F324E7">
            <w:rPr>
              <w:b/>
              <w:color w:val="5B9BD5" w:themeColor="accent1"/>
              <w:sz w:val="20"/>
              <w:lang w:val="fr-FR"/>
            </w:rPr>
            <w:t xml:space="preserve"> </w:t>
          </w:r>
          <w:r w:rsidRPr="00F324E7">
            <w:rPr>
              <w:color w:val="5B9BD5" w:themeColor="accent1"/>
              <w:sz w:val="20"/>
              <w:lang w:val="fr-FR"/>
            </w:rPr>
            <w:t>/ Bureau du Secrétaire général</w:t>
          </w:r>
        </w:p>
        <w:p w:rsidR="00906834" w:rsidRPr="00F324E7" w:rsidRDefault="00906834" w:rsidP="00315755">
          <w:pPr>
            <w:spacing w:before="360"/>
            <w:jc w:val="right"/>
            <w:rPr>
              <w:color w:val="5B9BD5" w:themeColor="accent1"/>
              <w:sz w:val="20"/>
              <w:lang w:val="fr-FR"/>
            </w:rPr>
          </w:pPr>
          <w:r>
            <w:rPr>
              <w:color w:val="5B9BD5" w:themeColor="accent1"/>
              <w:sz w:val="20"/>
              <w:lang w:val="fr-FR"/>
            </w:rPr>
            <w:t>Unité Informatique et Statistiques</w:t>
          </w:r>
        </w:p>
        <w:p w:rsidR="00906834" w:rsidRPr="00F324E7" w:rsidRDefault="00906834" w:rsidP="00AA02ED">
          <w:pPr>
            <w:jc w:val="right"/>
            <w:rPr>
              <w:lang w:val="fr-FR"/>
            </w:rPr>
          </w:pPr>
        </w:p>
      </w:tc>
    </w:tr>
  </w:tbl>
  <w:p w:rsidR="00906834" w:rsidRDefault="0090683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4192"/>
      <w:gridCol w:w="5287"/>
    </w:tblGrid>
    <w:tr w:rsidR="00906834" w:rsidRPr="00F324E7" w:rsidTr="00EB13D3">
      <w:trPr>
        <w:trHeight w:val="1172"/>
      </w:trPr>
      <w:tc>
        <w:tcPr>
          <w:tcW w:w="1473" w:type="pct"/>
        </w:tcPr>
        <w:p w:rsidR="00906834" w:rsidRDefault="00906834" w:rsidP="00B41C1F">
          <w:pPr>
            <w:ind w:left="-170"/>
          </w:pPr>
          <w:r>
            <w:rPr>
              <w:noProof/>
            </w:rPr>
            <w:drawing>
              <wp:inline distT="0" distB="0" distL="0" distR="0" wp14:anchorId="506BC645" wp14:editId="51A22054">
                <wp:extent cx="2633108" cy="900000"/>
                <wp:effectExtent l="0" t="0" r="0"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1">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3527" w:type="pct"/>
        </w:tcPr>
        <w:p w:rsidR="00906834" w:rsidRPr="004B453F" w:rsidRDefault="00906834" w:rsidP="004B453F">
          <w:pPr>
            <w:jc w:val="right"/>
            <w:rPr>
              <w:sz w:val="18"/>
              <w:szCs w:val="18"/>
            </w:rPr>
          </w:pPr>
        </w:p>
        <w:p w:rsidR="00906834" w:rsidRDefault="00906834" w:rsidP="00B41C1F">
          <w:pPr>
            <w:spacing w:before="360"/>
            <w:ind w:left="-170"/>
            <w:jc w:val="right"/>
            <w:rPr>
              <w:color w:val="5B9BD5" w:themeColor="accent1"/>
              <w:sz w:val="20"/>
              <w:lang w:val="fr-FR"/>
            </w:rPr>
          </w:pPr>
          <w:r w:rsidRPr="00F324E7">
            <w:rPr>
              <w:b/>
              <w:color w:val="233E91"/>
              <w:sz w:val="20"/>
              <w:lang w:val="fr-FR"/>
            </w:rPr>
            <w:t>Schola Europaea</w:t>
          </w:r>
          <w:r w:rsidRPr="00F324E7">
            <w:rPr>
              <w:b/>
              <w:color w:val="5B9BD5" w:themeColor="accent1"/>
              <w:sz w:val="20"/>
              <w:lang w:val="fr-FR"/>
            </w:rPr>
            <w:t xml:space="preserve"> </w:t>
          </w:r>
          <w:r w:rsidRPr="00F324E7">
            <w:rPr>
              <w:color w:val="5B9BD5" w:themeColor="accent1"/>
              <w:sz w:val="20"/>
              <w:lang w:val="fr-FR"/>
            </w:rPr>
            <w:t>/ Bureau du Secrétaire général</w:t>
          </w:r>
        </w:p>
        <w:p w:rsidR="00906834" w:rsidRPr="00F324E7" w:rsidRDefault="00906834" w:rsidP="00B41C1F">
          <w:pPr>
            <w:spacing w:before="360"/>
            <w:ind w:left="-170"/>
            <w:jc w:val="right"/>
            <w:rPr>
              <w:color w:val="5B9BD5" w:themeColor="accent1"/>
              <w:sz w:val="20"/>
              <w:lang w:val="fr-FR"/>
            </w:rPr>
          </w:pPr>
          <w:r>
            <w:rPr>
              <w:b/>
              <w:color w:val="233E91"/>
              <w:sz w:val="20"/>
              <w:lang w:val="fr-FR"/>
            </w:rPr>
            <w:t>Unité Informatique et Statistiques</w:t>
          </w:r>
          <w:r w:rsidRPr="00F324E7">
            <w:rPr>
              <w:color w:val="5B9BD5" w:themeColor="accent1"/>
              <w:sz w:val="20"/>
              <w:lang w:val="fr-FR"/>
            </w:rPr>
            <w:t xml:space="preserve"> </w:t>
          </w:r>
        </w:p>
        <w:p w:rsidR="00906834" w:rsidRPr="00F324E7" w:rsidRDefault="00906834" w:rsidP="00B41C1F">
          <w:pPr>
            <w:ind w:left="-170"/>
            <w:jc w:val="right"/>
            <w:rPr>
              <w:lang w:val="fr-FR"/>
            </w:rPr>
          </w:pPr>
        </w:p>
      </w:tc>
    </w:tr>
  </w:tbl>
  <w:p w:rsidR="00906834" w:rsidRDefault="0090683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03E4"/>
    <w:multiLevelType w:val="hybridMultilevel"/>
    <w:tmpl w:val="9932A29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6759B1"/>
    <w:multiLevelType w:val="multilevel"/>
    <w:tmpl w:val="70CA68D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56048B7"/>
    <w:multiLevelType w:val="multilevel"/>
    <w:tmpl w:val="70CA68D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8617F99"/>
    <w:multiLevelType w:val="multilevel"/>
    <w:tmpl w:val="C4E41198"/>
    <w:lvl w:ilvl="0">
      <w:start w:val="1"/>
      <w:numFmt w:val="decimal"/>
      <w:pStyle w:val="Heading3"/>
      <w:lvlText w:val="%1.1.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1A3E7646"/>
    <w:multiLevelType w:val="multilevel"/>
    <w:tmpl w:val="70CA68D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AA90298"/>
    <w:multiLevelType w:val="multilevel"/>
    <w:tmpl w:val="666CB10E"/>
    <w:lvl w:ilvl="0">
      <w:start w:val="3"/>
      <w:numFmt w:val="decimal"/>
      <w:lvlText w:val="%1"/>
      <w:lvlJc w:val="left"/>
      <w:pPr>
        <w:ind w:left="420" w:hanging="4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3E65B5E"/>
    <w:multiLevelType w:val="hybridMultilevel"/>
    <w:tmpl w:val="D1FEAA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B267C39"/>
    <w:multiLevelType w:val="multilevel"/>
    <w:tmpl w:val="30487F8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657169AF"/>
    <w:multiLevelType w:val="hybridMultilevel"/>
    <w:tmpl w:val="00587C5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860092D"/>
    <w:multiLevelType w:val="hybridMultilevel"/>
    <w:tmpl w:val="7FBCD746"/>
    <w:lvl w:ilvl="0" w:tplc="080C0001">
      <w:start w:val="1"/>
      <w:numFmt w:val="bullet"/>
      <w:lvlText w:val=""/>
      <w:lvlJc w:val="left"/>
      <w:pPr>
        <w:ind w:left="720" w:hanging="360"/>
      </w:pPr>
      <w:rPr>
        <w:rFonts w:ascii="Symbol" w:hAnsi="Symbol" w:hint="default"/>
      </w:rPr>
    </w:lvl>
    <w:lvl w:ilvl="1" w:tplc="3AE85E96">
      <w:numFmt w:val="bullet"/>
      <w:lvlText w:val="•"/>
      <w:lvlJc w:val="left"/>
      <w:pPr>
        <w:ind w:left="1950" w:hanging="870"/>
      </w:pPr>
      <w:rPr>
        <w:rFonts w:ascii="Arial" w:eastAsia="Times New Roman" w:hAnsi="Arial" w:cs="Arial" w:hint="default"/>
      </w:rPr>
    </w:lvl>
    <w:lvl w:ilvl="2" w:tplc="39A6E9E0">
      <w:numFmt w:val="bullet"/>
      <w:lvlText w:val="·"/>
      <w:lvlJc w:val="left"/>
      <w:pPr>
        <w:ind w:left="2160" w:hanging="360"/>
      </w:pPr>
      <w:rPr>
        <w:rFonts w:ascii="Arial" w:eastAsia="Times New Roman" w:hAnsi="Arial" w:cs="Aria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CB64D39"/>
    <w:multiLevelType w:val="hybridMultilevel"/>
    <w:tmpl w:val="8DDCCB0A"/>
    <w:lvl w:ilvl="0" w:tplc="F5C2DAD2">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70B3607A"/>
    <w:multiLevelType w:val="hybridMultilevel"/>
    <w:tmpl w:val="F61E7D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19F2606"/>
    <w:multiLevelType w:val="hybridMultilevel"/>
    <w:tmpl w:val="D86C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11"/>
  </w:num>
  <w:num w:numId="5">
    <w:abstractNumId w:val="6"/>
  </w:num>
  <w:num w:numId="6">
    <w:abstractNumId w:val="12"/>
  </w:num>
  <w:num w:numId="7">
    <w:abstractNumId w:val="3"/>
  </w:num>
  <w:num w:numId="8">
    <w:abstractNumId w:val="7"/>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10"/>
  </w:num>
  <w:num w:numId="15">
    <w:abstractNumId w:val="10"/>
  </w:num>
  <w:num w:numId="16">
    <w:abstractNumId w:val="4"/>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2"/>
  </w:num>
  <w:num w:numId="31">
    <w:abstractNumId w:val="3"/>
  </w:num>
  <w:num w:numId="32">
    <w:abstractNumId w:val="3"/>
  </w:num>
  <w:num w:numId="33">
    <w:abstractNumId w:val="1"/>
  </w:num>
  <w:num w:numId="34">
    <w:abstractNumId w:val="3"/>
  </w:num>
  <w:num w:numId="35">
    <w:abstractNumId w:val="3"/>
  </w:num>
  <w:num w:numId="36">
    <w:abstractNumId w:val="5"/>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4E7"/>
    <w:rsid w:val="00012079"/>
    <w:rsid w:val="00012C0E"/>
    <w:rsid w:val="0001500A"/>
    <w:rsid w:val="00021E93"/>
    <w:rsid w:val="0002693A"/>
    <w:rsid w:val="00033C75"/>
    <w:rsid w:val="00041693"/>
    <w:rsid w:val="00043DEB"/>
    <w:rsid w:val="000448AE"/>
    <w:rsid w:val="00050335"/>
    <w:rsid w:val="00050E8E"/>
    <w:rsid w:val="00063170"/>
    <w:rsid w:val="00063A7C"/>
    <w:rsid w:val="00066D7F"/>
    <w:rsid w:val="0007628E"/>
    <w:rsid w:val="00082393"/>
    <w:rsid w:val="00082982"/>
    <w:rsid w:val="00083DB0"/>
    <w:rsid w:val="00085FA2"/>
    <w:rsid w:val="00093CC2"/>
    <w:rsid w:val="000954E2"/>
    <w:rsid w:val="00096DE1"/>
    <w:rsid w:val="000C1187"/>
    <w:rsid w:val="000C1E07"/>
    <w:rsid w:val="000C2089"/>
    <w:rsid w:val="000D0E12"/>
    <w:rsid w:val="000D216F"/>
    <w:rsid w:val="000D38F8"/>
    <w:rsid w:val="000D4587"/>
    <w:rsid w:val="000E0A9B"/>
    <w:rsid w:val="000E2140"/>
    <w:rsid w:val="000E4C7E"/>
    <w:rsid w:val="000F4411"/>
    <w:rsid w:val="00110BFB"/>
    <w:rsid w:val="001212E6"/>
    <w:rsid w:val="00122B43"/>
    <w:rsid w:val="00125498"/>
    <w:rsid w:val="00126BAC"/>
    <w:rsid w:val="001444EA"/>
    <w:rsid w:val="001453CC"/>
    <w:rsid w:val="0014730E"/>
    <w:rsid w:val="00153432"/>
    <w:rsid w:val="00161D85"/>
    <w:rsid w:val="001752D0"/>
    <w:rsid w:val="0017744B"/>
    <w:rsid w:val="00186315"/>
    <w:rsid w:val="0019500B"/>
    <w:rsid w:val="00196BBE"/>
    <w:rsid w:val="001B6424"/>
    <w:rsid w:val="001D1B13"/>
    <w:rsid w:val="001D4E06"/>
    <w:rsid w:val="001F3630"/>
    <w:rsid w:val="001F4436"/>
    <w:rsid w:val="001F56D7"/>
    <w:rsid w:val="001F5938"/>
    <w:rsid w:val="001F5959"/>
    <w:rsid w:val="00204E2D"/>
    <w:rsid w:val="00212BA6"/>
    <w:rsid w:val="00214AC7"/>
    <w:rsid w:val="00224B85"/>
    <w:rsid w:val="002250FB"/>
    <w:rsid w:val="00225543"/>
    <w:rsid w:val="002277DA"/>
    <w:rsid w:val="002326F3"/>
    <w:rsid w:val="00234CC3"/>
    <w:rsid w:val="0024196F"/>
    <w:rsid w:val="0024397E"/>
    <w:rsid w:val="00251F9A"/>
    <w:rsid w:val="002643FA"/>
    <w:rsid w:val="002649D5"/>
    <w:rsid w:val="00266E82"/>
    <w:rsid w:val="002671B8"/>
    <w:rsid w:val="00282AD8"/>
    <w:rsid w:val="00282F20"/>
    <w:rsid w:val="002923C1"/>
    <w:rsid w:val="002931CE"/>
    <w:rsid w:val="00294915"/>
    <w:rsid w:val="00297C8D"/>
    <w:rsid w:val="002A342B"/>
    <w:rsid w:val="002A36A9"/>
    <w:rsid w:val="002B2146"/>
    <w:rsid w:val="002B5A8F"/>
    <w:rsid w:val="002C4D13"/>
    <w:rsid w:val="002D3755"/>
    <w:rsid w:val="002D5E4B"/>
    <w:rsid w:val="002E7A4C"/>
    <w:rsid w:val="002F14F2"/>
    <w:rsid w:val="002F3541"/>
    <w:rsid w:val="003063A1"/>
    <w:rsid w:val="00311166"/>
    <w:rsid w:val="00315335"/>
    <w:rsid w:val="00315755"/>
    <w:rsid w:val="00315D39"/>
    <w:rsid w:val="00324D16"/>
    <w:rsid w:val="00336010"/>
    <w:rsid w:val="00336617"/>
    <w:rsid w:val="003435C3"/>
    <w:rsid w:val="003447B2"/>
    <w:rsid w:val="003564BF"/>
    <w:rsid w:val="0036455B"/>
    <w:rsid w:val="0037282B"/>
    <w:rsid w:val="00376216"/>
    <w:rsid w:val="0038282B"/>
    <w:rsid w:val="00384914"/>
    <w:rsid w:val="00392E9D"/>
    <w:rsid w:val="003B08E8"/>
    <w:rsid w:val="003B1DC9"/>
    <w:rsid w:val="003B1DD8"/>
    <w:rsid w:val="003C4874"/>
    <w:rsid w:val="003D146A"/>
    <w:rsid w:val="003D389F"/>
    <w:rsid w:val="003D72A4"/>
    <w:rsid w:val="003E35BD"/>
    <w:rsid w:val="003E42DA"/>
    <w:rsid w:val="003E49F8"/>
    <w:rsid w:val="003E4CDF"/>
    <w:rsid w:val="003E5CB2"/>
    <w:rsid w:val="00402566"/>
    <w:rsid w:val="00403839"/>
    <w:rsid w:val="00407F4F"/>
    <w:rsid w:val="00432633"/>
    <w:rsid w:val="004567AD"/>
    <w:rsid w:val="00457210"/>
    <w:rsid w:val="004601CF"/>
    <w:rsid w:val="00463084"/>
    <w:rsid w:val="004632AA"/>
    <w:rsid w:val="00463AFA"/>
    <w:rsid w:val="00466D12"/>
    <w:rsid w:val="0047079E"/>
    <w:rsid w:val="00475C63"/>
    <w:rsid w:val="004850FE"/>
    <w:rsid w:val="004973A2"/>
    <w:rsid w:val="004978E4"/>
    <w:rsid w:val="004A756E"/>
    <w:rsid w:val="004B3D2A"/>
    <w:rsid w:val="004B453F"/>
    <w:rsid w:val="004B47D0"/>
    <w:rsid w:val="004C4879"/>
    <w:rsid w:val="004C580F"/>
    <w:rsid w:val="004C665C"/>
    <w:rsid w:val="004D545B"/>
    <w:rsid w:val="004E66D9"/>
    <w:rsid w:val="004E78EF"/>
    <w:rsid w:val="00501E2F"/>
    <w:rsid w:val="00503B37"/>
    <w:rsid w:val="0050624F"/>
    <w:rsid w:val="00520161"/>
    <w:rsid w:val="005246E3"/>
    <w:rsid w:val="00524E14"/>
    <w:rsid w:val="005260CE"/>
    <w:rsid w:val="00533FC6"/>
    <w:rsid w:val="00534ED5"/>
    <w:rsid w:val="00535CE7"/>
    <w:rsid w:val="0055385C"/>
    <w:rsid w:val="00553E0F"/>
    <w:rsid w:val="005735D8"/>
    <w:rsid w:val="00585315"/>
    <w:rsid w:val="005A6998"/>
    <w:rsid w:val="005A75F1"/>
    <w:rsid w:val="005B15D5"/>
    <w:rsid w:val="005B1784"/>
    <w:rsid w:val="005B2D41"/>
    <w:rsid w:val="005B6FCC"/>
    <w:rsid w:val="005C3369"/>
    <w:rsid w:val="005C54CC"/>
    <w:rsid w:val="005D345F"/>
    <w:rsid w:val="005D67DD"/>
    <w:rsid w:val="005D7FA0"/>
    <w:rsid w:val="005E0AF6"/>
    <w:rsid w:val="005E2E97"/>
    <w:rsid w:val="005E4E66"/>
    <w:rsid w:val="005E6EA7"/>
    <w:rsid w:val="005F2BEC"/>
    <w:rsid w:val="005F4A93"/>
    <w:rsid w:val="005F60A4"/>
    <w:rsid w:val="005F71F3"/>
    <w:rsid w:val="0060117F"/>
    <w:rsid w:val="00602E9C"/>
    <w:rsid w:val="00637B4B"/>
    <w:rsid w:val="00642488"/>
    <w:rsid w:val="00643694"/>
    <w:rsid w:val="0064524E"/>
    <w:rsid w:val="00650BB3"/>
    <w:rsid w:val="00653A90"/>
    <w:rsid w:val="00654826"/>
    <w:rsid w:val="00655EB6"/>
    <w:rsid w:val="006625EB"/>
    <w:rsid w:val="00666D5D"/>
    <w:rsid w:val="0067286C"/>
    <w:rsid w:val="00673EA0"/>
    <w:rsid w:val="00680014"/>
    <w:rsid w:val="00694810"/>
    <w:rsid w:val="006A3C7E"/>
    <w:rsid w:val="006A5FB8"/>
    <w:rsid w:val="006A6D09"/>
    <w:rsid w:val="006B6B9E"/>
    <w:rsid w:val="006C6004"/>
    <w:rsid w:val="006C652B"/>
    <w:rsid w:val="006D6743"/>
    <w:rsid w:val="006E294E"/>
    <w:rsid w:val="006E3B7B"/>
    <w:rsid w:val="006F22AD"/>
    <w:rsid w:val="006F27CE"/>
    <w:rsid w:val="00700528"/>
    <w:rsid w:val="00702EA5"/>
    <w:rsid w:val="00703A20"/>
    <w:rsid w:val="007058BA"/>
    <w:rsid w:val="007112F0"/>
    <w:rsid w:val="00722797"/>
    <w:rsid w:val="00723641"/>
    <w:rsid w:val="00723D61"/>
    <w:rsid w:val="007278A9"/>
    <w:rsid w:val="00731B9C"/>
    <w:rsid w:val="00734A2F"/>
    <w:rsid w:val="007408E9"/>
    <w:rsid w:val="00741007"/>
    <w:rsid w:val="007414D0"/>
    <w:rsid w:val="0074732F"/>
    <w:rsid w:val="0075242D"/>
    <w:rsid w:val="0075391A"/>
    <w:rsid w:val="00753A5B"/>
    <w:rsid w:val="00754433"/>
    <w:rsid w:val="0075719B"/>
    <w:rsid w:val="00761969"/>
    <w:rsid w:val="00761D05"/>
    <w:rsid w:val="00776AC5"/>
    <w:rsid w:val="00781FCD"/>
    <w:rsid w:val="00782822"/>
    <w:rsid w:val="0078542F"/>
    <w:rsid w:val="00787991"/>
    <w:rsid w:val="00793432"/>
    <w:rsid w:val="007A513D"/>
    <w:rsid w:val="007A57BC"/>
    <w:rsid w:val="007A7A35"/>
    <w:rsid w:val="007B055A"/>
    <w:rsid w:val="007B15B8"/>
    <w:rsid w:val="007B4BDE"/>
    <w:rsid w:val="007B7568"/>
    <w:rsid w:val="007C31F1"/>
    <w:rsid w:val="007D196A"/>
    <w:rsid w:val="007D472A"/>
    <w:rsid w:val="007D49FA"/>
    <w:rsid w:val="007D4FCD"/>
    <w:rsid w:val="007F3C8B"/>
    <w:rsid w:val="00800630"/>
    <w:rsid w:val="00801AA6"/>
    <w:rsid w:val="008054B2"/>
    <w:rsid w:val="008058BF"/>
    <w:rsid w:val="00805B7F"/>
    <w:rsid w:val="00807884"/>
    <w:rsid w:val="00810CDF"/>
    <w:rsid w:val="008153B2"/>
    <w:rsid w:val="00830B42"/>
    <w:rsid w:val="00836914"/>
    <w:rsid w:val="00836C89"/>
    <w:rsid w:val="00843DC7"/>
    <w:rsid w:val="00845944"/>
    <w:rsid w:val="00853444"/>
    <w:rsid w:val="00857547"/>
    <w:rsid w:val="00861A8C"/>
    <w:rsid w:val="00865E1D"/>
    <w:rsid w:val="00874C8D"/>
    <w:rsid w:val="008771B2"/>
    <w:rsid w:val="00880A2D"/>
    <w:rsid w:val="00884C16"/>
    <w:rsid w:val="00887B9C"/>
    <w:rsid w:val="00894237"/>
    <w:rsid w:val="00895AEE"/>
    <w:rsid w:val="00896B36"/>
    <w:rsid w:val="008A3E2E"/>
    <w:rsid w:val="008B2A43"/>
    <w:rsid w:val="008B2CCE"/>
    <w:rsid w:val="008C1CBC"/>
    <w:rsid w:val="008C2A00"/>
    <w:rsid w:val="008C3FA9"/>
    <w:rsid w:val="008C62CE"/>
    <w:rsid w:val="008D3FA0"/>
    <w:rsid w:val="008D61B8"/>
    <w:rsid w:val="008E0ED3"/>
    <w:rsid w:val="008E343A"/>
    <w:rsid w:val="008E5C9B"/>
    <w:rsid w:val="008E7B9E"/>
    <w:rsid w:val="008F1C6B"/>
    <w:rsid w:val="008F72D8"/>
    <w:rsid w:val="00906834"/>
    <w:rsid w:val="00911CDA"/>
    <w:rsid w:val="0091222C"/>
    <w:rsid w:val="00917C40"/>
    <w:rsid w:val="00922F44"/>
    <w:rsid w:val="0094147D"/>
    <w:rsid w:val="00941D50"/>
    <w:rsid w:val="009555D6"/>
    <w:rsid w:val="00957F98"/>
    <w:rsid w:val="00973606"/>
    <w:rsid w:val="009747A1"/>
    <w:rsid w:val="00982BA3"/>
    <w:rsid w:val="0098313A"/>
    <w:rsid w:val="00983522"/>
    <w:rsid w:val="00990003"/>
    <w:rsid w:val="009931B9"/>
    <w:rsid w:val="00994E33"/>
    <w:rsid w:val="009B1051"/>
    <w:rsid w:val="009B3CFC"/>
    <w:rsid w:val="009B42C1"/>
    <w:rsid w:val="009B482E"/>
    <w:rsid w:val="009D7F2A"/>
    <w:rsid w:val="009E675C"/>
    <w:rsid w:val="009F1FB1"/>
    <w:rsid w:val="00A00AC3"/>
    <w:rsid w:val="00A01098"/>
    <w:rsid w:val="00A02296"/>
    <w:rsid w:val="00A0747E"/>
    <w:rsid w:val="00A17D57"/>
    <w:rsid w:val="00A22956"/>
    <w:rsid w:val="00A23919"/>
    <w:rsid w:val="00A43615"/>
    <w:rsid w:val="00A51EA0"/>
    <w:rsid w:val="00A858D6"/>
    <w:rsid w:val="00A87342"/>
    <w:rsid w:val="00AA02ED"/>
    <w:rsid w:val="00AA04E2"/>
    <w:rsid w:val="00AA708A"/>
    <w:rsid w:val="00AA7C6D"/>
    <w:rsid w:val="00AB27ED"/>
    <w:rsid w:val="00AB3642"/>
    <w:rsid w:val="00AB3C49"/>
    <w:rsid w:val="00AB6E36"/>
    <w:rsid w:val="00AC0EC2"/>
    <w:rsid w:val="00AC6D7E"/>
    <w:rsid w:val="00AC7D09"/>
    <w:rsid w:val="00AD23D2"/>
    <w:rsid w:val="00AD5D9F"/>
    <w:rsid w:val="00AF4144"/>
    <w:rsid w:val="00B05175"/>
    <w:rsid w:val="00B07388"/>
    <w:rsid w:val="00B17FBD"/>
    <w:rsid w:val="00B207E3"/>
    <w:rsid w:val="00B2449E"/>
    <w:rsid w:val="00B247C8"/>
    <w:rsid w:val="00B27DDC"/>
    <w:rsid w:val="00B27F23"/>
    <w:rsid w:val="00B3093F"/>
    <w:rsid w:val="00B31598"/>
    <w:rsid w:val="00B328CE"/>
    <w:rsid w:val="00B41C1F"/>
    <w:rsid w:val="00B47199"/>
    <w:rsid w:val="00B4761C"/>
    <w:rsid w:val="00B502BB"/>
    <w:rsid w:val="00B5391F"/>
    <w:rsid w:val="00B55306"/>
    <w:rsid w:val="00B57BE1"/>
    <w:rsid w:val="00B62251"/>
    <w:rsid w:val="00B63A77"/>
    <w:rsid w:val="00B744A8"/>
    <w:rsid w:val="00B820B6"/>
    <w:rsid w:val="00B8435D"/>
    <w:rsid w:val="00B85C61"/>
    <w:rsid w:val="00B930E3"/>
    <w:rsid w:val="00B946A5"/>
    <w:rsid w:val="00BA09BB"/>
    <w:rsid w:val="00BA26BC"/>
    <w:rsid w:val="00BA31DD"/>
    <w:rsid w:val="00BA5E6C"/>
    <w:rsid w:val="00BB11FD"/>
    <w:rsid w:val="00BB7334"/>
    <w:rsid w:val="00BB792F"/>
    <w:rsid w:val="00BC55C6"/>
    <w:rsid w:val="00BD453F"/>
    <w:rsid w:val="00BD611A"/>
    <w:rsid w:val="00BD65A4"/>
    <w:rsid w:val="00BD66DC"/>
    <w:rsid w:val="00BD7581"/>
    <w:rsid w:val="00BF418B"/>
    <w:rsid w:val="00BF7722"/>
    <w:rsid w:val="00C0368F"/>
    <w:rsid w:val="00C045AD"/>
    <w:rsid w:val="00C24CED"/>
    <w:rsid w:val="00C2564B"/>
    <w:rsid w:val="00C3362F"/>
    <w:rsid w:val="00C51F70"/>
    <w:rsid w:val="00C5328A"/>
    <w:rsid w:val="00C64720"/>
    <w:rsid w:val="00C64CDA"/>
    <w:rsid w:val="00C75E50"/>
    <w:rsid w:val="00C76E50"/>
    <w:rsid w:val="00C80080"/>
    <w:rsid w:val="00C82D8E"/>
    <w:rsid w:val="00C86BE4"/>
    <w:rsid w:val="00C90F12"/>
    <w:rsid w:val="00C94548"/>
    <w:rsid w:val="00C9568C"/>
    <w:rsid w:val="00CA0627"/>
    <w:rsid w:val="00CA0CDF"/>
    <w:rsid w:val="00CA5003"/>
    <w:rsid w:val="00CB03EA"/>
    <w:rsid w:val="00CB19C2"/>
    <w:rsid w:val="00CB3F19"/>
    <w:rsid w:val="00CB76B6"/>
    <w:rsid w:val="00CC448A"/>
    <w:rsid w:val="00CE4E93"/>
    <w:rsid w:val="00CF22EB"/>
    <w:rsid w:val="00CF7069"/>
    <w:rsid w:val="00CF758B"/>
    <w:rsid w:val="00D024B0"/>
    <w:rsid w:val="00D057FF"/>
    <w:rsid w:val="00D07580"/>
    <w:rsid w:val="00D07FC5"/>
    <w:rsid w:val="00D10BA4"/>
    <w:rsid w:val="00D15F52"/>
    <w:rsid w:val="00D20630"/>
    <w:rsid w:val="00D359F0"/>
    <w:rsid w:val="00D37A50"/>
    <w:rsid w:val="00D4183F"/>
    <w:rsid w:val="00D43235"/>
    <w:rsid w:val="00D446D1"/>
    <w:rsid w:val="00D46A2E"/>
    <w:rsid w:val="00D53400"/>
    <w:rsid w:val="00D54B81"/>
    <w:rsid w:val="00D55A3F"/>
    <w:rsid w:val="00D562FD"/>
    <w:rsid w:val="00D57F3C"/>
    <w:rsid w:val="00D632C1"/>
    <w:rsid w:val="00D639E7"/>
    <w:rsid w:val="00D63A96"/>
    <w:rsid w:val="00D63E24"/>
    <w:rsid w:val="00D657B8"/>
    <w:rsid w:val="00D7064E"/>
    <w:rsid w:val="00D87952"/>
    <w:rsid w:val="00DA432B"/>
    <w:rsid w:val="00DA551E"/>
    <w:rsid w:val="00DA70DE"/>
    <w:rsid w:val="00DB50DF"/>
    <w:rsid w:val="00DB5FF4"/>
    <w:rsid w:val="00DB7ABB"/>
    <w:rsid w:val="00DC04CB"/>
    <w:rsid w:val="00DC3544"/>
    <w:rsid w:val="00DC4F0C"/>
    <w:rsid w:val="00DD3ADC"/>
    <w:rsid w:val="00DD7DAA"/>
    <w:rsid w:val="00DE2E12"/>
    <w:rsid w:val="00DF2268"/>
    <w:rsid w:val="00DF4D7F"/>
    <w:rsid w:val="00E0299B"/>
    <w:rsid w:val="00E02C93"/>
    <w:rsid w:val="00E04378"/>
    <w:rsid w:val="00E0616D"/>
    <w:rsid w:val="00E11C32"/>
    <w:rsid w:val="00E127E9"/>
    <w:rsid w:val="00E21FE1"/>
    <w:rsid w:val="00E23043"/>
    <w:rsid w:val="00E24955"/>
    <w:rsid w:val="00E27E50"/>
    <w:rsid w:val="00E3221E"/>
    <w:rsid w:val="00E368D0"/>
    <w:rsid w:val="00E458F3"/>
    <w:rsid w:val="00E4770C"/>
    <w:rsid w:val="00E51024"/>
    <w:rsid w:val="00E5212C"/>
    <w:rsid w:val="00E526D0"/>
    <w:rsid w:val="00E533BE"/>
    <w:rsid w:val="00E54BD3"/>
    <w:rsid w:val="00E55FA1"/>
    <w:rsid w:val="00E57D00"/>
    <w:rsid w:val="00E61BCD"/>
    <w:rsid w:val="00E649A5"/>
    <w:rsid w:val="00E73B5D"/>
    <w:rsid w:val="00E75801"/>
    <w:rsid w:val="00E81149"/>
    <w:rsid w:val="00E83AF6"/>
    <w:rsid w:val="00E8545A"/>
    <w:rsid w:val="00E92494"/>
    <w:rsid w:val="00E92DF1"/>
    <w:rsid w:val="00E93671"/>
    <w:rsid w:val="00EA6874"/>
    <w:rsid w:val="00EB13D3"/>
    <w:rsid w:val="00EB7002"/>
    <w:rsid w:val="00ED4192"/>
    <w:rsid w:val="00EE5D5F"/>
    <w:rsid w:val="00EF56A1"/>
    <w:rsid w:val="00F03E83"/>
    <w:rsid w:val="00F05B06"/>
    <w:rsid w:val="00F10C1C"/>
    <w:rsid w:val="00F13D8F"/>
    <w:rsid w:val="00F14154"/>
    <w:rsid w:val="00F17C36"/>
    <w:rsid w:val="00F20568"/>
    <w:rsid w:val="00F260CE"/>
    <w:rsid w:val="00F2764F"/>
    <w:rsid w:val="00F27F72"/>
    <w:rsid w:val="00F324E7"/>
    <w:rsid w:val="00F3388F"/>
    <w:rsid w:val="00F33DCF"/>
    <w:rsid w:val="00F476F8"/>
    <w:rsid w:val="00F5773E"/>
    <w:rsid w:val="00F717DF"/>
    <w:rsid w:val="00F720CC"/>
    <w:rsid w:val="00F76F25"/>
    <w:rsid w:val="00F8180C"/>
    <w:rsid w:val="00F83DA9"/>
    <w:rsid w:val="00F85566"/>
    <w:rsid w:val="00F9487E"/>
    <w:rsid w:val="00F954F2"/>
    <w:rsid w:val="00F96A33"/>
    <w:rsid w:val="00FA36CB"/>
    <w:rsid w:val="00FB0D78"/>
    <w:rsid w:val="00FB41D1"/>
    <w:rsid w:val="00FC1A7E"/>
    <w:rsid w:val="00FC3D67"/>
    <w:rsid w:val="00FD4DB5"/>
    <w:rsid w:val="00FD7AAE"/>
    <w:rsid w:val="00FE5283"/>
    <w:rsid w:val="00FF170B"/>
    <w:rsid w:val="00FF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efaultImageDpi w14:val="330"/>
  <w15:docId w15:val="{BAEBF8AC-6D7F-4A62-A085-8163A629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color w:val="000000" w:themeColor="text1"/>
        <w:sz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F44"/>
    <w:pPr>
      <w:jc w:val="both"/>
    </w:pPr>
    <w:rPr>
      <w:color w:val="232B38"/>
    </w:rPr>
  </w:style>
  <w:style w:type="paragraph" w:styleId="Heading1">
    <w:name w:val="heading 1"/>
    <w:basedOn w:val="Normal"/>
    <w:next w:val="Normal"/>
    <w:link w:val="Heading1Char"/>
    <w:qFormat/>
    <w:rsid w:val="004978E4"/>
    <w:pPr>
      <w:keepNext/>
      <w:keepLines/>
      <w:spacing w:before="240"/>
      <w:outlineLvl w:val="0"/>
    </w:pPr>
    <w:rPr>
      <w:rFonts w:eastAsiaTheme="majorEastAsia" w:cstheme="majorBidi"/>
      <w:b/>
      <w:color w:val="3D98D1"/>
      <w:sz w:val="36"/>
      <w:szCs w:val="32"/>
    </w:rPr>
  </w:style>
  <w:style w:type="paragraph" w:styleId="Heading2">
    <w:name w:val="heading 2"/>
    <w:basedOn w:val="Normal"/>
    <w:next w:val="Normal"/>
    <w:link w:val="Heading2Char"/>
    <w:unhideWhenUsed/>
    <w:qFormat/>
    <w:rsid w:val="00DA432B"/>
    <w:pPr>
      <w:keepNext/>
      <w:keepLines/>
      <w:spacing w:before="480" w:after="80" w:line="280" w:lineRule="atLeast"/>
      <w:outlineLvl w:val="1"/>
    </w:pPr>
    <w:rPr>
      <w:rFonts w:eastAsiaTheme="majorEastAsia" w:cstheme="majorBidi"/>
      <w:b/>
      <w:color w:val="3F392A"/>
      <w:sz w:val="32"/>
      <w:szCs w:val="26"/>
      <w:lang w:val="fr-FR"/>
    </w:rPr>
  </w:style>
  <w:style w:type="paragraph" w:styleId="Heading3">
    <w:name w:val="heading 3"/>
    <w:basedOn w:val="Normal"/>
    <w:next w:val="Normal"/>
    <w:link w:val="Heading3Char"/>
    <w:unhideWhenUsed/>
    <w:qFormat/>
    <w:rsid w:val="004978E4"/>
    <w:pPr>
      <w:keepNext/>
      <w:keepLines/>
      <w:numPr>
        <w:numId w:val="7"/>
      </w:numPr>
      <w:spacing w:before="480" w:after="80" w:line="400" w:lineRule="atLeast"/>
      <w:outlineLvl w:val="2"/>
    </w:pPr>
    <w:rPr>
      <w:rFonts w:eastAsiaTheme="majorEastAsia" w:cstheme="majorBidi"/>
      <w:b/>
      <w:color w:val="686657"/>
      <w:sz w:val="30"/>
      <w:szCs w:val="24"/>
    </w:rPr>
  </w:style>
  <w:style w:type="paragraph" w:styleId="Heading4">
    <w:name w:val="heading 4"/>
    <w:basedOn w:val="Normal"/>
    <w:next w:val="Normal"/>
    <w:link w:val="Heading4Char"/>
    <w:unhideWhenUsed/>
    <w:qFormat/>
    <w:rsid w:val="00922F44"/>
    <w:pPr>
      <w:keepNext/>
      <w:keepLines/>
      <w:spacing w:before="480" w:after="80" w:line="320" w:lineRule="atLeast"/>
      <w:outlineLvl w:val="3"/>
    </w:pPr>
    <w:rPr>
      <w:rFonts w:eastAsiaTheme="majorEastAsia" w:cstheme="majorBidi"/>
      <w:b/>
      <w:iCs/>
      <w:color w:val="686657"/>
      <w:sz w:val="28"/>
    </w:rPr>
  </w:style>
  <w:style w:type="paragraph" w:styleId="Heading5">
    <w:name w:val="heading 5"/>
    <w:basedOn w:val="Normal"/>
    <w:next w:val="Normal"/>
    <w:link w:val="Heading5Char"/>
    <w:unhideWhenUsed/>
    <w:qFormat/>
    <w:rsid w:val="00922F44"/>
    <w:pPr>
      <w:keepNext/>
      <w:keepLines/>
      <w:spacing w:before="480"/>
      <w:outlineLvl w:val="4"/>
    </w:pPr>
    <w:rPr>
      <w:rFonts w:eastAsiaTheme="majorEastAsia" w:cstheme="majorBidi"/>
      <w:color w:val="686657"/>
      <w:sz w:val="26"/>
    </w:rPr>
  </w:style>
  <w:style w:type="paragraph" w:styleId="Heading6">
    <w:name w:val="heading 6"/>
    <w:basedOn w:val="Normal"/>
    <w:next w:val="Normal"/>
    <w:link w:val="Heading6Char"/>
    <w:unhideWhenUsed/>
    <w:qFormat/>
    <w:rsid w:val="00887B9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887B9C"/>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78E4"/>
    <w:rPr>
      <w:rFonts w:eastAsiaTheme="majorEastAsia" w:cstheme="majorBidi"/>
      <w:b/>
      <w:color w:val="3D98D1"/>
      <w:sz w:val="36"/>
      <w:szCs w:val="32"/>
    </w:rPr>
  </w:style>
  <w:style w:type="character" w:customStyle="1" w:styleId="Heading2Char">
    <w:name w:val="Heading 2 Char"/>
    <w:basedOn w:val="DefaultParagraphFont"/>
    <w:link w:val="Heading2"/>
    <w:rsid w:val="00DA432B"/>
    <w:rPr>
      <w:rFonts w:eastAsiaTheme="majorEastAsia" w:cstheme="majorBidi"/>
      <w:b/>
      <w:color w:val="3F392A"/>
      <w:sz w:val="32"/>
      <w:szCs w:val="26"/>
      <w:lang w:val="fr-FR"/>
    </w:rPr>
  </w:style>
  <w:style w:type="character" w:customStyle="1" w:styleId="Heading3Char">
    <w:name w:val="Heading 3 Char"/>
    <w:basedOn w:val="DefaultParagraphFont"/>
    <w:link w:val="Heading3"/>
    <w:rsid w:val="004978E4"/>
    <w:rPr>
      <w:rFonts w:eastAsiaTheme="majorEastAsia" w:cstheme="majorBidi"/>
      <w:b/>
      <w:color w:val="686657"/>
      <w:sz w:val="30"/>
      <w:szCs w:val="24"/>
    </w:rPr>
  </w:style>
  <w:style w:type="character" w:customStyle="1" w:styleId="Heading4Char">
    <w:name w:val="Heading 4 Char"/>
    <w:basedOn w:val="DefaultParagraphFont"/>
    <w:link w:val="Heading4"/>
    <w:rsid w:val="00922F44"/>
    <w:rPr>
      <w:rFonts w:eastAsiaTheme="majorEastAsia" w:cstheme="majorBidi"/>
      <w:b/>
      <w:iCs/>
      <w:color w:val="686657"/>
      <w:sz w:val="28"/>
    </w:rPr>
  </w:style>
  <w:style w:type="character" w:customStyle="1" w:styleId="Heading5Char">
    <w:name w:val="Heading 5 Char"/>
    <w:basedOn w:val="DefaultParagraphFont"/>
    <w:link w:val="Heading5"/>
    <w:rsid w:val="00922F44"/>
    <w:rPr>
      <w:rFonts w:eastAsiaTheme="majorEastAsia" w:cstheme="majorBidi"/>
      <w:color w:val="686657"/>
      <w:sz w:val="26"/>
    </w:rPr>
  </w:style>
  <w:style w:type="character" w:customStyle="1" w:styleId="Heading6Char">
    <w:name w:val="Heading 6 Char"/>
    <w:basedOn w:val="DefaultParagraphFont"/>
    <w:link w:val="Heading6"/>
    <w:rsid w:val="00887B9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887B9C"/>
    <w:rPr>
      <w:rFonts w:asciiTheme="majorHAnsi" w:eastAsiaTheme="majorEastAsia" w:hAnsiTheme="majorHAnsi" w:cstheme="majorBidi"/>
      <w:i/>
      <w:iCs/>
      <w:color w:val="1F4D78" w:themeColor="accent1" w:themeShade="7F"/>
    </w:rPr>
  </w:style>
  <w:style w:type="table" w:styleId="TableGrid">
    <w:name w:val="Table Grid"/>
    <w:basedOn w:val="TableNormal"/>
    <w:rsid w:val="0017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A02ED"/>
    <w:pPr>
      <w:tabs>
        <w:tab w:val="center" w:pos="4320"/>
        <w:tab w:val="right" w:pos="8640"/>
      </w:tabs>
    </w:pPr>
  </w:style>
  <w:style w:type="character" w:customStyle="1" w:styleId="FooterChar">
    <w:name w:val="Footer Char"/>
    <w:basedOn w:val="DefaultParagraphFont"/>
    <w:link w:val="Footer"/>
    <w:uiPriority w:val="99"/>
    <w:rsid w:val="00E0616D"/>
  </w:style>
  <w:style w:type="character" w:styleId="Hyperlink">
    <w:name w:val="Hyperlink"/>
    <w:basedOn w:val="DefaultParagraphFont"/>
    <w:uiPriority w:val="99"/>
    <w:rsid w:val="00B55306"/>
    <w:rPr>
      <w:color w:val="2E74B5" w:themeColor="accent1" w:themeShade="BF"/>
      <w:u w:val="single"/>
    </w:rPr>
  </w:style>
  <w:style w:type="paragraph" w:styleId="BalloonText">
    <w:name w:val="Balloon Text"/>
    <w:basedOn w:val="Normal"/>
    <w:semiHidden/>
    <w:rsid w:val="00EE5D5F"/>
    <w:rPr>
      <w:rFonts w:ascii="Tahoma" w:hAnsi="Tahoma" w:cs="Tahoma"/>
      <w:sz w:val="16"/>
      <w:szCs w:val="16"/>
    </w:rPr>
  </w:style>
  <w:style w:type="paragraph" w:customStyle="1" w:styleId="BodyText1">
    <w:name w:val="Body Text1"/>
    <w:basedOn w:val="Normal"/>
    <w:qFormat/>
    <w:rsid w:val="00922F44"/>
    <w:pPr>
      <w:spacing w:before="240" w:after="120" w:line="320" w:lineRule="exact"/>
    </w:pPr>
  </w:style>
  <w:style w:type="paragraph" w:customStyle="1" w:styleId="DocumentTitle">
    <w:name w:val="Document Title"/>
    <w:basedOn w:val="Normal"/>
    <w:rsid w:val="004978E4"/>
    <w:pPr>
      <w:spacing w:before="2400" w:after="120"/>
      <w:outlineLvl w:val="0"/>
    </w:pPr>
    <w:rPr>
      <w:rFonts w:eastAsia="Times"/>
      <w:b/>
      <w:color w:val="003399"/>
      <w:kern w:val="28"/>
      <w:sz w:val="40"/>
      <w:szCs w:val="48"/>
      <w:lang w:val="fr-FR" w:eastAsia="fr-FR"/>
    </w:rPr>
  </w:style>
  <w:style w:type="paragraph" w:customStyle="1" w:styleId="DocumentSubTitle">
    <w:name w:val="Document SubTitle"/>
    <w:basedOn w:val="Normal"/>
    <w:next w:val="Normal"/>
    <w:rsid w:val="00805B7F"/>
    <w:pPr>
      <w:spacing w:after="720"/>
    </w:pPr>
    <w:rPr>
      <w:rFonts w:eastAsia="Times"/>
      <w:b/>
      <w:color w:val="3D98D1"/>
      <w:sz w:val="28"/>
      <w:szCs w:val="28"/>
      <w:lang w:val="fr-FR" w:eastAsia="fr-FR"/>
    </w:rPr>
  </w:style>
  <w:style w:type="paragraph" w:customStyle="1" w:styleId="Summary">
    <w:name w:val="Summary"/>
    <w:basedOn w:val="Normal"/>
    <w:next w:val="Normal"/>
    <w:rsid w:val="0036455B"/>
    <w:pPr>
      <w:shd w:val="clear" w:color="F2F2F2" w:themeColor="background1" w:themeShade="F2" w:fill="auto"/>
      <w:spacing w:before="240" w:after="240" w:line="320" w:lineRule="exact"/>
      <w:ind w:left="284" w:right="284"/>
    </w:pPr>
    <w:rPr>
      <w:rFonts w:eastAsia="Times"/>
      <w:color w:val="686657"/>
      <w:sz w:val="20"/>
      <w:lang w:val="fr-FR" w:eastAsia="fr-FR"/>
    </w:rPr>
  </w:style>
  <w:style w:type="paragraph" w:styleId="TOC1">
    <w:name w:val="toc 1"/>
    <w:basedOn w:val="Normal"/>
    <w:next w:val="Normal"/>
    <w:autoRedefine/>
    <w:uiPriority w:val="39"/>
    <w:rsid w:val="000954E2"/>
    <w:pPr>
      <w:spacing w:before="120" w:after="120"/>
    </w:pPr>
    <w:rPr>
      <w:b/>
      <w:bCs/>
      <w:sz w:val="24"/>
      <w:szCs w:val="24"/>
    </w:rPr>
  </w:style>
  <w:style w:type="paragraph" w:styleId="TOC2">
    <w:name w:val="toc 2"/>
    <w:basedOn w:val="Normal"/>
    <w:next w:val="Normal"/>
    <w:autoRedefine/>
    <w:uiPriority w:val="39"/>
    <w:rsid w:val="000954E2"/>
    <w:pPr>
      <w:spacing w:before="120" w:after="120"/>
      <w:ind w:left="221"/>
    </w:pPr>
    <w:rPr>
      <w:b/>
      <w:bCs/>
      <w:szCs w:val="22"/>
    </w:rPr>
  </w:style>
  <w:style w:type="paragraph" w:styleId="Revision">
    <w:name w:val="Revision"/>
    <w:hidden/>
    <w:uiPriority w:val="99"/>
    <w:semiHidden/>
    <w:rsid w:val="00F27F72"/>
    <w:rPr>
      <w:color w:val="232B38"/>
    </w:rPr>
  </w:style>
  <w:style w:type="paragraph" w:styleId="TOC3">
    <w:name w:val="toc 3"/>
    <w:basedOn w:val="Normal"/>
    <w:next w:val="Normal"/>
    <w:autoRedefine/>
    <w:uiPriority w:val="39"/>
    <w:rsid w:val="000954E2"/>
    <w:pPr>
      <w:ind w:left="440"/>
    </w:pPr>
    <w:rPr>
      <w:szCs w:val="22"/>
    </w:rPr>
  </w:style>
  <w:style w:type="paragraph" w:styleId="TOC4">
    <w:name w:val="toc 4"/>
    <w:basedOn w:val="Normal"/>
    <w:next w:val="Normal"/>
    <w:autoRedefine/>
    <w:uiPriority w:val="39"/>
    <w:rsid w:val="00782822"/>
    <w:pPr>
      <w:ind w:left="660"/>
    </w:pPr>
    <w:rPr>
      <w:rFonts w:asciiTheme="minorHAnsi" w:hAnsiTheme="minorHAnsi"/>
      <w:sz w:val="20"/>
    </w:rPr>
  </w:style>
  <w:style w:type="paragraph" w:styleId="TOCHeading">
    <w:name w:val="TOC Heading"/>
    <w:basedOn w:val="Heading1"/>
    <w:next w:val="Normal"/>
    <w:uiPriority w:val="39"/>
    <w:unhideWhenUsed/>
    <w:qFormat/>
    <w:rsid w:val="004978E4"/>
    <w:pPr>
      <w:spacing w:after="480"/>
      <w:outlineLvl w:val="9"/>
    </w:pPr>
    <w:rPr>
      <w:b w:val="0"/>
      <w:color w:val="686657"/>
    </w:rPr>
  </w:style>
  <w:style w:type="paragraph" w:styleId="Header">
    <w:name w:val="header"/>
    <w:basedOn w:val="Normal"/>
    <w:link w:val="HeaderChar"/>
    <w:rsid w:val="004567AD"/>
    <w:pPr>
      <w:tabs>
        <w:tab w:val="center" w:pos="4513"/>
        <w:tab w:val="right" w:pos="9026"/>
      </w:tabs>
    </w:pPr>
  </w:style>
  <w:style w:type="character" w:customStyle="1" w:styleId="HeaderChar">
    <w:name w:val="Header Char"/>
    <w:basedOn w:val="DefaultParagraphFont"/>
    <w:link w:val="Header"/>
    <w:rsid w:val="004567AD"/>
    <w:rPr>
      <w:color w:val="232B38"/>
    </w:rPr>
  </w:style>
  <w:style w:type="paragraph" w:styleId="ListParagraph">
    <w:name w:val="List Paragraph"/>
    <w:basedOn w:val="Normal"/>
    <w:uiPriority w:val="34"/>
    <w:qFormat/>
    <w:rsid w:val="00CB19C2"/>
    <w:pPr>
      <w:ind w:left="720"/>
      <w:contextualSpacing/>
    </w:pPr>
  </w:style>
  <w:style w:type="paragraph" w:styleId="Caption">
    <w:name w:val="caption"/>
    <w:basedOn w:val="Normal"/>
    <w:next w:val="Normal"/>
    <w:unhideWhenUsed/>
    <w:qFormat/>
    <w:rsid w:val="005F4A93"/>
    <w:pPr>
      <w:spacing w:before="120" w:after="120"/>
    </w:pPr>
    <w:rPr>
      <w:rFonts w:cs="Arial"/>
      <w:b/>
      <w:bCs/>
      <w:color w:val="auto"/>
      <w:szCs w:val="22"/>
      <w:lang w:val="fr-FR" w:eastAsia="fr-FR"/>
    </w:rPr>
  </w:style>
  <w:style w:type="paragraph" w:styleId="Subtitle">
    <w:name w:val="Subtitle"/>
    <w:basedOn w:val="Normal"/>
    <w:next w:val="Normal"/>
    <w:link w:val="SubtitleChar"/>
    <w:qFormat/>
    <w:rsid w:val="00093CC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093CC2"/>
    <w:rPr>
      <w:rFonts w:asciiTheme="minorHAnsi" w:eastAsiaTheme="minorEastAsia" w:hAnsiTheme="minorHAnsi" w:cstheme="minorBidi"/>
      <w:color w:val="5A5A5A" w:themeColor="text1" w:themeTint="A5"/>
      <w:spacing w:val="15"/>
      <w:szCs w:val="22"/>
    </w:rPr>
  </w:style>
  <w:style w:type="paragraph" w:styleId="Closing">
    <w:name w:val="Closing"/>
    <w:basedOn w:val="Normal"/>
    <w:link w:val="ClosingChar"/>
    <w:rsid w:val="00BD65A4"/>
    <w:pPr>
      <w:spacing w:before="120" w:after="120"/>
      <w:ind w:left="4252"/>
    </w:pPr>
    <w:rPr>
      <w:rFonts w:cs="Arial"/>
      <w:color w:val="auto"/>
      <w:szCs w:val="22"/>
      <w:lang w:val="fr-FR" w:eastAsia="fr-FR"/>
    </w:rPr>
  </w:style>
  <w:style w:type="character" w:customStyle="1" w:styleId="ClosingChar">
    <w:name w:val="Closing Char"/>
    <w:basedOn w:val="DefaultParagraphFont"/>
    <w:link w:val="Closing"/>
    <w:rsid w:val="00BD65A4"/>
    <w:rPr>
      <w:rFonts w:cs="Arial"/>
      <w:color w:val="auto"/>
      <w:szCs w:val="22"/>
      <w:lang w:val="fr-FR" w:eastAsia="fr-FR"/>
    </w:rPr>
  </w:style>
  <w:style w:type="paragraph" w:customStyle="1" w:styleId="SubTitle2">
    <w:name w:val="SubTitle2"/>
    <w:basedOn w:val="Normal"/>
    <w:next w:val="Normal"/>
    <w:rsid w:val="005F71F3"/>
    <w:pPr>
      <w:pBdr>
        <w:bottom w:val="single" w:sz="4" w:space="1" w:color="auto"/>
      </w:pBdr>
      <w:spacing w:before="120" w:after="1000"/>
    </w:pPr>
    <w:rPr>
      <w:rFonts w:eastAsia="Times" w:cs="Arial"/>
      <w:color w:val="auto"/>
      <w:szCs w:val="22"/>
      <w:lang w:val="fr-FR" w:eastAsia="fr-FR"/>
    </w:rPr>
  </w:style>
  <w:style w:type="paragraph" w:styleId="TOC5">
    <w:name w:val="toc 5"/>
    <w:basedOn w:val="Normal"/>
    <w:next w:val="Normal"/>
    <w:autoRedefine/>
    <w:uiPriority w:val="39"/>
    <w:unhideWhenUsed/>
    <w:rsid w:val="00CB76B6"/>
    <w:pPr>
      <w:spacing w:after="100" w:line="259" w:lineRule="auto"/>
      <w:ind w:left="880"/>
      <w:jc w:val="left"/>
    </w:pPr>
    <w:rPr>
      <w:rFonts w:asciiTheme="minorHAnsi" w:eastAsiaTheme="minorEastAsia" w:hAnsiTheme="minorHAnsi" w:cstheme="minorBidi"/>
      <w:color w:val="auto"/>
      <w:szCs w:val="22"/>
    </w:rPr>
  </w:style>
  <w:style w:type="paragraph" w:styleId="TOC6">
    <w:name w:val="toc 6"/>
    <w:basedOn w:val="Normal"/>
    <w:next w:val="Normal"/>
    <w:autoRedefine/>
    <w:uiPriority w:val="39"/>
    <w:unhideWhenUsed/>
    <w:rsid w:val="00CB76B6"/>
    <w:pPr>
      <w:spacing w:after="100" w:line="259" w:lineRule="auto"/>
      <w:ind w:left="110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CB76B6"/>
    <w:pPr>
      <w:spacing w:after="100" w:line="259" w:lineRule="auto"/>
      <w:ind w:left="132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CB76B6"/>
    <w:pPr>
      <w:spacing w:after="100" w:line="259" w:lineRule="auto"/>
      <w:ind w:left="154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CB76B6"/>
    <w:pPr>
      <w:spacing w:after="100" w:line="259" w:lineRule="auto"/>
      <w:ind w:left="1760"/>
      <w:jc w:val="left"/>
    </w:pPr>
    <w:rPr>
      <w:rFonts w:asciiTheme="minorHAnsi" w:eastAsiaTheme="minorEastAsia" w:hAnsiTheme="minorHAnsi" w:cstheme="minorBidi"/>
      <w:color w:val="auto"/>
      <w:szCs w:val="22"/>
    </w:rPr>
  </w:style>
  <w:style w:type="character" w:customStyle="1" w:styleId="tgc">
    <w:name w:val="_tgc"/>
    <w:basedOn w:val="DefaultParagraphFont"/>
    <w:rsid w:val="00B07388"/>
  </w:style>
  <w:style w:type="paragraph" w:styleId="NormalWeb">
    <w:name w:val="Normal (Web)"/>
    <w:basedOn w:val="Normal"/>
    <w:uiPriority w:val="99"/>
    <w:unhideWhenUsed/>
    <w:rsid w:val="001F56D7"/>
    <w:pPr>
      <w:jc w:val="left"/>
    </w:pPr>
    <w:rPr>
      <w:rFonts w:ascii="Times New Roman" w:eastAsiaTheme="minorHAnsi" w:hAnsi="Times New Roman"/>
      <w:color w:val="auto"/>
      <w:sz w:val="24"/>
      <w:szCs w:val="24"/>
      <w:lang w:val="fr-BE" w:eastAsia="fr-BE"/>
    </w:rPr>
  </w:style>
  <w:style w:type="paragraph" w:customStyle="1" w:styleId="Default">
    <w:name w:val="Default"/>
    <w:rsid w:val="00E3221E"/>
    <w:pPr>
      <w:autoSpaceDE w:val="0"/>
      <w:autoSpaceDN w:val="0"/>
      <w:adjustRightInd w:val="0"/>
    </w:pPr>
    <w:rPr>
      <w:rFonts w:cs="Arial"/>
      <w:color w:val="000000"/>
      <w:sz w:val="24"/>
      <w:szCs w:val="24"/>
      <w:lang w:val="fr-BE"/>
    </w:rPr>
  </w:style>
  <w:style w:type="paragraph" w:customStyle="1" w:styleId="References">
    <w:name w:val="References"/>
    <w:basedOn w:val="Normal"/>
    <w:rsid w:val="00457210"/>
    <w:pPr>
      <w:spacing w:before="120"/>
    </w:pPr>
    <w:rPr>
      <w:b/>
      <w:color w:val="auto"/>
      <w:lang w:val="fr-FR" w:eastAsia="fr-FR"/>
    </w:rPr>
  </w:style>
  <w:style w:type="character" w:customStyle="1" w:styleId="tlid-translation">
    <w:name w:val="tlid-translation"/>
    <w:basedOn w:val="DefaultParagraphFont"/>
    <w:rsid w:val="00D10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8133">
      <w:bodyDiv w:val="1"/>
      <w:marLeft w:val="0"/>
      <w:marRight w:val="0"/>
      <w:marTop w:val="0"/>
      <w:marBottom w:val="0"/>
      <w:divBdr>
        <w:top w:val="none" w:sz="0" w:space="0" w:color="auto"/>
        <w:left w:val="none" w:sz="0" w:space="0" w:color="auto"/>
        <w:bottom w:val="none" w:sz="0" w:space="0" w:color="auto"/>
        <w:right w:val="none" w:sz="0" w:space="0" w:color="auto"/>
      </w:divBdr>
    </w:div>
    <w:div w:id="56782579">
      <w:bodyDiv w:val="1"/>
      <w:marLeft w:val="0"/>
      <w:marRight w:val="0"/>
      <w:marTop w:val="0"/>
      <w:marBottom w:val="0"/>
      <w:divBdr>
        <w:top w:val="none" w:sz="0" w:space="0" w:color="auto"/>
        <w:left w:val="none" w:sz="0" w:space="0" w:color="auto"/>
        <w:bottom w:val="none" w:sz="0" w:space="0" w:color="auto"/>
        <w:right w:val="none" w:sz="0" w:space="0" w:color="auto"/>
      </w:divBdr>
    </w:div>
    <w:div w:id="57637499">
      <w:bodyDiv w:val="1"/>
      <w:marLeft w:val="0"/>
      <w:marRight w:val="0"/>
      <w:marTop w:val="0"/>
      <w:marBottom w:val="0"/>
      <w:divBdr>
        <w:top w:val="none" w:sz="0" w:space="0" w:color="auto"/>
        <w:left w:val="none" w:sz="0" w:space="0" w:color="auto"/>
        <w:bottom w:val="none" w:sz="0" w:space="0" w:color="auto"/>
        <w:right w:val="none" w:sz="0" w:space="0" w:color="auto"/>
      </w:divBdr>
    </w:div>
    <w:div w:id="174002508">
      <w:bodyDiv w:val="1"/>
      <w:marLeft w:val="0"/>
      <w:marRight w:val="0"/>
      <w:marTop w:val="0"/>
      <w:marBottom w:val="0"/>
      <w:divBdr>
        <w:top w:val="none" w:sz="0" w:space="0" w:color="auto"/>
        <w:left w:val="none" w:sz="0" w:space="0" w:color="auto"/>
        <w:bottom w:val="none" w:sz="0" w:space="0" w:color="auto"/>
        <w:right w:val="none" w:sz="0" w:space="0" w:color="auto"/>
      </w:divBdr>
    </w:div>
    <w:div w:id="196552892">
      <w:bodyDiv w:val="1"/>
      <w:marLeft w:val="0"/>
      <w:marRight w:val="0"/>
      <w:marTop w:val="0"/>
      <w:marBottom w:val="0"/>
      <w:divBdr>
        <w:top w:val="none" w:sz="0" w:space="0" w:color="auto"/>
        <w:left w:val="none" w:sz="0" w:space="0" w:color="auto"/>
        <w:bottom w:val="none" w:sz="0" w:space="0" w:color="auto"/>
        <w:right w:val="none" w:sz="0" w:space="0" w:color="auto"/>
      </w:divBdr>
    </w:div>
    <w:div w:id="218170190">
      <w:bodyDiv w:val="1"/>
      <w:marLeft w:val="0"/>
      <w:marRight w:val="0"/>
      <w:marTop w:val="0"/>
      <w:marBottom w:val="0"/>
      <w:divBdr>
        <w:top w:val="none" w:sz="0" w:space="0" w:color="auto"/>
        <w:left w:val="none" w:sz="0" w:space="0" w:color="auto"/>
        <w:bottom w:val="none" w:sz="0" w:space="0" w:color="auto"/>
        <w:right w:val="none" w:sz="0" w:space="0" w:color="auto"/>
      </w:divBdr>
    </w:div>
    <w:div w:id="335377091">
      <w:bodyDiv w:val="1"/>
      <w:marLeft w:val="0"/>
      <w:marRight w:val="0"/>
      <w:marTop w:val="0"/>
      <w:marBottom w:val="0"/>
      <w:divBdr>
        <w:top w:val="none" w:sz="0" w:space="0" w:color="auto"/>
        <w:left w:val="none" w:sz="0" w:space="0" w:color="auto"/>
        <w:bottom w:val="none" w:sz="0" w:space="0" w:color="auto"/>
        <w:right w:val="none" w:sz="0" w:space="0" w:color="auto"/>
      </w:divBdr>
    </w:div>
    <w:div w:id="339703889">
      <w:bodyDiv w:val="1"/>
      <w:marLeft w:val="0"/>
      <w:marRight w:val="0"/>
      <w:marTop w:val="0"/>
      <w:marBottom w:val="0"/>
      <w:divBdr>
        <w:top w:val="none" w:sz="0" w:space="0" w:color="auto"/>
        <w:left w:val="none" w:sz="0" w:space="0" w:color="auto"/>
        <w:bottom w:val="none" w:sz="0" w:space="0" w:color="auto"/>
        <w:right w:val="none" w:sz="0" w:space="0" w:color="auto"/>
      </w:divBdr>
    </w:div>
    <w:div w:id="395856575">
      <w:bodyDiv w:val="1"/>
      <w:marLeft w:val="0"/>
      <w:marRight w:val="0"/>
      <w:marTop w:val="0"/>
      <w:marBottom w:val="0"/>
      <w:divBdr>
        <w:top w:val="none" w:sz="0" w:space="0" w:color="auto"/>
        <w:left w:val="none" w:sz="0" w:space="0" w:color="auto"/>
        <w:bottom w:val="none" w:sz="0" w:space="0" w:color="auto"/>
        <w:right w:val="none" w:sz="0" w:space="0" w:color="auto"/>
      </w:divBdr>
    </w:div>
    <w:div w:id="408041889">
      <w:bodyDiv w:val="1"/>
      <w:marLeft w:val="0"/>
      <w:marRight w:val="0"/>
      <w:marTop w:val="0"/>
      <w:marBottom w:val="0"/>
      <w:divBdr>
        <w:top w:val="none" w:sz="0" w:space="0" w:color="auto"/>
        <w:left w:val="none" w:sz="0" w:space="0" w:color="auto"/>
        <w:bottom w:val="none" w:sz="0" w:space="0" w:color="auto"/>
        <w:right w:val="none" w:sz="0" w:space="0" w:color="auto"/>
      </w:divBdr>
      <w:divsChild>
        <w:div w:id="1764952624">
          <w:marLeft w:val="0"/>
          <w:marRight w:val="0"/>
          <w:marTop w:val="0"/>
          <w:marBottom w:val="0"/>
          <w:divBdr>
            <w:top w:val="none" w:sz="0" w:space="0" w:color="auto"/>
            <w:left w:val="none" w:sz="0" w:space="0" w:color="auto"/>
            <w:bottom w:val="none" w:sz="0" w:space="0" w:color="auto"/>
            <w:right w:val="none" w:sz="0" w:space="0" w:color="auto"/>
          </w:divBdr>
        </w:div>
        <w:div w:id="1535075067">
          <w:marLeft w:val="0"/>
          <w:marRight w:val="0"/>
          <w:marTop w:val="0"/>
          <w:marBottom w:val="0"/>
          <w:divBdr>
            <w:top w:val="none" w:sz="0" w:space="0" w:color="auto"/>
            <w:left w:val="none" w:sz="0" w:space="0" w:color="auto"/>
            <w:bottom w:val="none" w:sz="0" w:space="0" w:color="auto"/>
            <w:right w:val="none" w:sz="0" w:space="0" w:color="auto"/>
          </w:divBdr>
        </w:div>
        <w:div w:id="1512722645">
          <w:marLeft w:val="0"/>
          <w:marRight w:val="0"/>
          <w:marTop w:val="0"/>
          <w:marBottom w:val="0"/>
          <w:divBdr>
            <w:top w:val="none" w:sz="0" w:space="0" w:color="auto"/>
            <w:left w:val="none" w:sz="0" w:space="0" w:color="auto"/>
            <w:bottom w:val="none" w:sz="0" w:space="0" w:color="auto"/>
            <w:right w:val="none" w:sz="0" w:space="0" w:color="auto"/>
          </w:divBdr>
        </w:div>
      </w:divsChild>
    </w:div>
    <w:div w:id="412630033">
      <w:bodyDiv w:val="1"/>
      <w:marLeft w:val="0"/>
      <w:marRight w:val="0"/>
      <w:marTop w:val="0"/>
      <w:marBottom w:val="0"/>
      <w:divBdr>
        <w:top w:val="none" w:sz="0" w:space="0" w:color="auto"/>
        <w:left w:val="none" w:sz="0" w:space="0" w:color="auto"/>
        <w:bottom w:val="none" w:sz="0" w:space="0" w:color="auto"/>
        <w:right w:val="none" w:sz="0" w:space="0" w:color="auto"/>
      </w:divBdr>
    </w:div>
    <w:div w:id="428548704">
      <w:bodyDiv w:val="1"/>
      <w:marLeft w:val="0"/>
      <w:marRight w:val="0"/>
      <w:marTop w:val="0"/>
      <w:marBottom w:val="0"/>
      <w:divBdr>
        <w:top w:val="none" w:sz="0" w:space="0" w:color="auto"/>
        <w:left w:val="none" w:sz="0" w:space="0" w:color="auto"/>
        <w:bottom w:val="none" w:sz="0" w:space="0" w:color="auto"/>
        <w:right w:val="none" w:sz="0" w:space="0" w:color="auto"/>
      </w:divBdr>
    </w:div>
    <w:div w:id="634680828">
      <w:bodyDiv w:val="1"/>
      <w:marLeft w:val="0"/>
      <w:marRight w:val="0"/>
      <w:marTop w:val="0"/>
      <w:marBottom w:val="0"/>
      <w:divBdr>
        <w:top w:val="none" w:sz="0" w:space="0" w:color="auto"/>
        <w:left w:val="none" w:sz="0" w:space="0" w:color="auto"/>
        <w:bottom w:val="none" w:sz="0" w:space="0" w:color="auto"/>
        <w:right w:val="none" w:sz="0" w:space="0" w:color="auto"/>
      </w:divBdr>
    </w:div>
    <w:div w:id="650714761">
      <w:bodyDiv w:val="1"/>
      <w:marLeft w:val="0"/>
      <w:marRight w:val="0"/>
      <w:marTop w:val="0"/>
      <w:marBottom w:val="0"/>
      <w:divBdr>
        <w:top w:val="none" w:sz="0" w:space="0" w:color="auto"/>
        <w:left w:val="none" w:sz="0" w:space="0" w:color="auto"/>
        <w:bottom w:val="none" w:sz="0" w:space="0" w:color="auto"/>
        <w:right w:val="none" w:sz="0" w:space="0" w:color="auto"/>
      </w:divBdr>
    </w:div>
    <w:div w:id="699428164">
      <w:bodyDiv w:val="1"/>
      <w:marLeft w:val="0"/>
      <w:marRight w:val="0"/>
      <w:marTop w:val="0"/>
      <w:marBottom w:val="0"/>
      <w:divBdr>
        <w:top w:val="none" w:sz="0" w:space="0" w:color="auto"/>
        <w:left w:val="none" w:sz="0" w:space="0" w:color="auto"/>
        <w:bottom w:val="none" w:sz="0" w:space="0" w:color="auto"/>
        <w:right w:val="none" w:sz="0" w:space="0" w:color="auto"/>
      </w:divBdr>
    </w:div>
    <w:div w:id="749278926">
      <w:bodyDiv w:val="1"/>
      <w:marLeft w:val="0"/>
      <w:marRight w:val="0"/>
      <w:marTop w:val="0"/>
      <w:marBottom w:val="0"/>
      <w:divBdr>
        <w:top w:val="none" w:sz="0" w:space="0" w:color="auto"/>
        <w:left w:val="none" w:sz="0" w:space="0" w:color="auto"/>
        <w:bottom w:val="none" w:sz="0" w:space="0" w:color="auto"/>
        <w:right w:val="none" w:sz="0" w:space="0" w:color="auto"/>
      </w:divBdr>
    </w:div>
    <w:div w:id="756556592">
      <w:bodyDiv w:val="1"/>
      <w:marLeft w:val="0"/>
      <w:marRight w:val="0"/>
      <w:marTop w:val="0"/>
      <w:marBottom w:val="0"/>
      <w:divBdr>
        <w:top w:val="none" w:sz="0" w:space="0" w:color="auto"/>
        <w:left w:val="none" w:sz="0" w:space="0" w:color="auto"/>
        <w:bottom w:val="none" w:sz="0" w:space="0" w:color="auto"/>
        <w:right w:val="none" w:sz="0" w:space="0" w:color="auto"/>
      </w:divBdr>
    </w:div>
    <w:div w:id="852763939">
      <w:bodyDiv w:val="1"/>
      <w:marLeft w:val="0"/>
      <w:marRight w:val="0"/>
      <w:marTop w:val="0"/>
      <w:marBottom w:val="0"/>
      <w:divBdr>
        <w:top w:val="none" w:sz="0" w:space="0" w:color="auto"/>
        <w:left w:val="none" w:sz="0" w:space="0" w:color="auto"/>
        <w:bottom w:val="none" w:sz="0" w:space="0" w:color="auto"/>
        <w:right w:val="none" w:sz="0" w:space="0" w:color="auto"/>
      </w:divBdr>
    </w:div>
    <w:div w:id="859051302">
      <w:bodyDiv w:val="1"/>
      <w:marLeft w:val="0"/>
      <w:marRight w:val="0"/>
      <w:marTop w:val="0"/>
      <w:marBottom w:val="0"/>
      <w:divBdr>
        <w:top w:val="none" w:sz="0" w:space="0" w:color="auto"/>
        <w:left w:val="none" w:sz="0" w:space="0" w:color="auto"/>
        <w:bottom w:val="none" w:sz="0" w:space="0" w:color="auto"/>
        <w:right w:val="none" w:sz="0" w:space="0" w:color="auto"/>
      </w:divBdr>
    </w:div>
    <w:div w:id="860322464">
      <w:bodyDiv w:val="1"/>
      <w:marLeft w:val="0"/>
      <w:marRight w:val="0"/>
      <w:marTop w:val="0"/>
      <w:marBottom w:val="0"/>
      <w:divBdr>
        <w:top w:val="none" w:sz="0" w:space="0" w:color="auto"/>
        <w:left w:val="none" w:sz="0" w:space="0" w:color="auto"/>
        <w:bottom w:val="none" w:sz="0" w:space="0" w:color="auto"/>
        <w:right w:val="none" w:sz="0" w:space="0" w:color="auto"/>
      </w:divBdr>
    </w:div>
    <w:div w:id="880552442">
      <w:bodyDiv w:val="1"/>
      <w:marLeft w:val="0"/>
      <w:marRight w:val="0"/>
      <w:marTop w:val="0"/>
      <w:marBottom w:val="0"/>
      <w:divBdr>
        <w:top w:val="none" w:sz="0" w:space="0" w:color="auto"/>
        <w:left w:val="none" w:sz="0" w:space="0" w:color="auto"/>
        <w:bottom w:val="none" w:sz="0" w:space="0" w:color="auto"/>
        <w:right w:val="none" w:sz="0" w:space="0" w:color="auto"/>
      </w:divBdr>
    </w:div>
    <w:div w:id="902135202">
      <w:bodyDiv w:val="1"/>
      <w:marLeft w:val="0"/>
      <w:marRight w:val="0"/>
      <w:marTop w:val="0"/>
      <w:marBottom w:val="0"/>
      <w:divBdr>
        <w:top w:val="none" w:sz="0" w:space="0" w:color="auto"/>
        <w:left w:val="none" w:sz="0" w:space="0" w:color="auto"/>
        <w:bottom w:val="none" w:sz="0" w:space="0" w:color="auto"/>
        <w:right w:val="none" w:sz="0" w:space="0" w:color="auto"/>
      </w:divBdr>
    </w:div>
    <w:div w:id="915280889">
      <w:bodyDiv w:val="1"/>
      <w:marLeft w:val="0"/>
      <w:marRight w:val="0"/>
      <w:marTop w:val="0"/>
      <w:marBottom w:val="0"/>
      <w:divBdr>
        <w:top w:val="none" w:sz="0" w:space="0" w:color="auto"/>
        <w:left w:val="none" w:sz="0" w:space="0" w:color="auto"/>
        <w:bottom w:val="none" w:sz="0" w:space="0" w:color="auto"/>
        <w:right w:val="none" w:sz="0" w:space="0" w:color="auto"/>
      </w:divBdr>
    </w:div>
    <w:div w:id="917640917">
      <w:bodyDiv w:val="1"/>
      <w:marLeft w:val="0"/>
      <w:marRight w:val="0"/>
      <w:marTop w:val="0"/>
      <w:marBottom w:val="0"/>
      <w:divBdr>
        <w:top w:val="none" w:sz="0" w:space="0" w:color="auto"/>
        <w:left w:val="none" w:sz="0" w:space="0" w:color="auto"/>
        <w:bottom w:val="none" w:sz="0" w:space="0" w:color="auto"/>
        <w:right w:val="none" w:sz="0" w:space="0" w:color="auto"/>
      </w:divBdr>
      <w:divsChild>
        <w:div w:id="563876830">
          <w:marLeft w:val="0"/>
          <w:marRight w:val="0"/>
          <w:marTop w:val="0"/>
          <w:marBottom w:val="0"/>
          <w:divBdr>
            <w:top w:val="none" w:sz="0" w:space="0" w:color="auto"/>
            <w:left w:val="none" w:sz="0" w:space="0" w:color="auto"/>
            <w:bottom w:val="none" w:sz="0" w:space="0" w:color="auto"/>
            <w:right w:val="none" w:sz="0" w:space="0" w:color="auto"/>
          </w:divBdr>
        </w:div>
        <w:div w:id="1133133668">
          <w:marLeft w:val="0"/>
          <w:marRight w:val="0"/>
          <w:marTop w:val="0"/>
          <w:marBottom w:val="0"/>
          <w:divBdr>
            <w:top w:val="none" w:sz="0" w:space="0" w:color="auto"/>
            <w:left w:val="none" w:sz="0" w:space="0" w:color="auto"/>
            <w:bottom w:val="none" w:sz="0" w:space="0" w:color="auto"/>
            <w:right w:val="none" w:sz="0" w:space="0" w:color="auto"/>
          </w:divBdr>
        </w:div>
        <w:div w:id="11298174">
          <w:marLeft w:val="0"/>
          <w:marRight w:val="0"/>
          <w:marTop w:val="0"/>
          <w:marBottom w:val="0"/>
          <w:divBdr>
            <w:top w:val="none" w:sz="0" w:space="0" w:color="auto"/>
            <w:left w:val="none" w:sz="0" w:space="0" w:color="auto"/>
            <w:bottom w:val="none" w:sz="0" w:space="0" w:color="auto"/>
            <w:right w:val="none" w:sz="0" w:space="0" w:color="auto"/>
          </w:divBdr>
        </w:div>
      </w:divsChild>
    </w:div>
    <w:div w:id="918978156">
      <w:bodyDiv w:val="1"/>
      <w:marLeft w:val="0"/>
      <w:marRight w:val="0"/>
      <w:marTop w:val="0"/>
      <w:marBottom w:val="0"/>
      <w:divBdr>
        <w:top w:val="none" w:sz="0" w:space="0" w:color="auto"/>
        <w:left w:val="none" w:sz="0" w:space="0" w:color="auto"/>
        <w:bottom w:val="none" w:sz="0" w:space="0" w:color="auto"/>
        <w:right w:val="none" w:sz="0" w:space="0" w:color="auto"/>
      </w:divBdr>
    </w:div>
    <w:div w:id="929587415">
      <w:bodyDiv w:val="1"/>
      <w:marLeft w:val="0"/>
      <w:marRight w:val="0"/>
      <w:marTop w:val="0"/>
      <w:marBottom w:val="0"/>
      <w:divBdr>
        <w:top w:val="none" w:sz="0" w:space="0" w:color="auto"/>
        <w:left w:val="none" w:sz="0" w:space="0" w:color="auto"/>
        <w:bottom w:val="none" w:sz="0" w:space="0" w:color="auto"/>
        <w:right w:val="none" w:sz="0" w:space="0" w:color="auto"/>
      </w:divBdr>
    </w:div>
    <w:div w:id="983971445">
      <w:bodyDiv w:val="1"/>
      <w:marLeft w:val="0"/>
      <w:marRight w:val="0"/>
      <w:marTop w:val="0"/>
      <w:marBottom w:val="0"/>
      <w:divBdr>
        <w:top w:val="none" w:sz="0" w:space="0" w:color="auto"/>
        <w:left w:val="none" w:sz="0" w:space="0" w:color="auto"/>
        <w:bottom w:val="none" w:sz="0" w:space="0" w:color="auto"/>
        <w:right w:val="none" w:sz="0" w:space="0" w:color="auto"/>
      </w:divBdr>
    </w:div>
    <w:div w:id="1026129074">
      <w:bodyDiv w:val="1"/>
      <w:marLeft w:val="0"/>
      <w:marRight w:val="0"/>
      <w:marTop w:val="0"/>
      <w:marBottom w:val="0"/>
      <w:divBdr>
        <w:top w:val="none" w:sz="0" w:space="0" w:color="auto"/>
        <w:left w:val="none" w:sz="0" w:space="0" w:color="auto"/>
        <w:bottom w:val="none" w:sz="0" w:space="0" w:color="auto"/>
        <w:right w:val="none" w:sz="0" w:space="0" w:color="auto"/>
      </w:divBdr>
    </w:div>
    <w:div w:id="1035083461">
      <w:bodyDiv w:val="1"/>
      <w:marLeft w:val="0"/>
      <w:marRight w:val="0"/>
      <w:marTop w:val="0"/>
      <w:marBottom w:val="0"/>
      <w:divBdr>
        <w:top w:val="none" w:sz="0" w:space="0" w:color="auto"/>
        <w:left w:val="none" w:sz="0" w:space="0" w:color="auto"/>
        <w:bottom w:val="none" w:sz="0" w:space="0" w:color="auto"/>
        <w:right w:val="none" w:sz="0" w:space="0" w:color="auto"/>
      </w:divBdr>
    </w:div>
    <w:div w:id="1067000990">
      <w:bodyDiv w:val="1"/>
      <w:marLeft w:val="0"/>
      <w:marRight w:val="0"/>
      <w:marTop w:val="0"/>
      <w:marBottom w:val="0"/>
      <w:divBdr>
        <w:top w:val="none" w:sz="0" w:space="0" w:color="auto"/>
        <w:left w:val="none" w:sz="0" w:space="0" w:color="auto"/>
        <w:bottom w:val="none" w:sz="0" w:space="0" w:color="auto"/>
        <w:right w:val="none" w:sz="0" w:space="0" w:color="auto"/>
      </w:divBdr>
    </w:div>
    <w:div w:id="1144591318">
      <w:bodyDiv w:val="1"/>
      <w:marLeft w:val="0"/>
      <w:marRight w:val="0"/>
      <w:marTop w:val="0"/>
      <w:marBottom w:val="0"/>
      <w:divBdr>
        <w:top w:val="none" w:sz="0" w:space="0" w:color="auto"/>
        <w:left w:val="none" w:sz="0" w:space="0" w:color="auto"/>
        <w:bottom w:val="none" w:sz="0" w:space="0" w:color="auto"/>
        <w:right w:val="none" w:sz="0" w:space="0" w:color="auto"/>
      </w:divBdr>
    </w:div>
    <w:div w:id="1155880120">
      <w:bodyDiv w:val="1"/>
      <w:marLeft w:val="0"/>
      <w:marRight w:val="0"/>
      <w:marTop w:val="0"/>
      <w:marBottom w:val="0"/>
      <w:divBdr>
        <w:top w:val="none" w:sz="0" w:space="0" w:color="auto"/>
        <w:left w:val="none" w:sz="0" w:space="0" w:color="auto"/>
        <w:bottom w:val="none" w:sz="0" w:space="0" w:color="auto"/>
        <w:right w:val="none" w:sz="0" w:space="0" w:color="auto"/>
      </w:divBdr>
    </w:div>
    <w:div w:id="1191189407">
      <w:bodyDiv w:val="1"/>
      <w:marLeft w:val="0"/>
      <w:marRight w:val="0"/>
      <w:marTop w:val="0"/>
      <w:marBottom w:val="0"/>
      <w:divBdr>
        <w:top w:val="none" w:sz="0" w:space="0" w:color="auto"/>
        <w:left w:val="none" w:sz="0" w:space="0" w:color="auto"/>
        <w:bottom w:val="none" w:sz="0" w:space="0" w:color="auto"/>
        <w:right w:val="none" w:sz="0" w:space="0" w:color="auto"/>
      </w:divBdr>
    </w:div>
    <w:div w:id="1196887849">
      <w:bodyDiv w:val="1"/>
      <w:marLeft w:val="0"/>
      <w:marRight w:val="0"/>
      <w:marTop w:val="0"/>
      <w:marBottom w:val="0"/>
      <w:divBdr>
        <w:top w:val="none" w:sz="0" w:space="0" w:color="auto"/>
        <w:left w:val="none" w:sz="0" w:space="0" w:color="auto"/>
        <w:bottom w:val="none" w:sz="0" w:space="0" w:color="auto"/>
        <w:right w:val="none" w:sz="0" w:space="0" w:color="auto"/>
      </w:divBdr>
    </w:div>
    <w:div w:id="1208224508">
      <w:bodyDiv w:val="1"/>
      <w:marLeft w:val="0"/>
      <w:marRight w:val="0"/>
      <w:marTop w:val="0"/>
      <w:marBottom w:val="0"/>
      <w:divBdr>
        <w:top w:val="none" w:sz="0" w:space="0" w:color="auto"/>
        <w:left w:val="none" w:sz="0" w:space="0" w:color="auto"/>
        <w:bottom w:val="none" w:sz="0" w:space="0" w:color="auto"/>
        <w:right w:val="none" w:sz="0" w:space="0" w:color="auto"/>
      </w:divBdr>
    </w:div>
    <w:div w:id="1263494914">
      <w:bodyDiv w:val="1"/>
      <w:marLeft w:val="0"/>
      <w:marRight w:val="0"/>
      <w:marTop w:val="0"/>
      <w:marBottom w:val="0"/>
      <w:divBdr>
        <w:top w:val="none" w:sz="0" w:space="0" w:color="auto"/>
        <w:left w:val="none" w:sz="0" w:space="0" w:color="auto"/>
        <w:bottom w:val="none" w:sz="0" w:space="0" w:color="auto"/>
        <w:right w:val="none" w:sz="0" w:space="0" w:color="auto"/>
      </w:divBdr>
    </w:div>
    <w:div w:id="1307585931">
      <w:bodyDiv w:val="1"/>
      <w:marLeft w:val="0"/>
      <w:marRight w:val="0"/>
      <w:marTop w:val="0"/>
      <w:marBottom w:val="0"/>
      <w:divBdr>
        <w:top w:val="none" w:sz="0" w:space="0" w:color="auto"/>
        <w:left w:val="none" w:sz="0" w:space="0" w:color="auto"/>
        <w:bottom w:val="none" w:sz="0" w:space="0" w:color="auto"/>
        <w:right w:val="none" w:sz="0" w:space="0" w:color="auto"/>
      </w:divBdr>
    </w:div>
    <w:div w:id="1332639417">
      <w:bodyDiv w:val="1"/>
      <w:marLeft w:val="0"/>
      <w:marRight w:val="0"/>
      <w:marTop w:val="0"/>
      <w:marBottom w:val="0"/>
      <w:divBdr>
        <w:top w:val="none" w:sz="0" w:space="0" w:color="auto"/>
        <w:left w:val="none" w:sz="0" w:space="0" w:color="auto"/>
        <w:bottom w:val="none" w:sz="0" w:space="0" w:color="auto"/>
        <w:right w:val="none" w:sz="0" w:space="0" w:color="auto"/>
      </w:divBdr>
    </w:div>
    <w:div w:id="1333529202">
      <w:bodyDiv w:val="1"/>
      <w:marLeft w:val="0"/>
      <w:marRight w:val="0"/>
      <w:marTop w:val="0"/>
      <w:marBottom w:val="0"/>
      <w:divBdr>
        <w:top w:val="none" w:sz="0" w:space="0" w:color="auto"/>
        <w:left w:val="none" w:sz="0" w:space="0" w:color="auto"/>
        <w:bottom w:val="none" w:sz="0" w:space="0" w:color="auto"/>
        <w:right w:val="none" w:sz="0" w:space="0" w:color="auto"/>
      </w:divBdr>
    </w:div>
    <w:div w:id="1342388671">
      <w:bodyDiv w:val="1"/>
      <w:marLeft w:val="0"/>
      <w:marRight w:val="0"/>
      <w:marTop w:val="0"/>
      <w:marBottom w:val="0"/>
      <w:divBdr>
        <w:top w:val="none" w:sz="0" w:space="0" w:color="auto"/>
        <w:left w:val="none" w:sz="0" w:space="0" w:color="auto"/>
        <w:bottom w:val="none" w:sz="0" w:space="0" w:color="auto"/>
        <w:right w:val="none" w:sz="0" w:space="0" w:color="auto"/>
      </w:divBdr>
    </w:div>
    <w:div w:id="1385760593">
      <w:bodyDiv w:val="1"/>
      <w:marLeft w:val="0"/>
      <w:marRight w:val="0"/>
      <w:marTop w:val="0"/>
      <w:marBottom w:val="0"/>
      <w:divBdr>
        <w:top w:val="none" w:sz="0" w:space="0" w:color="auto"/>
        <w:left w:val="none" w:sz="0" w:space="0" w:color="auto"/>
        <w:bottom w:val="none" w:sz="0" w:space="0" w:color="auto"/>
        <w:right w:val="none" w:sz="0" w:space="0" w:color="auto"/>
      </w:divBdr>
    </w:div>
    <w:div w:id="1415129333">
      <w:bodyDiv w:val="1"/>
      <w:marLeft w:val="0"/>
      <w:marRight w:val="0"/>
      <w:marTop w:val="0"/>
      <w:marBottom w:val="0"/>
      <w:divBdr>
        <w:top w:val="none" w:sz="0" w:space="0" w:color="auto"/>
        <w:left w:val="none" w:sz="0" w:space="0" w:color="auto"/>
        <w:bottom w:val="none" w:sz="0" w:space="0" w:color="auto"/>
        <w:right w:val="none" w:sz="0" w:space="0" w:color="auto"/>
      </w:divBdr>
    </w:div>
    <w:div w:id="1444685814">
      <w:bodyDiv w:val="1"/>
      <w:marLeft w:val="0"/>
      <w:marRight w:val="0"/>
      <w:marTop w:val="0"/>
      <w:marBottom w:val="0"/>
      <w:divBdr>
        <w:top w:val="none" w:sz="0" w:space="0" w:color="auto"/>
        <w:left w:val="none" w:sz="0" w:space="0" w:color="auto"/>
        <w:bottom w:val="none" w:sz="0" w:space="0" w:color="auto"/>
        <w:right w:val="none" w:sz="0" w:space="0" w:color="auto"/>
      </w:divBdr>
    </w:div>
    <w:div w:id="1488403876">
      <w:bodyDiv w:val="1"/>
      <w:marLeft w:val="0"/>
      <w:marRight w:val="0"/>
      <w:marTop w:val="0"/>
      <w:marBottom w:val="0"/>
      <w:divBdr>
        <w:top w:val="none" w:sz="0" w:space="0" w:color="auto"/>
        <w:left w:val="none" w:sz="0" w:space="0" w:color="auto"/>
        <w:bottom w:val="none" w:sz="0" w:space="0" w:color="auto"/>
        <w:right w:val="none" w:sz="0" w:space="0" w:color="auto"/>
      </w:divBdr>
    </w:div>
    <w:div w:id="1519849373">
      <w:bodyDiv w:val="1"/>
      <w:marLeft w:val="0"/>
      <w:marRight w:val="0"/>
      <w:marTop w:val="0"/>
      <w:marBottom w:val="0"/>
      <w:divBdr>
        <w:top w:val="none" w:sz="0" w:space="0" w:color="auto"/>
        <w:left w:val="none" w:sz="0" w:space="0" w:color="auto"/>
        <w:bottom w:val="none" w:sz="0" w:space="0" w:color="auto"/>
        <w:right w:val="none" w:sz="0" w:space="0" w:color="auto"/>
      </w:divBdr>
    </w:div>
    <w:div w:id="1563324036">
      <w:bodyDiv w:val="1"/>
      <w:marLeft w:val="0"/>
      <w:marRight w:val="0"/>
      <w:marTop w:val="0"/>
      <w:marBottom w:val="0"/>
      <w:divBdr>
        <w:top w:val="none" w:sz="0" w:space="0" w:color="auto"/>
        <w:left w:val="none" w:sz="0" w:space="0" w:color="auto"/>
        <w:bottom w:val="none" w:sz="0" w:space="0" w:color="auto"/>
        <w:right w:val="none" w:sz="0" w:space="0" w:color="auto"/>
      </w:divBdr>
    </w:div>
    <w:div w:id="1585916522">
      <w:bodyDiv w:val="1"/>
      <w:marLeft w:val="0"/>
      <w:marRight w:val="0"/>
      <w:marTop w:val="0"/>
      <w:marBottom w:val="0"/>
      <w:divBdr>
        <w:top w:val="none" w:sz="0" w:space="0" w:color="auto"/>
        <w:left w:val="none" w:sz="0" w:space="0" w:color="auto"/>
        <w:bottom w:val="none" w:sz="0" w:space="0" w:color="auto"/>
        <w:right w:val="none" w:sz="0" w:space="0" w:color="auto"/>
      </w:divBdr>
    </w:div>
    <w:div w:id="1635721522">
      <w:bodyDiv w:val="1"/>
      <w:marLeft w:val="0"/>
      <w:marRight w:val="0"/>
      <w:marTop w:val="0"/>
      <w:marBottom w:val="0"/>
      <w:divBdr>
        <w:top w:val="none" w:sz="0" w:space="0" w:color="auto"/>
        <w:left w:val="none" w:sz="0" w:space="0" w:color="auto"/>
        <w:bottom w:val="none" w:sz="0" w:space="0" w:color="auto"/>
        <w:right w:val="none" w:sz="0" w:space="0" w:color="auto"/>
      </w:divBdr>
    </w:div>
    <w:div w:id="1639065614">
      <w:bodyDiv w:val="1"/>
      <w:marLeft w:val="0"/>
      <w:marRight w:val="0"/>
      <w:marTop w:val="0"/>
      <w:marBottom w:val="0"/>
      <w:divBdr>
        <w:top w:val="none" w:sz="0" w:space="0" w:color="auto"/>
        <w:left w:val="none" w:sz="0" w:space="0" w:color="auto"/>
        <w:bottom w:val="none" w:sz="0" w:space="0" w:color="auto"/>
        <w:right w:val="none" w:sz="0" w:space="0" w:color="auto"/>
      </w:divBdr>
    </w:div>
    <w:div w:id="1643074268">
      <w:bodyDiv w:val="1"/>
      <w:marLeft w:val="0"/>
      <w:marRight w:val="0"/>
      <w:marTop w:val="0"/>
      <w:marBottom w:val="0"/>
      <w:divBdr>
        <w:top w:val="none" w:sz="0" w:space="0" w:color="auto"/>
        <w:left w:val="none" w:sz="0" w:space="0" w:color="auto"/>
        <w:bottom w:val="none" w:sz="0" w:space="0" w:color="auto"/>
        <w:right w:val="none" w:sz="0" w:space="0" w:color="auto"/>
      </w:divBdr>
    </w:div>
    <w:div w:id="1659193257">
      <w:bodyDiv w:val="1"/>
      <w:marLeft w:val="0"/>
      <w:marRight w:val="0"/>
      <w:marTop w:val="0"/>
      <w:marBottom w:val="0"/>
      <w:divBdr>
        <w:top w:val="none" w:sz="0" w:space="0" w:color="auto"/>
        <w:left w:val="none" w:sz="0" w:space="0" w:color="auto"/>
        <w:bottom w:val="none" w:sz="0" w:space="0" w:color="auto"/>
        <w:right w:val="none" w:sz="0" w:space="0" w:color="auto"/>
      </w:divBdr>
      <w:divsChild>
        <w:div w:id="399404961">
          <w:marLeft w:val="0"/>
          <w:marRight w:val="0"/>
          <w:marTop w:val="0"/>
          <w:marBottom w:val="0"/>
          <w:divBdr>
            <w:top w:val="none" w:sz="0" w:space="0" w:color="auto"/>
            <w:left w:val="none" w:sz="0" w:space="0" w:color="auto"/>
            <w:bottom w:val="none" w:sz="0" w:space="0" w:color="auto"/>
            <w:right w:val="none" w:sz="0" w:space="0" w:color="auto"/>
          </w:divBdr>
        </w:div>
        <w:div w:id="761142006">
          <w:marLeft w:val="0"/>
          <w:marRight w:val="0"/>
          <w:marTop w:val="0"/>
          <w:marBottom w:val="0"/>
          <w:divBdr>
            <w:top w:val="none" w:sz="0" w:space="0" w:color="auto"/>
            <w:left w:val="none" w:sz="0" w:space="0" w:color="auto"/>
            <w:bottom w:val="none" w:sz="0" w:space="0" w:color="auto"/>
            <w:right w:val="none" w:sz="0" w:space="0" w:color="auto"/>
          </w:divBdr>
        </w:div>
      </w:divsChild>
    </w:div>
    <w:div w:id="1669678113">
      <w:bodyDiv w:val="1"/>
      <w:marLeft w:val="0"/>
      <w:marRight w:val="0"/>
      <w:marTop w:val="0"/>
      <w:marBottom w:val="0"/>
      <w:divBdr>
        <w:top w:val="none" w:sz="0" w:space="0" w:color="auto"/>
        <w:left w:val="none" w:sz="0" w:space="0" w:color="auto"/>
        <w:bottom w:val="none" w:sz="0" w:space="0" w:color="auto"/>
        <w:right w:val="none" w:sz="0" w:space="0" w:color="auto"/>
      </w:divBdr>
    </w:div>
    <w:div w:id="1681200045">
      <w:bodyDiv w:val="1"/>
      <w:marLeft w:val="0"/>
      <w:marRight w:val="0"/>
      <w:marTop w:val="0"/>
      <w:marBottom w:val="0"/>
      <w:divBdr>
        <w:top w:val="none" w:sz="0" w:space="0" w:color="auto"/>
        <w:left w:val="none" w:sz="0" w:space="0" w:color="auto"/>
        <w:bottom w:val="none" w:sz="0" w:space="0" w:color="auto"/>
        <w:right w:val="none" w:sz="0" w:space="0" w:color="auto"/>
      </w:divBdr>
    </w:div>
    <w:div w:id="1858500727">
      <w:bodyDiv w:val="1"/>
      <w:marLeft w:val="0"/>
      <w:marRight w:val="0"/>
      <w:marTop w:val="0"/>
      <w:marBottom w:val="0"/>
      <w:divBdr>
        <w:top w:val="none" w:sz="0" w:space="0" w:color="auto"/>
        <w:left w:val="none" w:sz="0" w:space="0" w:color="auto"/>
        <w:bottom w:val="none" w:sz="0" w:space="0" w:color="auto"/>
        <w:right w:val="none" w:sz="0" w:space="0" w:color="auto"/>
      </w:divBdr>
    </w:div>
    <w:div w:id="1930306761">
      <w:bodyDiv w:val="1"/>
      <w:marLeft w:val="0"/>
      <w:marRight w:val="0"/>
      <w:marTop w:val="0"/>
      <w:marBottom w:val="0"/>
      <w:divBdr>
        <w:top w:val="none" w:sz="0" w:space="0" w:color="auto"/>
        <w:left w:val="none" w:sz="0" w:space="0" w:color="auto"/>
        <w:bottom w:val="none" w:sz="0" w:space="0" w:color="auto"/>
        <w:right w:val="none" w:sz="0" w:space="0" w:color="auto"/>
      </w:divBdr>
    </w:div>
    <w:div w:id="1930313914">
      <w:bodyDiv w:val="1"/>
      <w:marLeft w:val="0"/>
      <w:marRight w:val="0"/>
      <w:marTop w:val="0"/>
      <w:marBottom w:val="0"/>
      <w:divBdr>
        <w:top w:val="none" w:sz="0" w:space="0" w:color="auto"/>
        <w:left w:val="none" w:sz="0" w:space="0" w:color="auto"/>
        <w:bottom w:val="none" w:sz="0" w:space="0" w:color="auto"/>
        <w:right w:val="none" w:sz="0" w:space="0" w:color="auto"/>
      </w:divBdr>
    </w:div>
    <w:div w:id="1937976072">
      <w:bodyDiv w:val="1"/>
      <w:marLeft w:val="0"/>
      <w:marRight w:val="0"/>
      <w:marTop w:val="0"/>
      <w:marBottom w:val="0"/>
      <w:divBdr>
        <w:top w:val="none" w:sz="0" w:space="0" w:color="auto"/>
        <w:left w:val="none" w:sz="0" w:space="0" w:color="auto"/>
        <w:bottom w:val="none" w:sz="0" w:space="0" w:color="auto"/>
        <w:right w:val="none" w:sz="0" w:space="0" w:color="auto"/>
      </w:divBdr>
    </w:div>
    <w:div w:id="1964463721">
      <w:bodyDiv w:val="1"/>
      <w:marLeft w:val="0"/>
      <w:marRight w:val="0"/>
      <w:marTop w:val="0"/>
      <w:marBottom w:val="0"/>
      <w:divBdr>
        <w:top w:val="none" w:sz="0" w:space="0" w:color="auto"/>
        <w:left w:val="none" w:sz="0" w:space="0" w:color="auto"/>
        <w:bottom w:val="none" w:sz="0" w:space="0" w:color="auto"/>
        <w:right w:val="none" w:sz="0" w:space="0" w:color="auto"/>
      </w:divBdr>
    </w:div>
    <w:div w:id="1998339182">
      <w:bodyDiv w:val="1"/>
      <w:marLeft w:val="0"/>
      <w:marRight w:val="0"/>
      <w:marTop w:val="0"/>
      <w:marBottom w:val="0"/>
      <w:divBdr>
        <w:top w:val="none" w:sz="0" w:space="0" w:color="auto"/>
        <w:left w:val="none" w:sz="0" w:space="0" w:color="auto"/>
        <w:bottom w:val="none" w:sz="0" w:space="0" w:color="auto"/>
        <w:right w:val="none" w:sz="0" w:space="0" w:color="auto"/>
      </w:divBdr>
    </w:div>
    <w:div w:id="2012173224">
      <w:bodyDiv w:val="1"/>
      <w:marLeft w:val="0"/>
      <w:marRight w:val="0"/>
      <w:marTop w:val="0"/>
      <w:marBottom w:val="0"/>
      <w:divBdr>
        <w:top w:val="none" w:sz="0" w:space="0" w:color="auto"/>
        <w:left w:val="none" w:sz="0" w:space="0" w:color="auto"/>
        <w:bottom w:val="none" w:sz="0" w:space="0" w:color="auto"/>
        <w:right w:val="none" w:sz="0" w:space="0" w:color="auto"/>
      </w:divBdr>
    </w:div>
    <w:div w:id="2136753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hart" Target="charts/chart1.xml"/><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1.emf"/><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oter" Target="foot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gif"/></Relationships>
</file>

<file path=word/charts/_rels/chart1.xml.rels><?xml version="1.0" encoding="UTF-8" standalone="yes"?>
<Relationships xmlns="http://schemas.openxmlformats.org/package/2006/relationships"><Relationship Id="rId1" Type="http://schemas.openxmlformats.org/officeDocument/2006/relationships/oleObject" Target="file:///F:\Eigene%20Dateien\Worksheet%20report%20ICT%202018_201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Eigene%20Dateien\IT%20Budget%20Evolution_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Evolution</a:t>
            </a:r>
            <a:r>
              <a:rPr lang="en-US" baseline="0"/>
              <a:t> Tablettes 2015 - 2018</a:t>
            </a:r>
          </a:p>
        </c:rich>
      </c:tx>
      <c:layout/>
      <c:overlay val="0"/>
      <c:spPr>
        <a:noFill/>
        <a:ln w="25400">
          <a:noFill/>
        </a:ln>
      </c:spPr>
    </c:title>
    <c:autoTitleDeleted val="0"/>
    <c:plotArea>
      <c:layout/>
      <c:barChart>
        <c:barDir val="col"/>
        <c:grouping val="clustered"/>
        <c:varyColors val="0"/>
        <c:ser>
          <c:idx val="0"/>
          <c:order val="0"/>
          <c:tx>
            <c:strRef>
              <c:f>'Tablettes (2)'!$C$6</c:f>
              <c:strCache>
                <c:ptCount val="1"/>
                <c:pt idx="0">
                  <c:v>2015</c:v>
                </c:pt>
              </c:strCache>
            </c:strRef>
          </c:tx>
          <c:spPr>
            <a:solidFill>
              <a:srgbClr val="4F81BD"/>
            </a:solidFill>
            <a:ln w="25400">
              <a:noFill/>
            </a:ln>
          </c:spPr>
          <c:invertIfNegative val="0"/>
          <c:cat>
            <c:strRef>
              <c:f>'Tablettes (2)'!$B$7:$B$19</c:f>
              <c:strCache>
                <c:ptCount val="13"/>
                <c:pt idx="0">
                  <c:v>Alicante</c:v>
                </c:pt>
                <c:pt idx="1">
                  <c:v>Bergen</c:v>
                </c:pt>
                <c:pt idx="2">
                  <c:v>Brussels I</c:v>
                </c:pt>
                <c:pt idx="3">
                  <c:v>Brussels II</c:v>
                </c:pt>
                <c:pt idx="4">
                  <c:v>Brussels III</c:v>
                </c:pt>
                <c:pt idx="5">
                  <c:v>Brussels IV</c:v>
                </c:pt>
                <c:pt idx="6">
                  <c:v>Francfort</c:v>
                </c:pt>
                <c:pt idx="7">
                  <c:v>Karlsruhe</c:v>
                </c:pt>
                <c:pt idx="8">
                  <c:v>Luxembourg I</c:v>
                </c:pt>
                <c:pt idx="9">
                  <c:v>Luxembourg II</c:v>
                </c:pt>
                <c:pt idx="10">
                  <c:v>Mol</c:v>
                </c:pt>
                <c:pt idx="11">
                  <c:v>Munich</c:v>
                </c:pt>
                <c:pt idx="12">
                  <c:v>Varese</c:v>
                </c:pt>
              </c:strCache>
            </c:strRef>
          </c:cat>
          <c:val>
            <c:numRef>
              <c:f>'Tablettes (2)'!$C$7:$C$19</c:f>
              <c:numCache>
                <c:formatCode>General</c:formatCode>
                <c:ptCount val="13"/>
                <c:pt idx="0">
                  <c:v>180</c:v>
                </c:pt>
                <c:pt idx="1">
                  <c:v>16</c:v>
                </c:pt>
                <c:pt idx="2">
                  <c:v>5</c:v>
                </c:pt>
                <c:pt idx="3">
                  <c:v>70</c:v>
                </c:pt>
                <c:pt idx="4">
                  <c:v>74</c:v>
                </c:pt>
                <c:pt idx="5">
                  <c:v>173</c:v>
                </c:pt>
                <c:pt idx="6">
                  <c:v>42</c:v>
                </c:pt>
                <c:pt idx="7">
                  <c:v>67</c:v>
                </c:pt>
                <c:pt idx="8">
                  <c:v>255</c:v>
                </c:pt>
                <c:pt idx="9">
                  <c:v>40</c:v>
                </c:pt>
                <c:pt idx="10">
                  <c:v>5</c:v>
                </c:pt>
                <c:pt idx="11">
                  <c:v>24</c:v>
                </c:pt>
                <c:pt idx="12">
                  <c:v>9</c:v>
                </c:pt>
              </c:numCache>
            </c:numRef>
          </c:val>
          <c:extLst>
            <c:ext xmlns:c16="http://schemas.microsoft.com/office/drawing/2014/chart" uri="{C3380CC4-5D6E-409C-BE32-E72D297353CC}">
              <c16:uniqueId val="{00000000-B01F-40F0-BADB-F25D51FCA76F}"/>
            </c:ext>
          </c:extLst>
        </c:ser>
        <c:ser>
          <c:idx val="1"/>
          <c:order val="1"/>
          <c:tx>
            <c:strRef>
              <c:f>'Tablettes (2)'!$D$6</c:f>
              <c:strCache>
                <c:ptCount val="1"/>
                <c:pt idx="0">
                  <c:v>TABL</c:v>
                </c:pt>
              </c:strCache>
            </c:strRef>
          </c:tx>
          <c:spPr>
            <a:solidFill>
              <a:srgbClr val="C0504D"/>
            </a:solidFill>
            <a:ln w="25400">
              <a:noFill/>
            </a:ln>
          </c:spPr>
          <c:invertIfNegative val="0"/>
          <c:cat>
            <c:strRef>
              <c:f>'Tablettes (2)'!$B$7:$B$19</c:f>
              <c:strCache>
                <c:ptCount val="13"/>
                <c:pt idx="0">
                  <c:v>Alicante</c:v>
                </c:pt>
                <c:pt idx="1">
                  <c:v>Bergen</c:v>
                </c:pt>
                <c:pt idx="2">
                  <c:v>Brussels I</c:v>
                </c:pt>
                <c:pt idx="3">
                  <c:v>Brussels II</c:v>
                </c:pt>
                <c:pt idx="4">
                  <c:v>Brussels III</c:v>
                </c:pt>
                <c:pt idx="5">
                  <c:v>Brussels IV</c:v>
                </c:pt>
                <c:pt idx="6">
                  <c:v>Francfort</c:v>
                </c:pt>
                <c:pt idx="7">
                  <c:v>Karlsruhe</c:v>
                </c:pt>
                <c:pt idx="8">
                  <c:v>Luxembourg I</c:v>
                </c:pt>
                <c:pt idx="9">
                  <c:v>Luxembourg II</c:v>
                </c:pt>
                <c:pt idx="10">
                  <c:v>Mol</c:v>
                </c:pt>
                <c:pt idx="11">
                  <c:v>Munich</c:v>
                </c:pt>
                <c:pt idx="12">
                  <c:v>Varese</c:v>
                </c:pt>
              </c:strCache>
            </c:strRef>
          </c:cat>
          <c:val>
            <c:numRef>
              <c:f>'Tablettes (2)'!$D$7:$D$19</c:f>
            </c:numRef>
          </c:val>
          <c:extLst>
            <c:ext xmlns:c16="http://schemas.microsoft.com/office/drawing/2014/chart" uri="{C3380CC4-5D6E-409C-BE32-E72D297353CC}">
              <c16:uniqueId val="{00000001-B01F-40F0-BADB-F25D51FCA76F}"/>
            </c:ext>
          </c:extLst>
        </c:ser>
        <c:ser>
          <c:idx val="2"/>
          <c:order val="2"/>
          <c:tx>
            <c:strRef>
              <c:f>'Tablettes (2)'!$E$6</c:f>
              <c:strCache>
                <c:ptCount val="1"/>
                <c:pt idx="0">
                  <c:v>TABL</c:v>
                </c:pt>
              </c:strCache>
            </c:strRef>
          </c:tx>
          <c:spPr>
            <a:solidFill>
              <a:srgbClr val="9BBB59"/>
            </a:solidFill>
            <a:ln w="25400">
              <a:noFill/>
            </a:ln>
          </c:spPr>
          <c:invertIfNegative val="0"/>
          <c:cat>
            <c:strRef>
              <c:f>'Tablettes (2)'!$B$7:$B$19</c:f>
              <c:strCache>
                <c:ptCount val="13"/>
                <c:pt idx="0">
                  <c:v>Alicante</c:v>
                </c:pt>
                <c:pt idx="1">
                  <c:v>Bergen</c:v>
                </c:pt>
                <c:pt idx="2">
                  <c:v>Brussels I</c:v>
                </c:pt>
                <c:pt idx="3">
                  <c:v>Brussels II</c:v>
                </c:pt>
                <c:pt idx="4">
                  <c:v>Brussels III</c:v>
                </c:pt>
                <c:pt idx="5">
                  <c:v>Brussels IV</c:v>
                </c:pt>
                <c:pt idx="6">
                  <c:v>Francfort</c:v>
                </c:pt>
                <c:pt idx="7">
                  <c:v>Karlsruhe</c:v>
                </c:pt>
                <c:pt idx="8">
                  <c:v>Luxembourg I</c:v>
                </c:pt>
                <c:pt idx="9">
                  <c:v>Luxembourg II</c:v>
                </c:pt>
                <c:pt idx="10">
                  <c:v>Mol</c:v>
                </c:pt>
                <c:pt idx="11">
                  <c:v>Munich</c:v>
                </c:pt>
                <c:pt idx="12">
                  <c:v>Varese</c:v>
                </c:pt>
              </c:strCache>
            </c:strRef>
          </c:cat>
          <c:val>
            <c:numRef>
              <c:f>'Tablettes (2)'!$E$7:$E$19</c:f>
            </c:numRef>
          </c:val>
          <c:extLst>
            <c:ext xmlns:c16="http://schemas.microsoft.com/office/drawing/2014/chart" uri="{C3380CC4-5D6E-409C-BE32-E72D297353CC}">
              <c16:uniqueId val="{00000002-B01F-40F0-BADB-F25D51FCA76F}"/>
            </c:ext>
          </c:extLst>
        </c:ser>
        <c:ser>
          <c:idx val="3"/>
          <c:order val="3"/>
          <c:tx>
            <c:strRef>
              <c:f>'Tablettes (2)'!$F$6</c:f>
              <c:strCache>
                <c:ptCount val="1"/>
                <c:pt idx="0">
                  <c:v>TABL</c:v>
                </c:pt>
              </c:strCache>
            </c:strRef>
          </c:tx>
          <c:spPr>
            <a:solidFill>
              <a:srgbClr val="8064A2"/>
            </a:solidFill>
            <a:ln w="25400">
              <a:noFill/>
            </a:ln>
          </c:spPr>
          <c:invertIfNegative val="0"/>
          <c:cat>
            <c:strRef>
              <c:f>'Tablettes (2)'!$B$7:$B$19</c:f>
              <c:strCache>
                <c:ptCount val="13"/>
                <c:pt idx="0">
                  <c:v>Alicante</c:v>
                </c:pt>
                <c:pt idx="1">
                  <c:v>Bergen</c:v>
                </c:pt>
                <c:pt idx="2">
                  <c:v>Brussels I</c:v>
                </c:pt>
                <c:pt idx="3">
                  <c:v>Brussels II</c:v>
                </c:pt>
                <c:pt idx="4">
                  <c:v>Brussels III</c:v>
                </c:pt>
                <c:pt idx="5">
                  <c:v>Brussels IV</c:v>
                </c:pt>
                <c:pt idx="6">
                  <c:v>Francfort</c:v>
                </c:pt>
                <c:pt idx="7">
                  <c:v>Karlsruhe</c:v>
                </c:pt>
                <c:pt idx="8">
                  <c:v>Luxembourg I</c:v>
                </c:pt>
                <c:pt idx="9">
                  <c:v>Luxembourg II</c:v>
                </c:pt>
                <c:pt idx="10">
                  <c:v>Mol</c:v>
                </c:pt>
                <c:pt idx="11">
                  <c:v>Munich</c:v>
                </c:pt>
                <c:pt idx="12">
                  <c:v>Varese</c:v>
                </c:pt>
              </c:strCache>
            </c:strRef>
          </c:cat>
          <c:val>
            <c:numRef>
              <c:f>'Tablettes (2)'!$F$7:$F$19</c:f>
            </c:numRef>
          </c:val>
          <c:extLst>
            <c:ext xmlns:c16="http://schemas.microsoft.com/office/drawing/2014/chart" uri="{C3380CC4-5D6E-409C-BE32-E72D297353CC}">
              <c16:uniqueId val="{00000003-B01F-40F0-BADB-F25D51FCA76F}"/>
            </c:ext>
          </c:extLst>
        </c:ser>
        <c:ser>
          <c:idx val="4"/>
          <c:order val="4"/>
          <c:tx>
            <c:strRef>
              <c:f>'Tablettes (2)'!$G$6</c:f>
              <c:strCache>
                <c:ptCount val="1"/>
                <c:pt idx="0">
                  <c:v>TABL</c:v>
                </c:pt>
              </c:strCache>
            </c:strRef>
          </c:tx>
          <c:spPr>
            <a:solidFill>
              <a:srgbClr val="4BACC6"/>
            </a:solidFill>
            <a:ln w="25400">
              <a:noFill/>
            </a:ln>
          </c:spPr>
          <c:invertIfNegative val="0"/>
          <c:cat>
            <c:strRef>
              <c:f>'Tablettes (2)'!$B$7:$B$19</c:f>
              <c:strCache>
                <c:ptCount val="13"/>
                <c:pt idx="0">
                  <c:v>Alicante</c:v>
                </c:pt>
                <c:pt idx="1">
                  <c:v>Bergen</c:v>
                </c:pt>
                <c:pt idx="2">
                  <c:v>Brussels I</c:v>
                </c:pt>
                <c:pt idx="3">
                  <c:v>Brussels II</c:v>
                </c:pt>
                <c:pt idx="4">
                  <c:v>Brussels III</c:v>
                </c:pt>
                <c:pt idx="5">
                  <c:v>Brussels IV</c:v>
                </c:pt>
                <c:pt idx="6">
                  <c:v>Francfort</c:v>
                </c:pt>
                <c:pt idx="7">
                  <c:v>Karlsruhe</c:v>
                </c:pt>
                <c:pt idx="8">
                  <c:v>Luxembourg I</c:v>
                </c:pt>
                <c:pt idx="9">
                  <c:v>Luxembourg II</c:v>
                </c:pt>
                <c:pt idx="10">
                  <c:v>Mol</c:v>
                </c:pt>
                <c:pt idx="11">
                  <c:v>Munich</c:v>
                </c:pt>
                <c:pt idx="12">
                  <c:v>Varese</c:v>
                </c:pt>
              </c:strCache>
            </c:strRef>
          </c:cat>
          <c:val>
            <c:numRef>
              <c:f>'Tablettes (2)'!$G$7:$G$19</c:f>
            </c:numRef>
          </c:val>
          <c:extLst>
            <c:ext xmlns:c16="http://schemas.microsoft.com/office/drawing/2014/chart" uri="{C3380CC4-5D6E-409C-BE32-E72D297353CC}">
              <c16:uniqueId val="{00000004-B01F-40F0-BADB-F25D51FCA76F}"/>
            </c:ext>
          </c:extLst>
        </c:ser>
        <c:ser>
          <c:idx val="5"/>
          <c:order val="5"/>
          <c:tx>
            <c:strRef>
              <c:f>'Tablettes (2)'!$H$6</c:f>
              <c:strCache>
                <c:ptCount val="1"/>
                <c:pt idx="0">
                  <c:v>2016</c:v>
                </c:pt>
              </c:strCache>
            </c:strRef>
          </c:tx>
          <c:spPr>
            <a:solidFill>
              <a:srgbClr val="F79646"/>
            </a:solidFill>
            <a:ln w="25400">
              <a:noFill/>
            </a:ln>
          </c:spPr>
          <c:invertIfNegative val="0"/>
          <c:cat>
            <c:strRef>
              <c:f>'Tablettes (2)'!$B$7:$B$19</c:f>
              <c:strCache>
                <c:ptCount val="13"/>
                <c:pt idx="0">
                  <c:v>Alicante</c:v>
                </c:pt>
                <c:pt idx="1">
                  <c:v>Bergen</c:v>
                </c:pt>
                <c:pt idx="2">
                  <c:v>Brussels I</c:v>
                </c:pt>
                <c:pt idx="3">
                  <c:v>Brussels II</c:v>
                </c:pt>
                <c:pt idx="4">
                  <c:v>Brussels III</c:v>
                </c:pt>
                <c:pt idx="5">
                  <c:v>Brussels IV</c:v>
                </c:pt>
                <c:pt idx="6">
                  <c:v>Francfort</c:v>
                </c:pt>
                <c:pt idx="7">
                  <c:v>Karlsruhe</c:v>
                </c:pt>
                <c:pt idx="8">
                  <c:v>Luxembourg I</c:v>
                </c:pt>
                <c:pt idx="9">
                  <c:v>Luxembourg II</c:v>
                </c:pt>
                <c:pt idx="10">
                  <c:v>Mol</c:v>
                </c:pt>
                <c:pt idx="11">
                  <c:v>Munich</c:v>
                </c:pt>
                <c:pt idx="12">
                  <c:v>Varese</c:v>
                </c:pt>
              </c:strCache>
            </c:strRef>
          </c:cat>
          <c:val>
            <c:numRef>
              <c:f>'Tablettes (2)'!$H$7:$H$19</c:f>
              <c:numCache>
                <c:formatCode>General</c:formatCode>
                <c:ptCount val="13"/>
                <c:pt idx="0">
                  <c:v>180</c:v>
                </c:pt>
                <c:pt idx="1">
                  <c:v>16</c:v>
                </c:pt>
                <c:pt idx="2">
                  <c:v>5</c:v>
                </c:pt>
                <c:pt idx="3">
                  <c:v>83</c:v>
                </c:pt>
                <c:pt idx="4">
                  <c:v>72</c:v>
                </c:pt>
                <c:pt idx="5">
                  <c:v>215</c:v>
                </c:pt>
                <c:pt idx="6">
                  <c:v>58</c:v>
                </c:pt>
                <c:pt idx="7">
                  <c:v>67</c:v>
                </c:pt>
                <c:pt idx="8">
                  <c:v>389</c:v>
                </c:pt>
                <c:pt idx="9">
                  <c:v>45</c:v>
                </c:pt>
                <c:pt idx="10">
                  <c:v>10</c:v>
                </c:pt>
                <c:pt idx="11">
                  <c:v>20</c:v>
                </c:pt>
                <c:pt idx="12">
                  <c:v>9</c:v>
                </c:pt>
              </c:numCache>
            </c:numRef>
          </c:val>
          <c:extLst>
            <c:ext xmlns:c16="http://schemas.microsoft.com/office/drawing/2014/chart" uri="{C3380CC4-5D6E-409C-BE32-E72D297353CC}">
              <c16:uniqueId val="{00000005-B01F-40F0-BADB-F25D51FCA76F}"/>
            </c:ext>
          </c:extLst>
        </c:ser>
        <c:ser>
          <c:idx val="6"/>
          <c:order val="6"/>
          <c:tx>
            <c:strRef>
              <c:f>'Tablettes (2)'!$I$6</c:f>
              <c:strCache>
                <c:ptCount val="1"/>
                <c:pt idx="0">
                  <c:v>TABL</c:v>
                </c:pt>
              </c:strCache>
            </c:strRef>
          </c:tx>
          <c:spPr>
            <a:solidFill>
              <a:schemeClr val="accent1">
                <a:lumMod val="60000"/>
              </a:schemeClr>
            </a:solidFill>
            <a:ln>
              <a:noFill/>
            </a:ln>
            <a:effectLst/>
          </c:spPr>
          <c:invertIfNegative val="0"/>
          <c:cat>
            <c:strRef>
              <c:f>'Tablettes (2)'!$B$7:$B$19</c:f>
              <c:strCache>
                <c:ptCount val="13"/>
                <c:pt idx="0">
                  <c:v>Alicante</c:v>
                </c:pt>
                <c:pt idx="1">
                  <c:v>Bergen</c:v>
                </c:pt>
                <c:pt idx="2">
                  <c:v>Brussels I</c:v>
                </c:pt>
                <c:pt idx="3">
                  <c:v>Brussels II</c:v>
                </c:pt>
                <c:pt idx="4">
                  <c:v>Brussels III</c:v>
                </c:pt>
                <c:pt idx="5">
                  <c:v>Brussels IV</c:v>
                </c:pt>
                <c:pt idx="6">
                  <c:v>Francfort</c:v>
                </c:pt>
                <c:pt idx="7">
                  <c:v>Karlsruhe</c:v>
                </c:pt>
                <c:pt idx="8">
                  <c:v>Luxembourg I</c:v>
                </c:pt>
                <c:pt idx="9">
                  <c:v>Luxembourg II</c:v>
                </c:pt>
                <c:pt idx="10">
                  <c:v>Mol</c:v>
                </c:pt>
                <c:pt idx="11">
                  <c:v>Munich</c:v>
                </c:pt>
                <c:pt idx="12">
                  <c:v>Varese</c:v>
                </c:pt>
              </c:strCache>
            </c:strRef>
          </c:cat>
          <c:val>
            <c:numRef>
              <c:f>'Tablettes (2)'!$I$7:$I$19</c:f>
            </c:numRef>
          </c:val>
          <c:extLst>
            <c:ext xmlns:c16="http://schemas.microsoft.com/office/drawing/2014/chart" uri="{C3380CC4-5D6E-409C-BE32-E72D297353CC}">
              <c16:uniqueId val="{00000006-B01F-40F0-BADB-F25D51FCA76F}"/>
            </c:ext>
          </c:extLst>
        </c:ser>
        <c:ser>
          <c:idx val="7"/>
          <c:order val="7"/>
          <c:tx>
            <c:strRef>
              <c:f>'Tablettes (2)'!$J$6</c:f>
              <c:strCache>
                <c:ptCount val="1"/>
                <c:pt idx="0">
                  <c:v>TABL</c:v>
                </c:pt>
              </c:strCache>
            </c:strRef>
          </c:tx>
          <c:spPr>
            <a:solidFill>
              <a:schemeClr val="accent2">
                <a:lumMod val="60000"/>
              </a:schemeClr>
            </a:solidFill>
            <a:ln>
              <a:noFill/>
            </a:ln>
            <a:effectLst/>
          </c:spPr>
          <c:invertIfNegative val="0"/>
          <c:cat>
            <c:strRef>
              <c:f>'Tablettes (2)'!$B$7:$B$19</c:f>
              <c:strCache>
                <c:ptCount val="13"/>
                <c:pt idx="0">
                  <c:v>Alicante</c:v>
                </c:pt>
                <c:pt idx="1">
                  <c:v>Bergen</c:v>
                </c:pt>
                <c:pt idx="2">
                  <c:v>Brussels I</c:v>
                </c:pt>
                <c:pt idx="3">
                  <c:v>Brussels II</c:v>
                </c:pt>
                <c:pt idx="4">
                  <c:v>Brussels III</c:v>
                </c:pt>
                <c:pt idx="5">
                  <c:v>Brussels IV</c:v>
                </c:pt>
                <c:pt idx="6">
                  <c:v>Francfort</c:v>
                </c:pt>
                <c:pt idx="7">
                  <c:v>Karlsruhe</c:v>
                </c:pt>
                <c:pt idx="8">
                  <c:v>Luxembourg I</c:v>
                </c:pt>
                <c:pt idx="9">
                  <c:v>Luxembourg II</c:v>
                </c:pt>
                <c:pt idx="10">
                  <c:v>Mol</c:v>
                </c:pt>
                <c:pt idx="11">
                  <c:v>Munich</c:v>
                </c:pt>
                <c:pt idx="12">
                  <c:v>Varese</c:v>
                </c:pt>
              </c:strCache>
            </c:strRef>
          </c:cat>
          <c:val>
            <c:numRef>
              <c:f>'Tablettes (2)'!$J$7:$J$19</c:f>
            </c:numRef>
          </c:val>
          <c:extLst>
            <c:ext xmlns:c16="http://schemas.microsoft.com/office/drawing/2014/chart" uri="{C3380CC4-5D6E-409C-BE32-E72D297353CC}">
              <c16:uniqueId val="{00000007-B01F-40F0-BADB-F25D51FCA76F}"/>
            </c:ext>
          </c:extLst>
        </c:ser>
        <c:ser>
          <c:idx val="8"/>
          <c:order val="8"/>
          <c:tx>
            <c:strRef>
              <c:f>'Tablettes (2)'!$K$6</c:f>
              <c:strCache>
                <c:ptCount val="1"/>
                <c:pt idx="0">
                  <c:v>TABL</c:v>
                </c:pt>
              </c:strCache>
            </c:strRef>
          </c:tx>
          <c:spPr>
            <a:solidFill>
              <a:schemeClr val="accent3">
                <a:lumMod val="60000"/>
              </a:schemeClr>
            </a:solidFill>
            <a:ln>
              <a:noFill/>
            </a:ln>
            <a:effectLst/>
          </c:spPr>
          <c:invertIfNegative val="0"/>
          <c:cat>
            <c:strRef>
              <c:f>'Tablettes (2)'!$B$7:$B$19</c:f>
              <c:strCache>
                <c:ptCount val="13"/>
                <c:pt idx="0">
                  <c:v>Alicante</c:v>
                </c:pt>
                <c:pt idx="1">
                  <c:v>Bergen</c:v>
                </c:pt>
                <c:pt idx="2">
                  <c:v>Brussels I</c:v>
                </c:pt>
                <c:pt idx="3">
                  <c:v>Brussels II</c:v>
                </c:pt>
                <c:pt idx="4">
                  <c:v>Brussels III</c:v>
                </c:pt>
                <c:pt idx="5">
                  <c:v>Brussels IV</c:v>
                </c:pt>
                <c:pt idx="6">
                  <c:v>Francfort</c:v>
                </c:pt>
                <c:pt idx="7">
                  <c:v>Karlsruhe</c:v>
                </c:pt>
                <c:pt idx="8">
                  <c:v>Luxembourg I</c:v>
                </c:pt>
                <c:pt idx="9">
                  <c:v>Luxembourg II</c:v>
                </c:pt>
                <c:pt idx="10">
                  <c:v>Mol</c:v>
                </c:pt>
                <c:pt idx="11">
                  <c:v>Munich</c:v>
                </c:pt>
                <c:pt idx="12">
                  <c:v>Varese</c:v>
                </c:pt>
              </c:strCache>
            </c:strRef>
          </c:cat>
          <c:val>
            <c:numRef>
              <c:f>'Tablettes (2)'!$K$7:$K$19</c:f>
            </c:numRef>
          </c:val>
          <c:extLst>
            <c:ext xmlns:c16="http://schemas.microsoft.com/office/drawing/2014/chart" uri="{C3380CC4-5D6E-409C-BE32-E72D297353CC}">
              <c16:uniqueId val="{00000008-B01F-40F0-BADB-F25D51FCA76F}"/>
            </c:ext>
          </c:extLst>
        </c:ser>
        <c:ser>
          <c:idx val="9"/>
          <c:order val="9"/>
          <c:tx>
            <c:strRef>
              <c:f>'Tablettes (2)'!$L$6</c:f>
              <c:strCache>
                <c:ptCount val="1"/>
                <c:pt idx="0">
                  <c:v>TABL</c:v>
                </c:pt>
              </c:strCache>
            </c:strRef>
          </c:tx>
          <c:spPr>
            <a:solidFill>
              <a:schemeClr val="accent4">
                <a:lumMod val="60000"/>
              </a:schemeClr>
            </a:solidFill>
            <a:ln>
              <a:noFill/>
            </a:ln>
            <a:effectLst/>
          </c:spPr>
          <c:invertIfNegative val="0"/>
          <c:cat>
            <c:strRef>
              <c:f>'Tablettes (2)'!$B$7:$B$19</c:f>
              <c:strCache>
                <c:ptCount val="13"/>
                <c:pt idx="0">
                  <c:v>Alicante</c:v>
                </c:pt>
                <c:pt idx="1">
                  <c:v>Bergen</c:v>
                </c:pt>
                <c:pt idx="2">
                  <c:v>Brussels I</c:v>
                </c:pt>
                <c:pt idx="3">
                  <c:v>Brussels II</c:v>
                </c:pt>
                <c:pt idx="4">
                  <c:v>Brussels III</c:v>
                </c:pt>
                <c:pt idx="5">
                  <c:v>Brussels IV</c:v>
                </c:pt>
                <c:pt idx="6">
                  <c:v>Francfort</c:v>
                </c:pt>
                <c:pt idx="7">
                  <c:v>Karlsruhe</c:v>
                </c:pt>
                <c:pt idx="8">
                  <c:v>Luxembourg I</c:v>
                </c:pt>
                <c:pt idx="9">
                  <c:v>Luxembourg II</c:v>
                </c:pt>
                <c:pt idx="10">
                  <c:v>Mol</c:v>
                </c:pt>
                <c:pt idx="11">
                  <c:v>Munich</c:v>
                </c:pt>
                <c:pt idx="12">
                  <c:v>Varese</c:v>
                </c:pt>
              </c:strCache>
            </c:strRef>
          </c:cat>
          <c:val>
            <c:numRef>
              <c:f>'Tablettes (2)'!$L$7:$L$19</c:f>
            </c:numRef>
          </c:val>
          <c:extLst>
            <c:ext xmlns:c16="http://schemas.microsoft.com/office/drawing/2014/chart" uri="{C3380CC4-5D6E-409C-BE32-E72D297353CC}">
              <c16:uniqueId val="{00000009-B01F-40F0-BADB-F25D51FCA76F}"/>
            </c:ext>
          </c:extLst>
        </c:ser>
        <c:ser>
          <c:idx val="10"/>
          <c:order val="10"/>
          <c:tx>
            <c:strRef>
              <c:f>'Tablettes (2)'!$M$6</c:f>
              <c:strCache>
                <c:ptCount val="1"/>
                <c:pt idx="0">
                  <c:v>2017</c:v>
                </c:pt>
              </c:strCache>
            </c:strRef>
          </c:tx>
          <c:spPr>
            <a:solidFill>
              <a:schemeClr val="accent5">
                <a:lumMod val="60000"/>
              </a:schemeClr>
            </a:solidFill>
            <a:ln>
              <a:noFill/>
            </a:ln>
            <a:effectLst/>
          </c:spPr>
          <c:invertIfNegative val="0"/>
          <c:cat>
            <c:strRef>
              <c:f>'Tablettes (2)'!$B$7:$B$19</c:f>
              <c:strCache>
                <c:ptCount val="13"/>
                <c:pt idx="0">
                  <c:v>Alicante</c:v>
                </c:pt>
                <c:pt idx="1">
                  <c:v>Bergen</c:v>
                </c:pt>
                <c:pt idx="2">
                  <c:v>Brussels I</c:v>
                </c:pt>
                <c:pt idx="3">
                  <c:v>Brussels II</c:v>
                </c:pt>
                <c:pt idx="4">
                  <c:v>Brussels III</c:v>
                </c:pt>
                <c:pt idx="5">
                  <c:v>Brussels IV</c:v>
                </c:pt>
                <c:pt idx="6">
                  <c:v>Francfort</c:v>
                </c:pt>
                <c:pt idx="7">
                  <c:v>Karlsruhe</c:v>
                </c:pt>
                <c:pt idx="8">
                  <c:v>Luxembourg I</c:v>
                </c:pt>
                <c:pt idx="9">
                  <c:v>Luxembourg II</c:v>
                </c:pt>
                <c:pt idx="10">
                  <c:v>Mol</c:v>
                </c:pt>
                <c:pt idx="11">
                  <c:v>Munich</c:v>
                </c:pt>
                <c:pt idx="12">
                  <c:v>Varese</c:v>
                </c:pt>
              </c:strCache>
            </c:strRef>
          </c:cat>
          <c:val>
            <c:numRef>
              <c:f>'Tablettes (2)'!$M$7:$M$19</c:f>
              <c:numCache>
                <c:formatCode>General</c:formatCode>
                <c:ptCount val="13"/>
                <c:pt idx="0">
                  <c:v>180</c:v>
                </c:pt>
                <c:pt idx="1">
                  <c:v>19</c:v>
                </c:pt>
                <c:pt idx="2">
                  <c:v>9</c:v>
                </c:pt>
                <c:pt idx="3">
                  <c:v>48</c:v>
                </c:pt>
                <c:pt idx="4">
                  <c:v>87</c:v>
                </c:pt>
                <c:pt idx="5">
                  <c:v>94</c:v>
                </c:pt>
                <c:pt idx="6">
                  <c:v>56</c:v>
                </c:pt>
                <c:pt idx="7">
                  <c:v>73</c:v>
                </c:pt>
                <c:pt idx="8">
                  <c:v>399</c:v>
                </c:pt>
                <c:pt idx="9">
                  <c:v>72</c:v>
                </c:pt>
                <c:pt idx="10">
                  <c:v>10</c:v>
                </c:pt>
                <c:pt idx="11">
                  <c:v>21</c:v>
                </c:pt>
                <c:pt idx="12">
                  <c:v>9</c:v>
                </c:pt>
              </c:numCache>
            </c:numRef>
          </c:val>
          <c:extLst>
            <c:ext xmlns:c16="http://schemas.microsoft.com/office/drawing/2014/chart" uri="{C3380CC4-5D6E-409C-BE32-E72D297353CC}">
              <c16:uniqueId val="{0000000A-B01F-40F0-BADB-F25D51FCA76F}"/>
            </c:ext>
          </c:extLst>
        </c:ser>
        <c:ser>
          <c:idx val="11"/>
          <c:order val="11"/>
          <c:tx>
            <c:strRef>
              <c:f>'Tablettes (2)'!$N$6</c:f>
              <c:strCache>
                <c:ptCount val="1"/>
                <c:pt idx="0">
                  <c:v>TABL</c:v>
                </c:pt>
              </c:strCache>
            </c:strRef>
          </c:tx>
          <c:invertIfNegative val="0"/>
          <c:cat>
            <c:strRef>
              <c:f>'Tablettes (2)'!$B$7:$B$19</c:f>
              <c:strCache>
                <c:ptCount val="13"/>
                <c:pt idx="0">
                  <c:v>Alicante</c:v>
                </c:pt>
                <c:pt idx="1">
                  <c:v>Bergen</c:v>
                </c:pt>
                <c:pt idx="2">
                  <c:v>Brussels I</c:v>
                </c:pt>
                <c:pt idx="3">
                  <c:v>Brussels II</c:v>
                </c:pt>
                <c:pt idx="4">
                  <c:v>Brussels III</c:v>
                </c:pt>
                <c:pt idx="5">
                  <c:v>Brussels IV</c:v>
                </c:pt>
                <c:pt idx="6">
                  <c:v>Francfort</c:v>
                </c:pt>
                <c:pt idx="7">
                  <c:v>Karlsruhe</c:v>
                </c:pt>
                <c:pt idx="8">
                  <c:v>Luxembourg I</c:v>
                </c:pt>
                <c:pt idx="9">
                  <c:v>Luxembourg II</c:v>
                </c:pt>
                <c:pt idx="10">
                  <c:v>Mol</c:v>
                </c:pt>
                <c:pt idx="11">
                  <c:v>Munich</c:v>
                </c:pt>
                <c:pt idx="12">
                  <c:v>Varese</c:v>
                </c:pt>
              </c:strCache>
            </c:strRef>
          </c:cat>
          <c:val>
            <c:numRef>
              <c:f>'Tablettes (2)'!$N$7:$N$19</c:f>
            </c:numRef>
          </c:val>
          <c:extLst>
            <c:ext xmlns:c16="http://schemas.microsoft.com/office/drawing/2014/chart" uri="{C3380CC4-5D6E-409C-BE32-E72D297353CC}">
              <c16:uniqueId val="{0000000B-B01F-40F0-BADB-F25D51FCA76F}"/>
            </c:ext>
          </c:extLst>
        </c:ser>
        <c:ser>
          <c:idx val="12"/>
          <c:order val="12"/>
          <c:tx>
            <c:strRef>
              <c:f>'Tablettes (2)'!$O$6</c:f>
              <c:strCache>
                <c:ptCount val="1"/>
                <c:pt idx="0">
                  <c:v>TABL</c:v>
                </c:pt>
              </c:strCache>
            </c:strRef>
          </c:tx>
          <c:invertIfNegative val="0"/>
          <c:cat>
            <c:strRef>
              <c:f>'Tablettes (2)'!$B$7:$B$19</c:f>
              <c:strCache>
                <c:ptCount val="13"/>
                <c:pt idx="0">
                  <c:v>Alicante</c:v>
                </c:pt>
                <c:pt idx="1">
                  <c:v>Bergen</c:v>
                </c:pt>
                <c:pt idx="2">
                  <c:v>Brussels I</c:v>
                </c:pt>
                <c:pt idx="3">
                  <c:v>Brussels II</c:v>
                </c:pt>
                <c:pt idx="4">
                  <c:v>Brussels III</c:v>
                </c:pt>
                <c:pt idx="5">
                  <c:v>Brussels IV</c:v>
                </c:pt>
                <c:pt idx="6">
                  <c:v>Francfort</c:v>
                </c:pt>
                <c:pt idx="7">
                  <c:v>Karlsruhe</c:v>
                </c:pt>
                <c:pt idx="8">
                  <c:v>Luxembourg I</c:v>
                </c:pt>
                <c:pt idx="9">
                  <c:v>Luxembourg II</c:v>
                </c:pt>
                <c:pt idx="10">
                  <c:v>Mol</c:v>
                </c:pt>
                <c:pt idx="11">
                  <c:v>Munich</c:v>
                </c:pt>
                <c:pt idx="12">
                  <c:v>Varese</c:v>
                </c:pt>
              </c:strCache>
            </c:strRef>
          </c:cat>
          <c:val>
            <c:numRef>
              <c:f>'Tablettes (2)'!$O$7:$O$19</c:f>
            </c:numRef>
          </c:val>
          <c:extLst>
            <c:ext xmlns:c16="http://schemas.microsoft.com/office/drawing/2014/chart" uri="{C3380CC4-5D6E-409C-BE32-E72D297353CC}">
              <c16:uniqueId val="{0000000C-B01F-40F0-BADB-F25D51FCA76F}"/>
            </c:ext>
          </c:extLst>
        </c:ser>
        <c:ser>
          <c:idx val="13"/>
          <c:order val="13"/>
          <c:tx>
            <c:strRef>
              <c:f>'Tablettes (2)'!$P$6</c:f>
              <c:strCache>
                <c:ptCount val="1"/>
                <c:pt idx="0">
                  <c:v>TABL</c:v>
                </c:pt>
              </c:strCache>
            </c:strRef>
          </c:tx>
          <c:invertIfNegative val="0"/>
          <c:cat>
            <c:strRef>
              <c:f>'Tablettes (2)'!$B$7:$B$19</c:f>
              <c:strCache>
                <c:ptCount val="13"/>
                <c:pt idx="0">
                  <c:v>Alicante</c:v>
                </c:pt>
                <c:pt idx="1">
                  <c:v>Bergen</c:v>
                </c:pt>
                <c:pt idx="2">
                  <c:v>Brussels I</c:v>
                </c:pt>
                <c:pt idx="3">
                  <c:v>Brussels II</c:v>
                </c:pt>
                <c:pt idx="4">
                  <c:v>Brussels III</c:v>
                </c:pt>
                <c:pt idx="5">
                  <c:v>Brussels IV</c:v>
                </c:pt>
                <c:pt idx="6">
                  <c:v>Francfort</c:v>
                </c:pt>
                <c:pt idx="7">
                  <c:v>Karlsruhe</c:v>
                </c:pt>
                <c:pt idx="8">
                  <c:v>Luxembourg I</c:v>
                </c:pt>
                <c:pt idx="9">
                  <c:v>Luxembourg II</c:v>
                </c:pt>
                <c:pt idx="10">
                  <c:v>Mol</c:v>
                </c:pt>
                <c:pt idx="11">
                  <c:v>Munich</c:v>
                </c:pt>
                <c:pt idx="12">
                  <c:v>Varese</c:v>
                </c:pt>
              </c:strCache>
            </c:strRef>
          </c:cat>
          <c:val>
            <c:numRef>
              <c:f>'Tablettes (2)'!$P$7:$P$19</c:f>
            </c:numRef>
          </c:val>
          <c:extLst>
            <c:ext xmlns:c16="http://schemas.microsoft.com/office/drawing/2014/chart" uri="{C3380CC4-5D6E-409C-BE32-E72D297353CC}">
              <c16:uniqueId val="{0000000D-B01F-40F0-BADB-F25D51FCA76F}"/>
            </c:ext>
          </c:extLst>
        </c:ser>
        <c:ser>
          <c:idx val="14"/>
          <c:order val="14"/>
          <c:tx>
            <c:strRef>
              <c:f>'Tablettes (2)'!$Q$6</c:f>
              <c:strCache>
                <c:ptCount val="1"/>
                <c:pt idx="0">
                  <c:v>TABL</c:v>
                </c:pt>
              </c:strCache>
            </c:strRef>
          </c:tx>
          <c:invertIfNegative val="0"/>
          <c:cat>
            <c:strRef>
              <c:f>'Tablettes (2)'!$B$7:$B$19</c:f>
              <c:strCache>
                <c:ptCount val="13"/>
                <c:pt idx="0">
                  <c:v>Alicante</c:v>
                </c:pt>
                <c:pt idx="1">
                  <c:v>Bergen</c:v>
                </c:pt>
                <c:pt idx="2">
                  <c:v>Brussels I</c:v>
                </c:pt>
                <c:pt idx="3">
                  <c:v>Brussels II</c:v>
                </c:pt>
                <c:pt idx="4">
                  <c:v>Brussels III</c:v>
                </c:pt>
                <c:pt idx="5">
                  <c:v>Brussels IV</c:v>
                </c:pt>
                <c:pt idx="6">
                  <c:v>Francfort</c:v>
                </c:pt>
                <c:pt idx="7">
                  <c:v>Karlsruhe</c:v>
                </c:pt>
                <c:pt idx="8">
                  <c:v>Luxembourg I</c:v>
                </c:pt>
                <c:pt idx="9">
                  <c:v>Luxembourg II</c:v>
                </c:pt>
                <c:pt idx="10">
                  <c:v>Mol</c:v>
                </c:pt>
                <c:pt idx="11">
                  <c:v>Munich</c:v>
                </c:pt>
                <c:pt idx="12">
                  <c:v>Varese</c:v>
                </c:pt>
              </c:strCache>
            </c:strRef>
          </c:cat>
          <c:val>
            <c:numRef>
              <c:f>'Tablettes (2)'!$Q$7:$Q$19</c:f>
            </c:numRef>
          </c:val>
          <c:extLst>
            <c:ext xmlns:c16="http://schemas.microsoft.com/office/drawing/2014/chart" uri="{C3380CC4-5D6E-409C-BE32-E72D297353CC}">
              <c16:uniqueId val="{0000000E-B01F-40F0-BADB-F25D51FCA76F}"/>
            </c:ext>
          </c:extLst>
        </c:ser>
        <c:ser>
          <c:idx val="15"/>
          <c:order val="15"/>
          <c:tx>
            <c:strRef>
              <c:f>'Tablettes (2)'!$R$6</c:f>
              <c:strCache>
                <c:ptCount val="1"/>
                <c:pt idx="0">
                  <c:v>2018</c:v>
                </c:pt>
              </c:strCache>
            </c:strRef>
          </c:tx>
          <c:invertIfNegative val="0"/>
          <c:cat>
            <c:strRef>
              <c:f>'Tablettes (2)'!$B$7:$B$19</c:f>
              <c:strCache>
                <c:ptCount val="13"/>
                <c:pt idx="0">
                  <c:v>Alicante</c:v>
                </c:pt>
                <c:pt idx="1">
                  <c:v>Bergen</c:v>
                </c:pt>
                <c:pt idx="2">
                  <c:v>Brussels I</c:v>
                </c:pt>
                <c:pt idx="3">
                  <c:v>Brussels II</c:v>
                </c:pt>
                <c:pt idx="4">
                  <c:v>Brussels III</c:v>
                </c:pt>
                <c:pt idx="5">
                  <c:v>Brussels IV</c:v>
                </c:pt>
                <c:pt idx="6">
                  <c:v>Francfort</c:v>
                </c:pt>
                <c:pt idx="7">
                  <c:v>Karlsruhe</c:v>
                </c:pt>
                <c:pt idx="8">
                  <c:v>Luxembourg I</c:v>
                </c:pt>
                <c:pt idx="9">
                  <c:v>Luxembourg II</c:v>
                </c:pt>
                <c:pt idx="10">
                  <c:v>Mol</c:v>
                </c:pt>
                <c:pt idx="11">
                  <c:v>Munich</c:v>
                </c:pt>
                <c:pt idx="12">
                  <c:v>Varese</c:v>
                </c:pt>
              </c:strCache>
            </c:strRef>
          </c:cat>
          <c:val>
            <c:numRef>
              <c:f>'Tablettes (2)'!$R$7:$R$19</c:f>
              <c:numCache>
                <c:formatCode>General</c:formatCode>
                <c:ptCount val="13"/>
                <c:pt idx="0">
                  <c:v>180</c:v>
                </c:pt>
                <c:pt idx="1">
                  <c:v>42</c:v>
                </c:pt>
                <c:pt idx="2">
                  <c:v>10</c:v>
                </c:pt>
                <c:pt idx="3">
                  <c:v>60</c:v>
                </c:pt>
                <c:pt idx="4">
                  <c:v>101</c:v>
                </c:pt>
                <c:pt idx="5">
                  <c:v>203</c:v>
                </c:pt>
                <c:pt idx="6">
                  <c:v>56</c:v>
                </c:pt>
                <c:pt idx="7">
                  <c:v>72</c:v>
                </c:pt>
                <c:pt idx="8">
                  <c:v>424</c:v>
                </c:pt>
                <c:pt idx="9">
                  <c:v>71</c:v>
                </c:pt>
                <c:pt idx="10">
                  <c:v>8</c:v>
                </c:pt>
                <c:pt idx="11">
                  <c:v>34</c:v>
                </c:pt>
                <c:pt idx="12">
                  <c:v>9</c:v>
                </c:pt>
              </c:numCache>
            </c:numRef>
          </c:val>
          <c:extLst>
            <c:ext xmlns:c16="http://schemas.microsoft.com/office/drawing/2014/chart" uri="{C3380CC4-5D6E-409C-BE32-E72D297353CC}">
              <c16:uniqueId val="{0000000F-B01F-40F0-BADB-F25D51FCA76F}"/>
            </c:ext>
          </c:extLst>
        </c:ser>
        <c:dLbls>
          <c:showLegendKey val="0"/>
          <c:showVal val="0"/>
          <c:showCatName val="0"/>
          <c:showSerName val="0"/>
          <c:showPercent val="0"/>
          <c:showBubbleSize val="0"/>
        </c:dLbls>
        <c:gapWidth val="219"/>
        <c:overlap val="-27"/>
        <c:axId val="251984128"/>
        <c:axId val="249278464"/>
      </c:barChart>
      <c:catAx>
        <c:axId val="25198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278464"/>
        <c:crosses val="autoZero"/>
        <c:auto val="1"/>
        <c:lblAlgn val="ctr"/>
        <c:lblOffset val="100"/>
        <c:noMultiLvlLbl val="0"/>
      </c:catAx>
      <c:valAx>
        <c:axId val="249278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984128"/>
        <c:crosses val="autoZero"/>
        <c:crossBetween val="between"/>
      </c:valAx>
      <c:spPr>
        <a:noFill/>
        <a:ln w="25400">
          <a:noFill/>
        </a:ln>
      </c:spPr>
    </c:plotArea>
    <c:legend>
      <c:legendPos val="b"/>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Evolution des budgets</a:t>
            </a:r>
            <a:r>
              <a:rPr lang="fr-BE" baseline="0"/>
              <a:t> IT</a:t>
            </a:r>
            <a:endParaRPr lang="fr-BE"/>
          </a:p>
        </c:rich>
      </c:tx>
      <c:layout/>
      <c:overlay val="0"/>
      <c:spPr>
        <a:noFill/>
        <a:ln>
          <a:noFill/>
        </a:ln>
        <a:effectLst/>
      </c:spPr>
    </c:title>
    <c:autoTitleDeleted val="0"/>
    <c:plotArea>
      <c:layout/>
      <c:barChart>
        <c:barDir val="bar"/>
        <c:grouping val="clustered"/>
        <c:varyColors val="0"/>
        <c:ser>
          <c:idx val="0"/>
          <c:order val="0"/>
          <c:tx>
            <c:strRef>
              <c:f>'[IT Budget Evolution_2019.xlsx]Sheet2'!$B$3</c:f>
              <c:strCache>
                <c:ptCount val="1"/>
                <c:pt idx="0">
                  <c:v>2020</c:v>
                </c:pt>
              </c:strCache>
            </c:strRef>
          </c:tx>
          <c:spPr>
            <a:solidFill>
              <a:schemeClr val="accent1"/>
            </a:solidFill>
            <a:ln>
              <a:noFill/>
            </a:ln>
            <a:effectLst/>
          </c:spPr>
          <c:invertIfNegative val="0"/>
          <c:cat>
            <c:strRef>
              <c:f>'[IT Budget Evolution_2019.xlsx]Sheet2'!$C$1:$Q$2</c:f>
              <c:strCache>
                <c:ptCount val="14"/>
                <c:pt idx="0">
                  <c:v>Central Office</c:v>
                </c:pt>
                <c:pt idx="1">
                  <c:v>Varese</c:v>
                </c:pt>
                <c:pt idx="2">
                  <c:v>Munich</c:v>
                </c:pt>
                <c:pt idx="3">
                  <c:v>Mol</c:v>
                </c:pt>
                <c:pt idx="4">
                  <c:v>Luxembourg 2 Mamer</c:v>
                </c:pt>
                <c:pt idx="5">
                  <c:v>Luxembourg 1</c:v>
                </c:pt>
                <c:pt idx="6">
                  <c:v>Karlsruhe</c:v>
                </c:pt>
                <c:pt idx="7">
                  <c:v>Francfort</c:v>
                </c:pt>
                <c:pt idx="8">
                  <c:v>Brussels 4 Laeken</c:v>
                </c:pt>
                <c:pt idx="9">
                  <c:v>Brussels 3 Ixelles</c:v>
                </c:pt>
                <c:pt idx="10">
                  <c:v>Brussels 2 Woluwe</c:v>
                </c:pt>
                <c:pt idx="11">
                  <c:v>Brussels 1 Uccle</c:v>
                </c:pt>
                <c:pt idx="12">
                  <c:v>Bergen</c:v>
                </c:pt>
                <c:pt idx="13">
                  <c:v>Alicante</c:v>
                </c:pt>
              </c:strCache>
            </c:strRef>
          </c:cat>
          <c:val>
            <c:numRef>
              <c:f>'[IT Budget Evolution_2019.xlsx]Sheet2'!$C$3:$Q$3</c:f>
              <c:numCache>
                <c:formatCode>_ * #,##0_ ;_ * \-#,##0_ ;_ * "-"_ ;_ @_ </c:formatCode>
                <c:ptCount val="14"/>
                <c:pt idx="0">
                  <c:v>1773680</c:v>
                </c:pt>
                <c:pt idx="1">
                  <c:v>147300</c:v>
                </c:pt>
                <c:pt idx="2">
                  <c:v>293556</c:v>
                </c:pt>
                <c:pt idx="3">
                  <c:v>64700</c:v>
                </c:pt>
                <c:pt idx="4">
                  <c:v>287540</c:v>
                </c:pt>
                <c:pt idx="5">
                  <c:v>271719</c:v>
                </c:pt>
                <c:pt idx="6">
                  <c:v>138000</c:v>
                </c:pt>
                <c:pt idx="7">
                  <c:v>147000</c:v>
                </c:pt>
                <c:pt idx="8">
                  <c:v>252609</c:v>
                </c:pt>
                <c:pt idx="9">
                  <c:v>330010</c:v>
                </c:pt>
                <c:pt idx="10">
                  <c:v>221916</c:v>
                </c:pt>
                <c:pt idx="11">
                  <c:v>369100</c:v>
                </c:pt>
                <c:pt idx="12">
                  <c:v>131110</c:v>
                </c:pt>
                <c:pt idx="13">
                  <c:v>124000</c:v>
                </c:pt>
              </c:numCache>
            </c:numRef>
          </c:val>
          <c:extLst>
            <c:ext xmlns:c16="http://schemas.microsoft.com/office/drawing/2014/chart" uri="{C3380CC4-5D6E-409C-BE32-E72D297353CC}">
              <c16:uniqueId val="{00000000-D0F1-4A2B-9D5F-50ACB8BB02A5}"/>
            </c:ext>
          </c:extLst>
        </c:ser>
        <c:ser>
          <c:idx val="1"/>
          <c:order val="1"/>
          <c:tx>
            <c:strRef>
              <c:f>'[IT Budget Evolution_2019.xlsx]Sheet2'!$B$4</c:f>
              <c:strCache>
                <c:ptCount val="1"/>
                <c:pt idx="0">
                  <c:v>2019</c:v>
                </c:pt>
              </c:strCache>
            </c:strRef>
          </c:tx>
          <c:spPr>
            <a:solidFill>
              <a:schemeClr val="accent2"/>
            </a:solidFill>
            <a:ln>
              <a:noFill/>
            </a:ln>
            <a:effectLst/>
          </c:spPr>
          <c:invertIfNegative val="0"/>
          <c:cat>
            <c:strRef>
              <c:f>'[IT Budget Evolution_2019.xlsx]Sheet2'!$C$1:$Q$2</c:f>
              <c:strCache>
                <c:ptCount val="14"/>
                <c:pt idx="0">
                  <c:v>Central Office</c:v>
                </c:pt>
                <c:pt idx="1">
                  <c:v>Varese</c:v>
                </c:pt>
                <c:pt idx="2">
                  <c:v>Munich</c:v>
                </c:pt>
                <c:pt idx="3">
                  <c:v>Mol</c:v>
                </c:pt>
                <c:pt idx="4">
                  <c:v>Luxembourg 2 Mamer</c:v>
                </c:pt>
                <c:pt idx="5">
                  <c:v>Luxembourg 1</c:v>
                </c:pt>
                <c:pt idx="6">
                  <c:v>Karlsruhe</c:v>
                </c:pt>
                <c:pt idx="7">
                  <c:v>Francfort</c:v>
                </c:pt>
                <c:pt idx="8">
                  <c:v>Brussels 4 Laeken</c:v>
                </c:pt>
                <c:pt idx="9">
                  <c:v>Brussels 3 Ixelles</c:v>
                </c:pt>
                <c:pt idx="10">
                  <c:v>Brussels 2 Woluwe</c:v>
                </c:pt>
                <c:pt idx="11">
                  <c:v>Brussels 1 Uccle</c:v>
                </c:pt>
                <c:pt idx="12">
                  <c:v>Bergen</c:v>
                </c:pt>
                <c:pt idx="13">
                  <c:v>Alicante</c:v>
                </c:pt>
              </c:strCache>
            </c:strRef>
          </c:cat>
          <c:val>
            <c:numRef>
              <c:f>'[IT Budget Evolution_2019.xlsx]Sheet2'!$C$4:$Q$4</c:f>
              <c:numCache>
                <c:formatCode>_ * #,##0_ ;_ * \-#,##0_ ;_ * "-"_ ;_ @_ </c:formatCode>
                <c:ptCount val="14"/>
                <c:pt idx="0">
                  <c:v>1389696</c:v>
                </c:pt>
                <c:pt idx="1">
                  <c:v>116500</c:v>
                </c:pt>
                <c:pt idx="2">
                  <c:v>245900</c:v>
                </c:pt>
                <c:pt idx="3">
                  <c:v>66500</c:v>
                </c:pt>
                <c:pt idx="4">
                  <c:v>278980</c:v>
                </c:pt>
                <c:pt idx="5">
                  <c:v>238908</c:v>
                </c:pt>
                <c:pt idx="6">
                  <c:v>113100</c:v>
                </c:pt>
                <c:pt idx="7">
                  <c:v>160372</c:v>
                </c:pt>
                <c:pt idx="8">
                  <c:v>241808</c:v>
                </c:pt>
                <c:pt idx="9">
                  <c:v>306400</c:v>
                </c:pt>
                <c:pt idx="10">
                  <c:v>220900</c:v>
                </c:pt>
                <c:pt idx="11">
                  <c:v>325400</c:v>
                </c:pt>
                <c:pt idx="12">
                  <c:v>127400</c:v>
                </c:pt>
                <c:pt idx="13">
                  <c:v>106760</c:v>
                </c:pt>
              </c:numCache>
            </c:numRef>
          </c:val>
          <c:extLst>
            <c:ext xmlns:c16="http://schemas.microsoft.com/office/drawing/2014/chart" uri="{C3380CC4-5D6E-409C-BE32-E72D297353CC}">
              <c16:uniqueId val="{00000001-D0F1-4A2B-9D5F-50ACB8BB02A5}"/>
            </c:ext>
          </c:extLst>
        </c:ser>
        <c:ser>
          <c:idx val="2"/>
          <c:order val="2"/>
          <c:tx>
            <c:strRef>
              <c:f>'[IT Budget Evolution_2019.xlsx]Sheet2'!$B$5</c:f>
              <c:strCache>
                <c:ptCount val="1"/>
                <c:pt idx="0">
                  <c:v>2018</c:v>
                </c:pt>
              </c:strCache>
            </c:strRef>
          </c:tx>
          <c:spPr>
            <a:solidFill>
              <a:schemeClr val="accent3"/>
            </a:solidFill>
            <a:ln>
              <a:noFill/>
            </a:ln>
            <a:effectLst/>
          </c:spPr>
          <c:invertIfNegative val="0"/>
          <c:cat>
            <c:strRef>
              <c:f>'[IT Budget Evolution_2019.xlsx]Sheet2'!$C$1:$Q$2</c:f>
              <c:strCache>
                <c:ptCount val="14"/>
                <c:pt idx="0">
                  <c:v>Central Office</c:v>
                </c:pt>
                <c:pt idx="1">
                  <c:v>Varese</c:v>
                </c:pt>
                <c:pt idx="2">
                  <c:v>Munich</c:v>
                </c:pt>
                <c:pt idx="3">
                  <c:v>Mol</c:v>
                </c:pt>
                <c:pt idx="4">
                  <c:v>Luxembourg 2 Mamer</c:v>
                </c:pt>
                <c:pt idx="5">
                  <c:v>Luxembourg 1</c:v>
                </c:pt>
                <c:pt idx="6">
                  <c:v>Karlsruhe</c:v>
                </c:pt>
                <c:pt idx="7">
                  <c:v>Francfort</c:v>
                </c:pt>
                <c:pt idx="8">
                  <c:v>Brussels 4 Laeken</c:v>
                </c:pt>
                <c:pt idx="9">
                  <c:v>Brussels 3 Ixelles</c:v>
                </c:pt>
                <c:pt idx="10">
                  <c:v>Brussels 2 Woluwe</c:v>
                </c:pt>
                <c:pt idx="11">
                  <c:v>Brussels 1 Uccle</c:v>
                </c:pt>
                <c:pt idx="12">
                  <c:v>Bergen</c:v>
                </c:pt>
                <c:pt idx="13">
                  <c:v>Alicante</c:v>
                </c:pt>
              </c:strCache>
            </c:strRef>
          </c:cat>
          <c:val>
            <c:numRef>
              <c:f>'[IT Budget Evolution_2019.xlsx]Sheet2'!$C$5:$Q$5</c:f>
              <c:numCache>
                <c:formatCode>_ * #,##0_ ;_ * \-#,##0_ ;_ * "-"_ ;_ @_ </c:formatCode>
                <c:ptCount val="14"/>
                <c:pt idx="0">
                  <c:v>1748500</c:v>
                </c:pt>
                <c:pt idx="1">
                  <c:v>111500</c:v>
                </c:pt>
                <c:pt idx="2">
                  <c:v>320000</c:v>
                </c:pt>
                <c:pt idx="3">
                  <c:v>66150</c:v>
                </c:pt>
                <c:pt idx="4">
                  <c:v>274891</c:v>
                </c:pt>
                <c:pt idx="5">
                  <c:v>414863</c:v>
                </c:pt>
                <c:pt idx="6">
                  <c:v>155000</c:v>
                </c:pt>
                <c:pt idx="7">
                  <c:v>157822</c:v>
                </c:pt>
                <c:pt idx="8">
                  <c:v>270688</c:v>
                </c:pt>
                <c:pt idx="9">
                  <c:v>276950</c:v>
                </c:pt>
                <c:pt idx="10">
                  <c:v>217416</c:v>
                </c:pt>
                <c:pt idx="11">
                  <c:v>345750</c:v>
                </c:pt>
                <c:pt idx="12">
                  <c:v>97000</c:v>
                </c:pt>
                <c:pt idx="13">
                  <c:v>108472</c:v>
                </c:pt>
              </c:numCache>
            </c:numRef>
          </c:val>
          <c:extLst>
            <c:ext xmlns:c16="http://schemas.microsoft.com/office/drawing/2014/chart" uri="{C3380CC4-5D6E-409C-BE32-E72D297353CC}">
              <c16:uniqueId val="{00000002-D0F1-4A2B-9D5F-50ACB8BB02A5}"/>
            </c:ext>
          </c:extLst>
        </c:ser>
        <c:ser>
          <c:idx val="3"/>
          <c:order val="3"/>
          <c:tx>
            <c:strRef>
              <c:f>'[IT Budget Evolution_2019.xlsx]Sheet2'!$B$6</c:f>
              <c:strCache>
                <c:ptCount val="1"/>
                <c:pt idx="0">
                  <c:v>2017</c:v>
                </c:pt>
              </c:strCache>
            </c:strRef>
          </c:tx>
          <c:spPr>
            <a:solidFill>
              <a:schemeClr val="accent4"/>
            </a:solidFill>
            <a:ln>
              <a:noFill/>
            </a:ln>
            <a:effectLst/>
          </c:spPr>
          <c:invertIfNegative val="0"/>
          <c:cat>
            <c:strRef>
              <c:f>'[IT Budget Evolution_2019.xlsx]Sheet2'!$C$1:$Q$2</c:f>
              <c:strCache>
                <c:ptCount val="14"/>
                <c:pt idx="0">
                  <c:v>Central Office</c:v>
                </c:pt>
                <c:pt idx="1">
                  <c:v>Varese</c:v>
                </c:pt>
                <c:pt idx="2">
                  <c:v>Munich</c:v>
                </c:pt>
                <c:pt idx="3">
                  <c:v>Mol</c:v>
                </c:pt>
                <c:pt idx="4">
                  <c:v>Luxembourg 2 Mamer</c:v>
                </c:pt>
                <c:pt idx="5">
                  <c:v>Luxembourg 1</c:v>
                </c:pt>
                <c:pt idx="6">
                  <c:v>Karlsruhe</c:v>
                </c:pt>
                <c:pt idx="7">
                  <c:v>Francfort</c:v>
                </c:pt>
                <c:pt idx="8">
                  <c:v>Brussels 4 Laeken</c:v>
                </c:pt>
                <c:pt idx="9">
                  <c:v>Brussels 3 Ixelles</c:v>
                </c:pt>
                <c:pt idx="10">
                  <c:v>Brussels 2 Woluwe</c:v>
                </c:pt>
                <c:pt idx="11">
                  <c:v>Brussels 1 Uccle</c:v>
                </c:pt>
                <c:pt idx="12">
                  <c:v>Bergen</c:v>
                </c:pt>
                <c:pt idx="13">
                  <c:v>Alicante</c:v>
                </c:pt>
              </c:strCache>
            </c:strRef>
          </c:cat>
          <c:val>
            <c:numRef>
              <c:f>'[IT Budget Evolution_2019.xlsx]Sheet2'!$C$6:$Q$6</c:f>
              <c:numCache>
                <c:formatCode>_ * #,##0_ ;_ * \-#,##0_ ;_ * "-"_ ;_ @_ </c:formatCode>
                <c:ptCount val="14"/>
                <c:pt idx="0">
                  <c:v>1244900</c:v>
                </c:pt>
                <c:pt idx="1">
                  <c:v>109420</c:v>
                </c:pt>
                <c:pt idx="2">
                  <c:v>318000</c:v>
                </c:pt>
                <c:pt idx="3">
                  <c:v>60750</c:v>
                </c:pt>
                <c:pt idx="4">
                  <c:v>260461</c:v>
                </c:pt>
                <c:pt idx="5">
                  <c:v>211967.08</c:v>
                </c:pt>
                <c:pt idx="6">
                  <c:v>133000</c:v>
                </c:pt>
                <c:pt idx="7">
                  <c:v>138350</c:v>
                </c:pt>
                <c:pt idx="8">
                  <c:v>267206</c:v>
                </c:pt>
                <c:pt idx="9">
                  <c:v>250800</c:v>
                </c:pt>
                <c:pt idx="10">
                  <c:v>211650</c:v>
                </c:pt>
                <c:pt idx="11">
                  <c:v>252100</c:v>
                </c:pt>
                <c:pt idx="12">
                  <c:v>69887</c:v>
                </c:pt>
                <c:pt idx="13">
                  <c:v>90200</c:v>
                </c:pt>
              </c:numCache>
            </c:numRef>
          </c:val>
          <c:extLst>
            <c:ext xmlns:c16="http://schemas.microsoft.com/office/drawing/2014/chart" uri="{C3380CC4-5D6E-409C-BE32-E72D297353CC}">
              <c16:uniqueId val="{00000003-D0F1-4A2B-9D5F-50ACB8BB02A5}"/>
            </c:ext>
          </c:extLst>
        </c:ser>
        <c:ser>
          <c:idx val="4"/>
          <c:order val="4"/>
          <c:tx>
            <c:strRef>
              <c:f>'[IT Budget Evolution_2019.xlsx]Sheet2'!$B$7</c:f>
              <c:strCache>
                <c:ptCount val="1"/>
                <c:pt idx="0">
                  <c:v>2016</c:v>
                </c:pt>
              </c:strCache>
            </c:strRef>
          </c:tx>
          <c:spPr>
            <a:solidFill>
              <a:schemeClr val="accent5"/>
            </a:solidFill>
            <a:ln>
              <a:noFill/>
            </a:ln>
            <a:effectLst/>
          </c:spPr>
          <c:invertIfNegative val="0"/>
          <c:cat>
            <c:strRef>
              <c:f>'[IT Budget Evolution_2019.xlsx]Sheet2'!$C$1:$Q$2</c:f>
              <c:strCache>
                <c:ptCount val="14"/>
                <c:pt idx="0">
                  <c:v>Central Office</c:v>
                </c:pt>
                <c:pt idx="1">
                  <c:v>Varese</c:v>
                </c:pt>
                <c:pt idx="2">
                  <c:v>Munich</c:v>
                </c:pt>
                <c:pt idx="3">
                  <c:v>Mol</c:v>
                </c:pt>
                <c:pt idx="4">
                  <c:v>Luxembourg 2 Mamer</c:v>
                </c:pt>
                <c:pt idx="5">
                  <c:v>Luxembourg 1</c:v>
                </c:pt>
                <c:pt idx="6">
                  <c:v>Karlsruhe</c:v>
                </c:pt>
                <c:pt idx="7">
                  <c:v>Francfort</c:v>
                </c:pt>
                <c:pt idx="8">
                  <c:v>Brussels 4 Laeken</c:v>
                </c:pt>
                <c:pt idx="9">
                  <c:v>Brussels 3 Ixelles</c:v>
                </c:pt>
                <c:pt idx="10">
                  <c:v>Brussels 2 Woluwe</c:v>
                </c:pt>
                <c:pt idx="11">
                  <c:v>Brussels 1 Uccle</c:v>
                </c:pt>
                <c:pt idx="12">
                  <c:v>Bergen</c:v>
                </c:pt>
                <c:pt idx="13">
                  <c:v>Alicante</c:v>
                </c:pt>
              </c:strCache>
            </c:strRef>
          </c:cat>
          <c:val>
            <c:numRef>
              <c:f>'[IT Budget Evolution_2019.xlsx]Sheet2'!$C$7:$Q$7</c:f>
              <c:numCache>
                <c:formatCode>_ * #,##0_ ;_ * \-#,##0_ ;_ * "-"_ ;_ @_ </c:formatCode>
                <c:ptCount val="14"/>
                <c:pt idx="0">
                  <c:v>1385000</c:v>
                </c:pt>
                <c:pt idx="1">
                  <c:v>114744</c:v>
                </c:pt>
                <c:pt idx="2">
                  <c:v>273000</c:v>
                </c:pt>
                <c:pt idx="3">
                  <c:v>61550</c:v>
                </c:pt>
                <c:pt idx="4">
                  <c:v>212490</c:v>
                </c:pt>
                <c:pt idx="5">
                  <c:v>207867</c:v>
                </c:pt>
                <c:pt idx="6">
                  <c:v>132000</c:v>
                </c:pt>
                <c:pt idx="7">
                  <c:v>135550</c:v>
                </c:pt>
                <c:pt idx="8">
                  <c:v>219005</c:v>
                </c:pt>
                <c:pt idx="9">
                  <c:v>205008</c:v>
                </c:pt>
                <c:pt idx="10">
                  <c:v>213900</c:v>
                </c:pt>
                <c:pt idx="11">
                  <c:v>253800</c:v>
                </c:pt>
                <c:pt idx="12">
                  <c:v>63137</c:v>
                </c:pt>
                <c:pt idx="13">
                  <c:v>88000</c:v>
                </c:pt>
              </c:numCache>
            </c:numRef>
          </c:val>
          <c:extLst>
            <c:ext xmlns:c16="http://schemas.microsoft.com/office/drawing/2014/chart" uri="{C3380CC4-5D6E-409C-BE32-E72D297353CC}">
              <c16:uniqueId val="{00000000-E396-4956-8519-8A6FF7DFE4DD}"/>
            </c:ext>
          </c:extLst>
        </c:ser>
        <c:dLbls>
          <c:showLegendKey val="0"/>
          <c:showVal val="0"/>
          <c:showCatName val="0"/>
          <c:showSerName val="0"/>
          <c:showPercent val="0"/>
          <c:showBubbleSize val="0"/>
        </c:dLbls>
        <c:gapWidth val="182"/>
        <c:axId val="249353344"/>
        <c:axId val="249354880"/>
      </c:barChart>
      <c:catAx>
        <c:axId val="249353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354880"/>
        <c:crosses val="autoZero"/>
        <c:auto val="1"/>
        <c:lblAlgn val="ctr"/>
        <c:lblOffset val="100"/>
        <c:noMultiLvlLbl val="0"/>
      </c:catAx>
      <c:valAx>
        <c:axId val="249354880"/>
        <c:scaling>
          <c:orientation val="minMax"/>
        </c:scaling>
        <c:delete val="0"/>
        <c:axPos val="b"/>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3533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57CC5A-F57D-4517-B1C7-E5B11482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5459</Words>
  <Characters>31119</Characters>
  <Application>Microsoft Office Word</Application>
  <DocSecurity>0</DocSecurity>
  <Lines>259</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ACM</Company>
  <LinksUpToDate>false</LinksUpToDate>
  <CharactersWithSpaces>36505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Rapport ICT 2017</dc:subject>
  <dc:creator>PIRNAY Roland</dc:creator>
  <cp:lastModifiedBy>TOMITZ Gabriele (OSG)</cp:lastModifiedBy>
  <cp:revision>5</cp:revision>
  <cp:lastPrinted>2019-03-04T12:14:00Z</cp:lastPrinted>
  <dcterms:created xsi:type="dcterms:W3CDTF">2019-03-25T09:14:00Z</dcterms:created>
  <dcterms:modified xsi:type="dcterms:W3CDTF">2019-03-26T15:49:00Z</dcterms:modified>
</cp:coreProperties>
</file>