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870D72">
        <w:trPr>
          <w:trHeight w:val="1440"/>
        </w:trPr>
        <w:tc>
          <w:tcPr>
            <w:tcW w:w="5103" w:type="dxa"/>
            <w:tcBorders>
              <w:top w:val="nil"/>
              <w:left w:val="nil"/>
              <w:bottom w:val="nil"/>
              <w:right w:val="nil"/>
            </w:tcBorders>
          </w:tcPr>
          <w:p w:rsidR="00147603" w:rsidRPr="00870D72" w:rsidRDefault="005F7BED" w:rsidP="00147603">
            <w:pPr>
              <w:jc w:val="left"/>
              <w:rPr>
                <w:lang w:val="en-GB"/>
              </w:rPr>
            </w:pPr>
            <w:bookmarkStart w:id="0" w:name="_GoBack"/>
            <w:bookmarkEnd w:id="0"/>
            <w:r>
              <w:rPr>
                <w:sz w:val="20"/>
                <w:lang w:val="en-GB" w:eastAsia="fr-B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4pt;width:243pt;height:66.2pt;z-index:251658240">
                  <v:imagedata r:id="rId8" o:title=""/>
                  <w10:wrap type="topAndBottom"/>
                </v:shape>
                <o:OLEObject Type="Embed" ProgID="MSPhotoEd.3" ShapeID="_x0000_s1026" DrawAspect="Content" ObjectID="_1584447023" r:id="rId9"/>
              </w:object>
            </w:r>
          </w:p>
        </w:tc>
        <w:tc>
          <w:tcPr>
            <w:tcW w:w="4366" w:type="dxa"/>
            <w:tcBorders>
              <w:top w:val="nil"/>
              <w:left w:val="nil"/>
              <w:bottom w:val="nil"/>
              <w:right w:val="nil"/>
            </w:tcBorders>
          </w:tcPr>
          <w:p w:rsidR="00147603" w:rsidRPr="00870D72" w:rsidRDefault="00147603" w:rsidP="00147603">
            <w:pPr>
              <w:pStyle w:val="ZCom"/>
              <w:rPr>
                <w:b/>
                <w:color w:val="000099"/>
                <w:lang w:val="en-GB"/>
              </w:rPr>
            </w:pPr>
            <w:r w:rsidRPr="00870D72">
              <w:rPr>
                <w:b/>
                <w:color w:val="000099"/>
                <w:lang w:val="en-GB"/>
              </w:rPr>
              <w:t>Schola Europaea</w:t>
            </w:r>
          </w:p>
          <w:p w:rsidR="00147603" w:rsidRPr="00870D72" w:rsidRDefault="00147603" w:rsidP="00147603">
            <w:pPr>
              <w:rPr>
                <w:color w:val="000099"/>
                <w:lang w:val="en-GB" w:eastAsia="en-US"/>
              </w:rPr>
            </w:pPr>
          </w:p>
          <w:p w:rsidR="00147603" w:rsidRPr="00870D72" w:rsidRDefault="00C038A7" w:rsidP="00147603">
            <w:pPr>
              <w:pStyle w:val="ZDGName"/>
              <w:rPr>
                <w:color w:val="000099"/>
                <w:lang w:val="en-GB"/>
              </w:rPr>
            </w:pPr>
            <w:r w:rsidRPr="00870D72">
              <w:rPr>
                <w:color w:val="000099"/>
                <w:lang w:val="en-GB"/>
              </w:rPr>
              <w:t>Office of the Secretary-General</w:t>
            </w:r>
          </w:p>
          <w:p w:rsidR="00147603" w:rsidRPr="00870D72" w:rsidRDefault="00147603" w:rsidP="00147603">
            <w:pPr>
              <w:pStyle w:val="ZDGName"/>
              <w:rPr>
                <w:color w:val="000099"/>
                <w:lang w:val="en-GB"/>
              </w:rPr>
            </w:pPr>
          </w:p>
          <w:p w:rsidR="00147603" w:rsidRPr="00870D72" w:rsidRDefault="00147603" w:rsidP="00147603">
            <w:pPr>
              <w:pStyle w:val="ZDGName"/>
              <w:rPr>
                <w:color w:val="000099"/>
                <w:lang w:val="en-GB"/>
              </w:rPr>
            </w:pPr>
          </w:p>
          <w:p w:rsidR="00147603" w:rsidRPr="00870D72" w:rsidRDefault="00C038A7" w:rsidP="00147603">
            <w:pPr>
              <w:pStyle w:val="ZDGName"/>
              <w:rPr>
                <w:color w:val="000099"/>
                <w:lang w:val="en-GB"/>
              </w:rPr>
            </w:pPr>
            <w:r w:rsidRPr="00870D72">
              <w:rPr>
                <w:color w:val="000099"/>
                <w:lang w:val="en-GB"/>
              </w:rPr>
              <w:t>General Secretariat</w:t>
            </w:r>
          </w:p>
          <w:p w:rsidR="00147603" w:rsidRPr="00870D72" w:rsidRDefault="00147603" w:rsidP="00147603">
            <w:pPr>
              <w:pStyle w:val="ZDGName"/>
              <w:widowControl/>
              <w:rPr>
                <w:lang w:val="en-GB"/>
              </w:rPr>
            </w:pPr>
          </w:p>
        </w:tc>
      </w:tr>
    </w:tbl>
    <w:p w:rsidR="0088693C" w:rsidRPr="00870D72" w:rsidRDefault="00D177F4" w:rsidP="002F6F42">
      <w:pPr>
        <w:pStyle w:val="References"/>
        <w:rPr>
          <w:lang w:val="en-GB"/>
        </w:rPr>
      </w:pPr>
      <w:r w:rsidRPr="00870D72">
        <w:rPr>
          <w:lang w:val="en-GB"/>
        </w:rPr>
        <w:t xml:space="preserve">Ref: </w:t>
      </w:r>
      <w:r w:rsidR="00105B38" w:rsidRPr="00870D72">
        <w:rPr>
          <w:lang w:val="en-GB"/>
        </w:rPr>
        <w:t>2018-03-D-30</w:t>
      </w:r>
      <w:r w:rsidR="0000048D" w:rsidRPr="00870D72">
        <w:rPr>
          <w:lang w:val="en-GB"/>
        </w:rPr>
        <w:t>-en-1</w:t>
      </w:r>
    </w:p>
    <w:p w:rsidR="002F6F42" w:rsidRPr="00870D72" w:rsidRDefault="003109BC" w:rsidP="002F6F42">
      <w:pPr>
        <w:pStyle w:val="References"/>
        <w:rPr>
          <w:lang w:val="en-GB"/>
        </w:rPr>
      </w:pPr>
      <w:r w:rsidRPr="00870D72">
        <w:rPr>
          <w:lang w:val="en-GB"/>
        </w:rPr>
        <w:t>Original</w:t>
      </w:r>
      <w:r w:rsidR="00593588" w:rsidRPr="00870D72">
        <w:rPr>
          <w:lang w:val="en-GB"/>
        </w:rPr>
        <w:t>: EN</w:t>
      </w:r>
    </w:p>
    <w:p w:rsidR="002F6F42" w:rsidRPr="00870D72" w:rsidRDefault="002F6F42" w:rsidP="00147603">
      <w:pPr>
        <w:pStyle w:val="References"/>
        <w:rPr>
          <w:lang w:val="en-GB"/>
        </w:rPr>
      </w:pPr>
    </w:p>
    <w:p w:rsidR="00D177F4" w:rsidRPr="00870D72" w:rsidRDefault="0044196F" w:rsidP="00EF1694">
      <w:pPr>
        <w:pStyle w:val="DocumentTitle"/>
        <w:pBdr>
          <w:bottom w:val="single" w:sz="4" w:space="0" w:color="auto"/>
        </w:pBdr>
        <w:jc w:val="both"/>
        <w:rPr>
          <w:lang w:val="en-GB"/>
        </w:rPr>
      </w:pPr>
      <w:r w:rsidRPr="00870D72">
        <w:rPr>
          <w:lang w:val="en-GB"/>
        </w:rPr>
        <w:t>‘ACCREDITED EUROPEAN SCHOOLS’</w:t>
      </w:r>
      <w:r w:rsidR="00CE01B8" w:rsidRPr="00870D72">
        <w:rPr>
          <w:lang w:val="en-GB"/>
        </w:rPr>
        <w:t xml:space="preserve"> </w:t>
      </w:r>
      <w:r w:rsidR="00292453" w:rsidRPr="00870D72">
        <w:rPr>
          <w:lang w:val="en-GB"/>
        </w:rPr>
        <w:t>WORKING GROUP</w:t>
      </w:r>
      <w:r w:rsidR="00D177F4" w:rsidRPr="00870D72">
        <w:rPr>
          <w:lang w:val="en-GB"/>
        </w:rPr>
        <w:br/>
      </w:r>
      <w:r w:rsidR="00DD3E5C" w:rsidRPr="00870D72">
        <w:rPr>
          <w:lang w:val="en-GB"/>
        </w:rPr>
        <w:t>R</w:t>
      </w:r>
      <w:r w:rsidR="00D177F4" w:rsidRPr="00870D72">
        <w:rPr>
          <w:lang w:val="en-GB"/>
        </w:rPr>
        <w:t>EPORT</w:t>
      </w:r>
    </w:p>
    <w:p w:rsidR="000C1479" w:rsidRPr="00870D72" w:rsidRDefault="000C1479" w:rsidP="000C1479">
      <w:pPr>
        <w:pStyle w:val="SubTitle1"/>
        <w:rPr>
          <w:color w:val="000000"/>
          <w:sz w:val="24"/>
          <w:lang w:val="en-GB"/>
        </w:rPr>
      </w:pPr>
      <w:r w:rsidRPr="00870D72">
        <w:rPr>
          <w:color w:val="000000"/>
          <w:sz w:val="24"/>
          <w:lang w:val="en-GB"/>
        </w:rPr>
        <w:t>Board of Governors of the European Schools</w:t>
      </w:r>
    </w:p>
    <w:p w:rsidR="000C1479" w:rsidRPr="00870D72" w:rsidRDefault="000C1479" w:rsidP="000C1479">
      <w:pPr>
        <w:pStyle w:val="SubTitle2"/>
        <w:rPr>
          <w:color w:val="000000"/>
          <w:lang w:val="en-GB"/>
        </w:rPr>
      </w:pPr>
      <w:r w:rsidRPr="00870D72">
        <w:rPr>
          <w:color w:val="000000"/>
          <w:lang w:val="en-GB"/>
        </w:rPr>
        <w:t xml:space="preserve">Meeting </w:t>
      </w:r>
      <w:r w:rsidR="00FA7986" w:rsidRPr="00870D72">
        <w:rPr>
          <w:color w:val="000000"/>
          <w:lang w:val="en-GB"/>
        </w:rPr>
        <w:t>on</w:t>
      </w:r>
      <w:r w:rsidR="0000048D" w:rsidRPr="00870D72">
        <w:rPr>
          <w:color w:val="000000"/>
          <w:lang w:val="en-GB"/>
        </w:rPr>
        <w:t xml:space="preserve"> 17-19 April 2018 – </w:t>
      </w:r>
      <w:r w:rsidR="00763D78" w:rsidRPr="00870D72">
        <w:rPr>
          <w:color w:val="000000"/>
          <w:lang w:val="en-GB"/>
        </w:rPr>
        <w:t>Tallinn</w:t>
      </w:r>
      <w:r w:rsidR="00FA7986" w:rsidRPr="00870D72">
        <w:rPr>
          <w:color w:val="000000"/>
          <w:lang w:val="en-GB"/>
        </w:rPr>
        <w:t xml:space="preserve"> (Estonia)</w:t>
      </w:r>
    </w:p>
    <w:p w:rsidR="0088693C" w:rsidRPr="00870D72" w:rsidRDefault="0088693C" w:rsidP="00147603">
      <w:pPr>
        <w:rPr>
          <w:lang w:val="en-GB"/>
        </w:rPr>
      </w:pPr>
    </w:p>
    <w:p w:rsidR="00EF1694" w:rsidRPr="00870D72" w:rsidRDefault="00EF1694" w:rsidP="00147603">
      <w:pPr>
        <w:rPr>
          <w:lang w:val="en-GB"/>
        </w:rPr>
      </w:pPr>
    </w:p>
    <w:p w:rsidR="00EF1694" w:rsidRPr="00870D72" w:rsidRDefault="00EF1694" w:rsidP="00147603">
      <w:pPr>
        <w:rPr>
          <w:lang w:val="en-GB"/>
        </w:rPr>
      </w:pPr>
    </w:p>
    <w:p w:rsidR="004A29C9" w:rsidRPr="00870D72" w:rsidRDefault="004A29C9" w:rsidP="0064293E">
      <w:pPr>
        <w:rPr>
          <w:lang w:val="en-GB"/>
        </w:rPr>
      </w:pPr>
    </w:p>
    <w:p w:rsidR="004A29C9" w:rsidRPr="00870D72" w:rsidRDefault="004A29C9" w:rsidP="0064293E">
      <w:pPr>
        <w:rPr>
          <w:lang w:val="en-GB"/>
        </w:rPr>
      </w:pPr>
    </w:p>
    <w:p w:rsidR="004A29C9" w:rsidRPr="00870D72" w:rsidRDefault="004A29C9" w:rsidP="0064293E">
      <w:pPr>
        <w:rPr>
          <w:lang w:val="en-GB"/>
        </w:rPr>
      </w:pPr>
    </w:p>
    <w:p w:rsidR="004A29C9" w:rsidRPr="00870D72" w:rsidRDefault="004A29C9" w:rsidP="0064293E">
      <w:pPr>
        <w:rPr>
          <w:lang w:val="en-GB"/>
        </w:rPr>
      </w:pPr>
    </w:p>
    <w:p w:rsidR="004A29C9" w:rsidRPr="00870D72" w:rsidRDefault="004A29C9" w:rsidP="0064293E">
      <w:pPr>
        <w:rPr>
          <w:sz w:val="28"/>
          <w:szCs w:val="28"/>
          <w:lang w:val="en-GB"/>
        </w:rPr>
      </w:pPr>
    </w:p>
    <w:p w:rsidR="004A29C9" w:rsidRPr="00870D72" w:rsidRDefault="004A29C9" w:rsidP="0064293E">
      <w:pPr>
        <w:rPr>
          <w:sz w:val="28"/>
          <w:szCs w:val="28"/>
          <w:lang w:val="en-GB"/>
        </w:rPr>
      </w:pPr>
    </w:p>
    <w:p w:rsidR="00AD25E8" w:rsidRPr="00870D72" w:rsidRDefault="00AD25E8">
      <w:pPr>
        <w:spacing w:before="0" w:after="0"/>
        <w:jc w:val="left"/>
        <w:rPr>
          <w:b/>
          <w:sz w:val="28"/>
          <w:szCs w:val="28"/>
          <w:lang w:val="en-GB"/>
        </w:rPr>
      </w:pPr>
      <w:r w:rsidRPr="00870D72">
        <w:rPr>
          <w:b/>
          <w:sz w:val="28"/>
          <w:szCs w:val="28"/>
          <w:lang w:val="en-GB"/>
        </w:rPr>
        <w:br w:type="page"/>
      </w:r>
    </w:p>
    <w:p w:rsidR="001A0D7D" w:rsidRPr="00870D72" w:rsidRDefault="00DC5993" w:rsidP="00AD25E8">
      <w:pPr>
        <w:rPr>
          <w:b/>
          <w:lang w:val="en-GB"/>
        </w:rPr>
      </w:pPr>
      <w:r w:rsidRPr="00870D72">
        <w:rPr>
          <w:b/>
          <w:lang w:val="en-GB"/>
        </w:rPr>
        <w:lastRenderedPageBreak/>
        <w:t>INTRODUCTION</w:t>
      </w:r>
    </w:p>
    <w:p w:rsidR="00FA7986" w:rsidRPr="00870D72" w:rsidRDefault="00FA7986" w:rsidP="00FA7986">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More than ten years after the accreditation of the first two schools, the Board of Governors agreed on the need to clarify the terms and the conditions for accreditation.</w:t>
      </w:r>
    </w:p>
    <w:p w:rsidR="00FA7986" w:rsidRPr="00870D72" w:rsidRDefault="00FA7986" w:rsidP="00FA7986">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A mandate was given to a Working Group to study:</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after="0"/>
        <w:ind w:left="714" w:hanging="357"/>
        <w:rPr>
          <w:color w:val="000000"/>
          <w:szCs w:val="22"/>
          <w:lang w:val="en-GB"/>
        </w:rPr>
      </w:pPr>
      <w:r w:rsidRPr="00870D72">
        <w:rPr>
          <w:color w:val="000000"/>
          <w:szCs w:val="22"/>
          <w:lang w:val="en-GB"/>
        </w:rPr>
        <w:t>Access to data</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Format of official school reports</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Monitoring of compliance with requirements</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 xml:space="preserve">Conditions for accreditation (number of sections, organisation of studies, teachers’ qualifications, etc.) </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 xml:space="preserve">Composition of the audit team and aspects to be covered by the audit </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Procedure for initial accreditation</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Procedure for renewal of accreditation</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Rules for termination of accreditation</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Cost neutrality of Accredited European Schools (audits, administrative work at the Office, etc.)</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after="0"/>
        <w:ind w:left="714" w:hanging="357"/>
        <w:rPr>
          <w:color w:val="000000"/>
          <w:szCs w:val="22"/>
          <w:lang w:val="en-GB"/>
        </w:rPr>
      </w:pPr>
      <w:r w:rsidRPr="00870D72">
        <w:rPr>
          <w:color w:val="000000"/>
          <w:szCs w:val="22"/>
          <w:lang w:val="en-GB"/>
        </w:rPr>
        <w:t>Services that might be made available to Accredited Schools and their cost</w:t>
      </w:r>
    </w:p>
    <w:p w:rsidR="00FA7986" w:rsidRPr="00870D72" w:rsidRDefault="00FA7986" w:rsidP="00FA7986">
      <w:pPr>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before="0"/>
        <w:ind w:left="714" w:hanging="357"/>
        <w:rPr>
          <w:color w:val="000000"/>
          <w:szCs w:val="22"/>
          <w:lang w:val="en-GB"/>
        </w:rPr>
      </w:pPr>
      <w:r w:rsidRPr="00870D72">
        <w:rPr>
          <w:color w:val="000000"/>
          <w:szCs w:val="22"/>
          <w:lang w:val="en-GB"/>
        </w:rPr>
        <w:t>Possibility of accrediting schools outside EU territory.</w:t>
      </w:r>
    </w:p>
    <w:p w:rsidR="00FA7986" w:rsidRPr="00870D72" w:rsidRDefault="00FA7986" w:rsidP="00FA7986">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 xml:space="preserve">An interim report was presented to the Board of Governors at its December 2017 meeting. </w:t>
      </w:r>
    </w:p>
    <w:p w:rsidR="00FA7986" w:rsidRPr="00870D72" w:rsidRDefault="00FA7986" w:rsidP="00FA7986">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 xml:space="preserve">The working group has met six times so far and is presenting a second report to the Board of Governors at its April 2018 meeting. </w:t>
      </w:r>
    </w:p>
    <w:p w:rsidR="00FA7986" w:rsidRPr="00870D72" w:rsidRDefault="00FA7986" w:rsidP="00DC5993">
      <w:pPr>
        <w:tabs>
          <w:tab w:val="left" w:pos="360"/>
          <w:tab w:val="left" w:pos="1440"/>
          <w:tab w:val="left" w:pos="360"/>
          <w:tab w:val="left" w:pos="1440"/>
          <w:tab w:val="left" w:pos="360"/>
          <w:tab w:val="left" w:pos="1440"/>
        </w:tabs>
        <w:rPr>
          <w:b/>
          <w:lang w:val="en-GB"/>
        </w:rPr>
      </w:pPr>
    </w:p>
    <w:p w:rsidR="00DC5993" w:rsidRPr="00870D72" w:rsidRDefault="00546E9A" w:rsidP="008A0744">
      <w:pPr>
        <w:tabs>
          <w:tab w:val="left" w:pos="360"/>
          <w:tab w:val="left" w:pos="1440"/>
          <w:tab w:val="left" w:pos="360"/>
          <w:tab w:val="left" w:pos="1440"/>
          <w:tab w:val="left" w:pos="360"/>
          <w:tab w:val="left" w:pos="1440"/>
        </w:tabs>
        <w:spacing w:after="240"/>
        <w:rPr>
          <w:b/>
          <w:lang w:val="en-GB"/>
        </w:rPr>
      </w:pPr>
      <w:r w:rsidRPr="00870D72">
        <w:rPr>
          <w:b/>
          <w:lang w:val="en-GB"/>
        </w:rPr>
        <w:t>FOLLOW UP ON THE DIFFERENT MANDATES</w:t>
      </w:r>
    </w:p>
    <w:p w:rsidR="00CA0AC8" w:rsidRPr="00870D72" w:rsidRDefault="001A74F3"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870D72">
        <w:rPr>
          <w:b/>
          <w:color w:val="000000"/>
          <w:lang w:val="en-GB"/>
        </w:rPr>
        <w:t>A</w:t>
      </w:r>
      <w:r w:rsidR="00CA0AC8" w:rsidRPr="00870D72">
        <w:rPr>
          <w:b/>
          <w:color w:val="000000"/>
          <w:lang w:val="en-GB"/>
        </w:rPr>
        <w:t>ccess to data</w:t>
      </w:r>
      <w:r w:rsidRPr="00870D72">
        <w:rPr>
          <w:b/>
          <w:color w:val="000000"/>
          <w:lang w:val="en-GB"/>
        </w:rPr>
        <w:t xml:space="preserve">, monitoring of compliance with requirements </w:t>
      </w:r>
      <w:r w:rsidR="00CA0AC8" w:rsidRPr="00870D72">
        <w:rPr>
          <w:b/>
          <w:color w:val="000000"/>
          <w:lang w:val="en-GB"/>
        </w:rPr>
        <w:t>and format of official school reports</w:t>
      </w:r>
    </w:p>
    <w:p w:rsidR="00CA0AC8" w:rsidRPr="00870D72" w:rsidRDefault="00CA0AC8"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T</w:t>
      </w:r>
      <w:r w:rsidR="001A74F3" w:rsidRPr="00870D72">
        <w:rPr>
          <w:color w:val="000000"/>
          <w:szCs w:val="22"/>
          <w:lang w:val="en-GB"/>
        </w:rPr>
        <w:t>hese three</w:t>
      </w:r>
      <w:r w:rsidR="004D51D7" w:rsidRPr="00870D72">
        <w:rPr>
          <w:color w:val="000000"/>
          <w:szCs w:val="22"/>
          <w:lang w:val="en-GB"/>
        </w:rPr>
        <w:t xml:space="preserve"> points may</w:t>
      </w:r>
      <w:r w:rsidR="0044196F" w:rsidRPr="00870D72">
        <w:rPr>
          <w:color w:val="000000"/>
          <w:szCs w:val="22"/>
          <w:lang w:val="en-GB"/>
        </w:rPr>
        <w:t xml:space="preserve"> be closely</w:t>
      </w:r>
      <w:r w:rsidRPr="00870D72">
        <w:rPr>
          <w:color w:val="000000"/>
          <w:szCs w:val="22"/>
          <w:lang w:val="en-GB"/>
        </w:rPr>
        <w:t xml:space="preserve"> linked.</w:t>
      </w:r>
    </w:p>
    <w:p w:rsidR="00CA0AC8" w:rsidRPr="00870D72" w:rsidRDefault="00CA0AC8"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In the current version of the agreem</w:t>
      </w:r>
      <w:r w:rsidR="0044196F" w:rsidRPr="00870D72">
        <w:rPr>
          <w:color w:val="000000"/>
          <w:szCs w:val="22"/>
          <w:lang w:val="en-GB"/>
        </w:rPr>
        <w:t>ents</w:t>
      </w:r>
      <w:r w:rsidR="004D51D7" w:rsidRPr="00870D72">
        <w:rPr>
          <w:color w:val="000000"/>
          <w:szCs w:val="22"/>
          <w:lang w:val="en-GB"/>
        </w:rPr>
        <w:t xml:space="preserve">, there is no obligation on </w:t>
      </w:r>
      <w:r w:rsidRPr="00870D72">
        <w:rPr>
          <w:color w:val="000000"/>
          <w:szCs w:val="22"/>
          <w:lang w:val="en-GB"/>
        </w:rPr>
        <w:t>accre</w:t>
      </w:r>
      <w:r w:rsidR="0044196F" w:rsidRPr="00870D72">
        <w:rPr>
          <w:color w:val="000000"/>
          <w:szCs w:val="22"/>
          <w:lang w:val="en-GB"/>
        </w:rPr>
        <w:t>dited schools to make</w:t>
      </w:r>
      <w:r w:rsidR="00FA7986" w:rsidRPr="00870D72">
        <w:rPr>
          <w:color w:val="000000"/>
          <w:szCs w:val="22"/>
          <w:lang w:val="en-GB"/>
        </w:rPr>
        <w:t xml:space="preserve"> some</w:t>
      </w:r>
      <w:r w:rsidR="0044196F" w:rsidRPr="00870D72">
        <w:rPr>
          <w:color w:val="000000"/>
          <w:szCs w:val="22"/>
          <w:lang w:val="en-GB"/>
        </w:rPr>
        <w:t xml:space="preserve"> </w:t>
      </w:r>
      <w:r w:rsidRPr="00870D72">
        <w:rPr>
          <w:color w:val="000000"/>
          <w:szCs w:val="22"/>
          <w:lang w:val="en-GB"/>
        </w:rPr>
        <w:t xml:space="preserve">relevant </w:t>
      </w:r>
      <w:r w:rsidR="0044196F" w:rsidRPr="00870D72">
        <w:rPr>
          <w:color w:val="000000"/>
          <w:szCs w:val="22"/>
          <w:lang w:val="en-GB"/>
        </w:rPr>
        <w:t>data available.</w:t>
      </w:r>
    </w:p>
    <w:p w:rsidR="00CA0AC8" w:rsidRPr="00870D72" w:rsidRDefault="0044196F"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As a result</w:t>
      </w:r>
      <w:r w:rsidR="00CA0AC8" w:rsidRPr="00870D72">
        <w:rPr>
          <w:color w:val="000000"/>
          <w:szCs w:val="22"/>
          <w:lang w:val="en-GB"/>
        </w:rPr>
        <w:t xml:space="preserve">, the </w:t>
      </w:r>
      <w:r w:rsidRPr="00870D72">
        <w:rPr>
          <w:color w:val="000000"/>
          <w:szCs w:val="22"/>
          <w:lang w:val="en-GB"/>
        </w:rPr>
        <w:t xml:space="preserve">Secretary-General </w:t>
      </w:r>
      <w:r w:rsidR="00C80B16" w:rsidRPr="00870D72">
        <w:rPr>
          <w:color w:val="000000"/>
          <w:szCs w:val="22"/>
          <w:lang w:val="en-GB"/>
        </w:rPr>
        <w:t xml:space="preserve">is </w:t>
      </w:r>
      <w:r w:rsidR="00FA7986" w:rsidRPr="00870D72">
        <w:rPr>
          <w:color w:val="000000"/>
          <w:szCs w:val="22"/>
          <w:lang w:val="en-GB"/>
        </w:rPr>
        <w:t>obliged to request those</w:t>
      </w:r>
      <w:r w:rsidRPr="00870D72">
        <w:rPr>
          <w:color w:val="000000"/>
          <w:szCs w:val="22"/>
          <w:lang w:val="en-GB"/>
        </w:rPr>
        <w:t xml:space="preserve"> data from</w:t>
      </w:r>
      <w:r w:rsidR="00C80B16" w:rsidRPr="00870D72">
        <w:rPr>
          <w:color w:val="000000"/>
          <w:szCs w:val="22"/>
          <w:lang w:val="en-GB"/>
        </w:rPr>
        <w:t xml:space="preserve"> the schools.</w:t>
      </w:r>
    </w:p>
    <w:p w:rsidR="00C80B16" w:rsidRPr="00870D72" w:rsidRDefault="00C80B16"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So</w:t>
      </w:r>
      <w:r w:rsidR="00D464DA" w:rsidRPr="00870D72">
        <w:rPr>
          <w:color w:val="000000"/>
          <w:szCs w:val="22"/>
          <w:lang w:val="en-GB"/>
        </w:rPr>
        <w:t>me schools respond</w:t>
      </w:r>
      <w:r w:rsidR="0044196F" w:rsidRPr="00870D72">
        <w:rPr>
          <w:color w:val="000000"/>
          <w:szCs w:val="22"/>
          <w:lang w:val="en-GB"/>
        </w:rPr>
        <w:t xml:space="preserve"> promptly, </w:t>
      </w:r>
      <w:r w:rsidR="004D51D7" w:rsidRPr="00870D72">
        <w:rPr>
          <w:color w:val="000000"/>
          <w:szCs w:val="22"/>
          <w:lang w:val="en-GB"/>
        </w:rPr>
        <w:t xml:space="preserve">others less so. </w:t>
      </w:r>
      <w:r w:rsidR="00FA7986" w:rsidRPr="00870D72">
        <w:rPr>
          <w:color w:val="000000"/>
          <w:szCs w:val="22"/>
          <w:lang w:val="en-GB"/>
        </w:rPr>
        <w:t xml:space="preserve">In any event, the Secretary-General has to rely on the data provided. </w:t>
      </w:r>
    </w:p>
    <w:p w:rsidR="00C80B16" w:rsidRPr="00870D72" w:rsidRDefault="00C80B16" w:rsidP="00CA0AC8">
      <w:pPr>
        <w:tabs>
          <w:tab w:val="left" w:pos="360"/>
          <w:tab w:val="left" w:pos="1440"/>
          <w:tab w:val="left" w:pos="4320"/>
          <w:tab w:val="left" w:pos="6652"/>
          <w:tab w:val="left" w:pos="360"/>
          <w:tab w:val="left" w:pos="1440"/>
          <w:tab w:val="left" w:pos="360"/>
          <w:tab w:val="left" w:pos="1440"/>
          <w:tab w:val="left" w:pos="360"/>
          <w:tab w:val="left" w:pos="1440"/>
        </w:tabs>
        <w:rPr>
          <w:szCs w:val="22"/>
          <w:lang w:val="en-GB"/>
        </w:rPr>
      </w:pPr>
      <w:r w:rsidRPr="00870D72">
        <w:rPr>
          <w:color w:val="000000"/>
          <w:szCs w:val="22"/>
          <w:lang w:val="en-GB"/>
        </w:rPr>
        <w:t xml:space="preserve">A better solution might be </w:t>
      </w:r>
      <w:r w:rsidR="00546E9A" w:rsidRPr="00870D72">
        <w:rPr>
          <w:color w:val="000000"/>
          <w:szCs w:val="22"/>
          <w:lang w:val="en-GB"/>
        </w:rPr>
        <w:t xml:space="preserve">to impose </w:t>
      </w:r>
      <w:r w:rsidRPr="00870D72">
        <w:rPr>
          <w:color w:val="000000"/>
          <w:szCs w:val="22"/>
          <w:lang w:val="en-GB"/>
        </w:rPr>
        <w:t>use of a common school management system</w:t>
      </w:r>
      <w:r w:rsidR="00D464DA" w:rsidRPr="00870D72">
        <w:rPr>
          <w:color w:val="000000"/>
          <w:szCs w:val="22"/>
          <w:lang w:val="en-GB"/>
        </w:rPr>
        <w:t>. Such a</w:t>
      </w:r>
      <w:r w:rsidR="00726769" w:rsidRPr="00870D72">
        <w:rPr>
          <w:color w:val="000000"/>
          <w:szCs w:val="22"/>
          <w:lang w:val="en-GB"/>
        </w:rPr>
        <w:t xml:space="preserve"> solution would allow </w:t>
      </w:r>
      <w:r w:rsidRPr="00870D72">
        <w:rPr>
          <w:color w:val="000000"/>
          <w:szCs w:val="22"/>
          <w:lang w:val="en-GB"/>
        </w:rPr>
        <w:t>accredited schools to</w:t>
      </w:r>
      <w:r w:rsidR="0044196F" w:rsidRPr="00870D72">
        <w:rPr>
          <w:color w:val="000000"/>
          <w:szCs w:val="22"/>
          <w:lang w:val="en-GB"/>
        </w:rPr>
        <w:t xml:space="preserve"> produce standard reports and</w:t>
      </w:r>
      <w:r w:rsidRPr="00870D72">
        <w:rPr>
          <w:color w:val="000000"/>
          <w:szCs w:val="22"/>
          <w:lang w:val="en-GB"/>
        </w:rPr>
        <w:t xml:space="preserve"> the </w:t>
      </w:r>
      <w:r w:rsidR="0044196F" w:rsidRPr="00870D72">
        <w:rPr>
          <w:color w:val="000000"/>
          <w:szCs w:val="22"/>
          <w:lang w:val="en-GB"/>
        </w:rPr>
        <w:t>Secretary-General to obtain</w:t>
      </w:r>
      <w:r w:rsidRPr="00870D72">
        <w:rPr>
          <w:color w:val="000000"/>
          <w:szCs w:val="22"/>
          <w:lang w:val="en-GB"/>
        </w:rPr>
        <w:t xml:space="preserve"> direct access to the relevant data</w:t>
      </w:r>
      <w:r w:rsidR="00DD3E5C" w:rsidRPr="00870D72">
        <w:rPr>
          <w:color w:val="000000"/>
          <w:szCs w:val="22"/>
          <w:lang w:val="en-GB"/>
        </w:rPr>
        <w:t xml:space="preserve">, </w:t>
      </w:r>
      <w:r w:rsidR="00FA7986" w:rsidRPr="00870D72">
        <w:rPr>
          <w:szCs w:val="22"/>
          <w:lang w:val="en-GB"/>
        </w:rPr>
        <w:t>as</w:t>
      </w:r>
      <w:r w:rsidR="00FD1041" w:rsidRPr="00870D72">
        <w:rPr>
          <w:szCs w:val="22"/>
          <w:lang w:val="en-GB"/>
        </w:rPr>
        <w:t xml:space="preserve"> is the case for</w:t>
      </w:r>
      <w:r w:rsidR="00DD3E5C" w:rsidRPr="00870D72">
        <w:rPr>
          <w:szCs w:val="22"/>
          <w:lang w:val="en-GB"/>
        </w:rPr>
        <w:t xml:space="preserve"> </w:t>
      </w:r>
      <w:r w:rsidR="00FA7986" w:rsidRPr="00870D72">
        <w:rPr>
          <w:szCs w:val="22"/>
          <w:lang w:val="en-GB"/>
        </w:rPr>
        <w:t>‘traditional’</w:t>
      </w:r>
      <w:r w:rsidR="00DD3E5C" w:rsidRPr="00870D72">
        <w:rPr>
          <w:szCs w:val="22"/>
          <w:lang w:val="en-GB"/>
        </w:rPr>
        <w:t xml:space="preserve"> European Schools</w:t>
      </w:r>
      <w:r w:rsidRPr="00870D72">
        <w:rPr>
          <w:szCs w:val="22"/>
          <w:lang w:val="en-GB"/>
        </w:rPr>
        <w:t>.</w:t>
      </w:r>
    </w:p>
    <w:p w:rsidR="0087311A" w:rsidRPr="00870D72" w:rsidRDefault="00FD1041" w:rsidP="00CA0AC8">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 xml:space="preserve">Improved access to data would facilitate ‘monitoring of compliance with requirements’ and potentially simplify audits. Many checks might be made remotely, before the audit visit, as </w:t>
      </w:r>
      <w:r w:rsidR="00500828" w:rsidRPr="00870D72">
        <w:rPr>
          <w:color w:val="000000"/>
          <w:szCs w:val="22"/>
          <w:lang w:val="en-GB"/>
        </w:rPr>
        <w:t xml:space="preserve">will be better illustrated in the </w:t>
      </w:r>
      <w:r w:rsidRPr="00870D72">
        <w:rPr>
          <w:color w:val="000000"/>
          <w:szCs w:val="22"/>
          <w:lang w:val="en-GB"/>
        </w:rPr>
        <w:t xml:space="preserve">‘audits’ </w:t>
      </w:r>
      <w:r w:rsidR="00500828" w:rsidRPr="00870D72">
        <w:rPr>
          <w:color w:val="000000"/>
          <w:szCs w:val="22"/>
          <w:lang w:val="en-GB"/>
        </w:rPr>
        <w:t>secti</w:t>
      </w:r>
      <w:r w:rsidRPr="00870D72">
        <w:rPr>
          <w:color w:val="000000"/>
          <w:szCs w:val="22"/>
          <w:lang w:val="en-GB"/>
        </w:rPr>
        <w:t>on.</w:t>
      </w:r>
      <w:r w:rsidR="00DD3E5C" w:rsidRPr="00870D72">
        <w:rPr>
          <w:color w:val="000000"/>
          <w:szCs w:val="22"/>
          <w:lang w:val="en-GB"/>
        </w:rPr>
        <w:t xml:space="preserve"> </w:t>
      </w:r>
    </w:p>
    <w:p w:rsidR="00666407" w:rsidRPr="00870D72" w:rsidRDefault="00FD1041" w:rsidP="006F3869">
      <w:pPr>
        <w:spacing w:after="240"/>
        <w:rPr>
          <w:szCs w:val="22"/>
          <w:lang w:val="en-GB"/>
        </w:rPr>
      </w:pPr>
      <w:r w:rsidRPr="00870D72">
        <w:rPr>
          <w:szCs w:val="22"/>
          <w:lang w:val="en-GB"/>
        </w:rPr>
        <w:t xml:space="preserve">As for </w:t>
      </w:r>
      <w:r w:rsidR="00666407" w:rsidRPr="00870D72">
        <w:rPr>
          <w:szCs w:val="22"/>
          <w:lang w:val="en-GB"/>
        </w:rPr>
        <w:t>d</w:t>
      </w:r>
      <w:r w:rsidRPr="00870D72">
        <w:rPr>
          <w:szCs w:val="22"/>
          <w:lang w:val="en-GB"/>
        </w:rPr>
        <w:t xml:space="preserve">ata to be made available to </w:t>
      </w:r>
      <w:r w:rsidR="00666407" w:rsidRPr="00870D72">
        <w:rPr>
          <w:szCs w:val="22"/>
          <w:lang w:val="en-GB"/>
        </w:rPr>
        <w:t>A</w:t>
      </w:r>
      <w:r w:rsidR="00546E9A" w:rsidRPr="00870D72">
        <w:rPr>
          <w:szCs w:val="22"/>
          <w:lang w:val="en-GB"/>
        </w:rPr>
        <w:t xml:space="preserve">ccredited </w:t>
      </w:r>
      <w:r w:rsidR="00666407" w:rsidRPr="00870D72">
        <w:rPr>
          <w:szCs w:val="22"/>
          <w:lang w:val="en-GB"/>
        </w:rPr>
        <w:t>E</w:t>
      </w:r>
      <w:r w:rsidR="00546E9A" w:rsidRPr="00870D72">
        <w:rPr>
          <w:szCs w:val="22"/>
          <w:lang w:val="en-GB"/>
        </w:rPr>
        <w:t xml:space="preserve">uropean </w:t>
      </w:r>
      <w:r w:rsidR="00666407" w:rsidRPr="00870D72">
        <w:rPr>
          <w:szCs w:val="22"/>
          <w:lang w:val="en-GB"/>
        </w:rPr>
        <w:t>S</w:t>
      </w:r>
      <w:r w:rsidR="00546E9A" w:rsidRPr="00870D72">
        <w:rPr>
          <w:szCs w:val="22"/>
          <w:lang w:val="en-GB"/>
        </w:rPr>
        <w:t>chools (AES)</w:t>
      </w:r>
      <w:r w:rsidR="00666407" w:rsidRPr="00870D72">
        <w:rPr>
          <w:szCs w:val="22"/>
          <w:lang w:val="en-GB"/>
        </w:rPr>
        <w:t>, many doc</w:t>
      </w:r>
      <w:r w:rsidRPr="00870D72">
        <w:rPr>
          <w:szCs w:val="22"/>
          <w:lang w:val="en-GB"/>
        </w:rPr>
        <w:t>uments are published on the web</w:t>
      </w:r>
      <w:r w:rsidR="00666407" w:rsidRPr="00870D72">
        <w:rPr>
          <w:szCs w:val="22"/>
          <w:lang w:val="en-GB"/>
        </w:rPr>
        <w:t>s</w:t>
      </w:r>
      <w:r w:rsidRPr="00870D72">
        <w:rPr>
          <w:szCs w:val="22"/>
          <w:lang w:val="en-GB"/>
        </w:rPr>
        <w:t>ite eursc.eu; representatives on</w:t>
      </w:r>
      <w:r w:rsidR="00666407" w:rsidRPr="00870D72">
        <w:rPr>
          <w:szCs w:val="22"/>
          <w:lang w:val="en-GB"/>
        </w:rPr>
        <w:t xml:space="preserve"> the JTC have access to all documents for the meetings and can share these documents with </w:t>
      </w:r>
      <w:r w:rsidRPr="00870D72">
        <w:rPr>
          <w:szCs w:val="22"/>
          <w:lang w:val="en-GB"/>
        </w:rPr>
        <w:t>the people whom they represent</w:t>
      </w:r>
      <w:r w:rsidR="00666407" w:rsidRPr="00870D72">
        <w:rPr>
          <w:szCs w:val="22"/>
          <w:lang w:val="en-GB"/>
        </w:rPr>
        <w:t xml:space="preserve"> through protected platforms (pu</w:t>
      </w:r>
      <w:r w:rsidRPr="00870D72">
        <w:rPr>
          <w:szCs w:val="22"/>
          <w:lang w:val="en-GB"/>
        </w:rPr>
        <w:t>blication on open websites is pre</w:t>
      </w:r>
      <w:r w:rsidR="00666407" w:rsidRPr="00870D72">
        <w:rPr>
          <w:szCs w:val="22"/>
          <w:lang w:val="en-GB"/>
        </w:rPr>
        <w:t xml:space="preserve">cluded). Regarding other documents </w:t>
      </w:r>
      <w:r w:rsidRPr="00870D72">
        <w:rPr>
          <w:szCs w:val="22"/>
          <w:lang w:val="en-GB"/>
        </w:rPr>
        <w:t>that are useful to AES, a proposal was supposed to</w:t>
      </w:r>
      <w:r w:rsidR="00666407" w:rsidRPr="00870D72">
        <w:rPr>
          <w:szCs w:val="22"/>
          <w:lang w:val="en-GB"/>
        </w:rPr>
        <w:t xml:space="preserve"> be formulated</w:t>
      </w:r>
      <w:r w:rsidR="00546E9A" w:rsidRPr="00870D72">
        <w:rPr>
          <w:szCs w:val="22"/>
          <w:lang w:val="en-GB"/>
        </w:rPr>
        <w:t xml:space="preserve"> by the AES Directors</w:t>
      </w:r>
      <w:r w:rsidRPr="00870D72">
        <w:rPr>
          <w:szCs w:val="22"/>
          <w:lang w:val="en-GB"/>
        </w:rPr>
        <w:t>, but</w:t>
      </w:r>
      <w:r w:rsidR="00546E9A" w:rsidRPr="00870D72">
        <w:rPr>
          <w:szCs w:val="22"/>
          <w:lang w:val="en-GB"/>
        </w:rPr>
        <w:t xml:space="preserve"> </w:t>
      </w:r>
      <w:r w:rsidR="00666407" w:rsidRPr="00870D72">
        <w:rPr>
          <w:szCs w:val="22"/>
          <w:lang w:val="en-GB"/>
        </w:rPr>
        <w:t xml:space="preserve">is not yet available. </w:t>
      </w:r>
    </w:p>
    <w:p w:rsidR="00C80B16" w:rsidRPr="00870D72" w:rsidRDefault="00FD1041" w:rsidP="00C80B16">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870D72">
        <w:rPr>
          <w:b/>
          <w:color w:val="000000"/>
          <w:lang w:val="en-GB"/>
        </w:rPr>
        <w:t>C</w:t>
      </w:r>
      <w:r w:rsidR="0044196F" w:rsidRPr="00870D72">
        <w:rPr>
          <w:b/>
          <w:color w:val="000000"/>
          <w:lang w:val="en-GB"/>
        </w:rPr>
        <w:t xml:space="preserve">onditions for </w:t>
      </w:r>
      <w:r w:rsidR="00C80B16" w:rsidRPr="00870D72">
        <w:rPr>
          <w:b/>
          <w:color w:val="000000"/>
          <w:lang w:val="en-GB"/>
        </w:rPr>
        <w:t>accreditation (number of sections, organi</w:t>
      </w:r>
      <w:r w:rsidR="0044196F" w:rsidRPr="00870D72">
        <w:rPr>
          <w:b/>
          <w:color w:val="000000"/>
          <w:lang w:val="en-GB"/>
        </w:rPr>
        <w:t>s</w:t>
      </w:r>
      <w:r w:rsidR="00C80B16" w:rsidRPr="00870D72">
        <w:rPr>
          <w:b/>
          <w:color w:val="000000"/>
          <w:lang w:val="en-GB"/>
        </w:rPr>
        <w:t>ation of studies, qualification</w:t>
      </w:r>
      <w:r w:rsidR="0044196F" w:rsidRPr="00870D72">
        <w:rPr>
          <w:b/>
          <w:color w:val="000000"/>
          <w:lang w:val="en-GB"/>
        </w:rPr>
        <w:t>s</w:t>
      </w:r>
      <w:r w:rsidR="00C80B16" w:rsidRPr="00870D72">
        <w:rPr>
          <w:b/>
          <w:color w:val="000000"/>
          <w:lang w:val="en-GB"/>
        </w:rPr>
        <w:t xml:space="preserve"> of teachers, etc.) </w:t>
      </w:r>
    </w:p>
    <w:p w:rsidR="00CA0AC8" w:rsidRPr="00870D72" w:rsidRDefault="0044196F"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In the case of </w:t>
      </w:r>
      <w:r w:rsidR="00C80B16" w:rsidRPr="00870D72">
        <w:rPr>
          <w:color w:val="000000"/>
          <w:lang w:val="en-GB"/>
        </w:rPr>
        <w:t xml:space="preserve">the number of sections, </w:t>
      </w:r>
      <w:r w:rsidRPr="00870D72">
        <w:rPr>
          <w:color w:val="000000"/>
          <w:lang w:val="en-GB"/>
        </w:rPr>
        <w:t xml:space="preserve">the </w:t>
      </w:r>
      <w:r w:rsidR="00D57437">
        <w:rPr>
          <w:color w:val="000000"/>
          <w:lang w:val="en-GB"/>
        </w:rPr>
        <w:t>R</w:t>
      </w:r>
      <w:r w:rsidR="00C80B16" w:rsidRPr="00870D72">
        <w:rPr>
          <w:color w:val="000000"/>
          <w:lang w:val="en-GB"/>
        </w:rPr>
        <w:t>egu</w:t>
      </w:r>
      <w:r w:rsidRPr="00870D72">
        <w:rPr>
          <w:color w:val="000000"/>
          <w:lang w:val="en-GB"/>
        </w:rPr>
        <w:t>lations are rather</w:t>
      </w:r>
      <w:r w:rsidR="001A74F3" w:rsidRPr="00870D72">
        <w:rPr>
          <w:color w:val="000000"/>
          <w:lang w:val="en-GB"/>
        </w:rPr>
        <w:t xml:space="preserve"> vague and almost</w:t>
      </w:r>
      <w:r w:rsidR="00C80B16" w:rsidRPr="00870D72">
        <w:rPr>
          <w:color w:val="000000"/>
          <w:lang w:val="en-GB"/>
        </w:rPr>
        <w:t xml:space="preserve"> contradictory.</w:t>
      </w:r>
    </w:p>
    <w:p w:rsidR="00546E9A" w:rsidRPr="00870D72" w:rsidRDefault="00FD1041" w:rsidP="00546E9A">
      <w:pPr>
        <w:rPr>
          <w:szCs w:val="22"/>
          <w:lang w:val="en-GB"/>
        </w:rPr>
      </w:pPr>
      <w:r w:rsidRPr="00870D72">
        <w:rPr>
          <w:szCs w:val="22"/>
          <w:lang w:val="en-GB"/>
        </w:rPr>
        <w:lastRenderedPageBreak/>
        <w:t>The Convention states (A</w:t>
      </w:r>
      <w:r w:rsidR="00546E9A" w:rsidRPr="00870D72">
        <w:rPr>
          <w:szCs w:val="22"/>
          <w:lang w:val="en-GB"/>
        </w:rPr>
        <w:t>rt. 4, point</w:t>
      </w:r>
      <w:r w:rsidRPr="00870D72">
        <w:rPr>
          <w:szCs w:val="22"/>
          <w:lang w:val="en-GB"/>
        </w:rPr>
        <w:t>s</w:t>
      </w:r>
      <w:r w:rsidR="00546E9A" w:rsidRPr="00870D72">
        <w:rPr>
          <w:szCs w:val="22"/>
          <w:lang w:val="en-GB"/>
        </w:rPr>
        <w:t xml:space="preserve"> 2 &amp; 3) that a European School </w:t>
      </w:r>
      <w:r w:rsidR="00CE01B8" w:rsidRPr="00870D72">
        <w:rPr>
          <w:i/>
          <w:szCs w:val="22"/>
          <w:lang w:val="en-GB"/>
        </w:rPr>
        <w:t>comprises</w:t>
      </w:r>
      <w:r w:rsidR="00546E9A" w:rsidRPr="00870D72">
        <w:rPr>
          <w:i/>
          <w:szCs w:val="22"/>
          <w:lang w:val="en-GB"/>
        </w:rPr>
        <w:t xml:space="preserve"> several sections</w:t>
      </w:r>
      <w:r w:rsidR="00546E9A" w:rsidRPr="00870D72">
        <w:rPr>
          <w:szCs w:val="22"/>
          <w:lang w:val="en-GB"/>
        </w:rPr>
        <w:t>. Two sections seem to be a minimum.</w:t>
      </w:r>
    </w:p>
    <w:p w:rsidR="00546E9A" w:rsidRPr="00870D72" w:rsidRDefault="00546E9A" w:rsidP="00546E9A">
      <w:pPr>
        <w:rPr>
          <w:szCs w:val="22"/>
          <w:lang w:val="en-GB"/>
        </w:rPr>
      </w:pPr>
      <w:r w:rsidRPr="00870D72">
        <w:rPr>
          <w:szCs w:val="22"/>
          <w:lang w:val="en-GB"/>
        </w:rPr>
        <w:t>When a derogati</w:t>
      </w:r>
      <w:r w:rsidR="00CE01B8" w:rsidRPr="00870D72">
        <w:rPr>
          <w:szCs w:val="22"/>
          <w:lang w:val="en-GB"/>
        </w:rPr>
        <w:t>on from the rule of a minimum of two</w:t>
      </w:r>
      <w:r w:rsidRPr="00870D72">
        <w:rPr>
          <w:szCs w:val="22"/>
          <w:lang w:val="en-GB"/>
        </w:rPr>
        <w:t xml:space="preserve"> sections is requested by the School, this should be mentioned in the Dossier of Conformity and be approved by the Board of Inspectors and the </w:t>
      </w:r>
      <w:r w:rsidR="00D57437">
        <w:rPr>
          <w:szCs w:val="22"/>
          <w:lang w:val="en-GB"/>
        </w:rPr>
        <w:t xml:space="preserve">Board of </w:t>
      </w:r>
      <w:r w:rsidR="007E4807">
        <w:rPr>
          <w:szCs w:val="22"/>
          <w:lang w:val="en-GB"/>
        </w:rPr>
        <w:t>Governors;</w:t>
      </w:r>
      <w:r w:rsidR="00CE01B8" w:rsidRPr="00870D72">
        <w:rPr>
          <w:szCs w:val="22"/>
          <w:lang w:val="en-GB"/>
        </w:rPr>
        <w:t xml:space="preserve"> the concept of equivalence is drawn on to underpin </w:t>
      </w:r>
      <w:r w:rsidRPr="00870D72">
        <w:rPr>
          <w:szCs w:val="22"/>
          <w:lang w:val="en-GB"/>
        </w:rPr>
        <w:t xml:space="preserve">the rule of </w:t>
      </w:r>
      <w:r w:rsidR="00CE01B8" w:rsidRPr="00870D72">
        <w:rPr>
          <w:szCs w:val="22"/>
          <w:lang w:val="en-GB"/>
        </w:rPr>
        <w:t xml:space="preserve">a minimum of </w:t>
      </w:r>
      <w:r w:rsidRPr="00870D72">
        <w:rPr>
          <w:szCs w:val="22"/>
          <w:lang w:val="en-GB"/>
        </w:rPr>
        <w:t xml:space="preserve">two languages </w:t>
      </w:r>
      <w:r w:rsidR="00CE01B8" w:rsidRPr="00870D72">
        <w:rPr>
          <w:szCs w:val="22"/>
          <w:lang w:val="en-GB"/>
        </w:rPr>
        <w:t>offered in</w:t>
      </w:r>
      <w:r w:rsidRPr="00870D72">
        <w:rPr>
          <w:szCs w:val="22"/>
          <w:lang w:val="en-GB"/>
        </w:rPr>
        <w:t xml:space="preserve"> the school (to be rephrased in the Regulations).</w:t>
      </w:r>
    </w:p>
    <w:p w:rsidR="003446A4" w:rsidRPr="00870D72" w:rsidRDefault="00C80B16" w:rsidP="003446A4">
      <w:pPr>
        <w:rPr>
          <w:szCs w:val="22"/>
          <w:lang w:val="en-GB"/>
        </w:rPr>
      </w:pPr>
      <w:r w:rsidRPr="00870D72">
        <w:rPr>
          <w:color w:val="000000"/>
          <w:szCs w:val="22"/>
          <w:lang w:val="en-GB"/>
        </w:rPr>
        <w:t xml:space="preserve">The </w:t>
      </w:r>
      <w:r w:rsidR="007E4807">
        <w:rPr>
          <w:color w:val="000000"/>
          <w:szCs w:val="22"/>
          <w:lang w:val="en-GB"/>
        </w:rPr>
        <w:t xml:space="preserve">Working Group </w:t>
      </w:r>
      <w:r w:rsidRPr="00870D72">
        <w:rPr>
          <w:color w:val="000000"/>
          <w:szCs w:val="22"/>
          <w:lang w:val="en-GB"/>
        </w:rPr>
        <w:t>recommends</w:t>
      </w:r>
      <w:r w:rsidR="00992F12" w:rsidRPr="00870D72">
        <w:rPr>
          <w:color w:val="000000"/>
          <w:szCs w:val="22"/>
          <w:lang w:val="en-GB"/>
        </w:rPr>
        <w:t xml:space="preserve"> </w:t>
      </w:r>
      <w:r w:rsidRPr="00870D72">
        <w:rPr>
          <w:color w:val="000000"/>
          <w:szCs w:val="22"/>
          <w:lang w:val="en-GB"/>
        </w:rPr>
        <w:t>clarify</w:t>
      </w:r>
      <w:r w:rsidR="00992F12" w:rsidRPr="00870D72">
        <w:rPr>
          <w:color w:val="000000"/>
          <w:szCs w:val="22"/>
          <w:lang w:val="en-GB"/>
        </w:rPr>
        <w:t>ing</w:t>
      </w:r>
      <w:r w:rsidRPr="00870D72">
        <w:rPr>
          <w:color w:val="000000"/>
          <w:szCs w:val="22"/>
          <w:lang w:val="en-GB"/>
        </w:rPr>
        <w:t xml:space="preserve"> the terms. </w:t>
      </w:r>
      <w:r w:rsidR="003446A4" w:rsidRPr="00870D72">
        <w:rPr>
          <w:szCs w:val="22"/>
          <w:lang w:val="en-GB"/>
        </w:rPr>
        <w:t>When a derogation</w:t>
      </w:r>
      <w:r w:rsidR="00CE01B8" w:rsidRPr="00870D72">
        <w:rPr>
          <w:szCs w:val="22"/>
          <w:lang w:val="en-GB"/>
        </w:rPr>
        <w:t xml:space="preserve"> from the rule of a minimum of two</w:t>
      </w:r>
      <w:r w:rsidR="003446A4" w:rsidRPr="00870D72">
        <w:rPr>
          <w:szCs w:val="22"/>
          <w:lang w:val="en-GB"/>
        </w:rPr>
        <w:t xml:space="preserve"> sections is requested by the School, this should be explicitly mentioned in the Dossier of Conformity and </w:t>
      </w:r>
      <w:r w:rsidR="003446A4" w:rsidRPr="00870D72">
        <w:rPr>
          <w:color w:val="000000"/>
          <w:szCs w:val="22"/>
          <w:lang w:val="en-GB"/>
        </w:rPr>
        <w:t>the Secretary-General should draw the Boards’ attention to this fact.</w:t>
      </w:r>
    </w:p>
    <w:p w:rsidR="003446A4" w:rsidRPr="00870D72" w:rsidRDefault="003446A4" w:rsidP="003446A4">
      <w:pPr>
        <w:rPr>
          <w:szCs w:val="22"/>
          <w:lang w:val="en-GB"/>
        </w:rPr>
      </w:pPr>
      <w:r w:rsidRPr="00870D72">
        <w:rPr>
          <w:szCs w:val="22"/>
          <w:lang w:val="en-GB"/>
        </w:rPr>
        <w:t>When the size of the school is limit</w:t>
      </w:r>
      <w:r w:rsidR="00CE01B8" w:rsidRPr="00870D72">
        <w:rPr>
          <w:szCs w:val="22"/>
          <w:lang w:val="en-GB"/>
        </w:rPr>
        <w:t xml:space="preserve">ed and if there is to be only one section, </w:t>
      </w:r>
      <w:r w:rsidRPr="00870D72">
        <w:rPr>
          <w:szCs w:val="22"/>
          <w:lang w:val="en-GB"/>
        </w:rPr>
        <w:t xml:space="preserve"> tuition in L1 </w:t>
      </w:r>
      <w:r w:rsidR="00CE01B8" w:rsidRPr="00870D72">
        <w:rPr>
          <w:szCs w:val="22"/>
          <w:lang w:val="en-GB"/>
        </w:rPr>
        <w:t xml:space="preserve">for ‘Students Without a Language Section’ </w:t>
      </w:r>
      <w:r w:rsidR="00546E9A" w:rsidRPr="00870D72">
        <w:rPr>
          <w:szCs w:val="22"/>
          <w:lang w:val="en-GB"/>
        </w:rPr>
        <w:t>(SWALS) should be provided (AE</w:t>
      </w:r>
      <w:r w:rsidRPr="00870D72">
        <w:rPr>
          <w:szCs w:val="22"/>
          <w:lang w:val="en-GB"/>
        </w:rPr>
        <w:t>S seem</w:t>
      </w:r>
      <w:r w:rsidR="00CE01B8" w:rsidRPr="00870D72">
        <w:rPr>
          <w:szCs w:val="22"/>
          <w:lang w:val="en-GB"/>
        </w:rPr>
        <w:t xml:space="preserve"> to be already practis</w:t>
      </w:r>
      <w:r w:rsidRPr="00870D72">
        <w:rPr>
          <w:szCs w:val="22"/>
          <w:lang w:val="en-GB"/>
        </w:rPr>
        <w:t xml:space="preserve">ing this when </w:t>
      </w:r>
      <w:r w:rsidR="00CE01B8" w:rsidRPr="00870D72">
        <w:rPr>
          <w:szCs w:val="22"/>
          <w:lang w:val="en-GB"/>
        </w:rPr>
        <w:t xml:space="preserve">a minimum of three to four </w:t>
      </w:r>
      <w:r w:rsidRPr="00870D72">
        <w:rPr>
          <w:szCs w:val="22"/>
          <w:lang w:val="en-GB"/>
        </w:rPr>
        <w:t xml:space="preserve">pupils </w:t>
      </w:r>
      <w:r w:rsidR="00CE01B8" w:rsidRPr="00870D72">
        <w:rPr>
          <w:szCs w:val="22"/>
          <w:lang w:val="en-GB"/>
        </w:rPr>
        <w:t>so request</w:t>
      </w:r>
      <w:r w:rsidRPr="00870D72">
        <w:rPr>
          <w:szCs w:val="22"/>
          <w:lang w:val="en-GB"/>
        </w:rPr>
        <w:t>)</w:t>
      </w:r>
      <w:r w:rsidR="00CE01B8" w:rsidRPr="00870D72">
        <w:rPr>
          <w:szCs w:val="22"/>
          <w:lang w:val="en-GB"/>
        </w:rPr>
        <w:t xml:space="preserve">, in addition to </w:t>
      </w:r>
      <w:r w:rsidRPr="00870D72">
        <w:rPr>
          <w:szCs w:val="22"/>
          <w:lang w:val="en-GB"/>
        </w:rPr>
        <w:t xml:space="preserve">providing exposure to a vehicular </w:t>
      </w:r>
      <w:r w:rsidR="003B5398" w:rsidRPr="00870D72">
        <w:rPr>
          <w:szCs w:val="22"/>
          <w:lang w:val="en-GB"/>
        </w:rPr>
        <w:t>language as L2. A</w:t>
      </w:r>
      <w:r w:rsidRPr="00870D72">
        <w:rPr>
          <w:szCs w:val="22"/>
          <w:lang w:val="en-GB"/>
        </w:rPr>
        <w:t xml:space="preserve"> minimum </w:t>
      </w:r>
      <w:r w:rsidR="003B5398" w:rsidRPr="00870D72">
        <w:rPr>
          <w:szCs w:val="22"/>
          <w:lang w:val="en-GB"/>
        </w:rPr>
        <w:t xml:space="preserve">threshold </w:t>
      </w:r>
      <w:r w:rsidRPr="00870D72">
        <w:rPr>
          <w:szCs w:val="22"/>
          <w:lang w:val="en-GB"/>
        </w:rPr>
        <w:t xml:space="preserve">of pupils for the teaching of L1 </w:t>
      </w:r>
      <w:r w:rsidR="00546E9A" w:rsidRPr="00870D72">
        <w:rPr>
          <w:szCs w:val="22"/>
          <w:lang w:val="en-GB"/>
        </w:rPr>
        <w:t xml:space="preserve">to SWALS </w:t>
      </w:r>
      <w:r w:rsidRPr="00870D72">
        <w:rPr>
          <w:szCs w:val="22"/>
          <w:lang w:val="en-GB"/>
        </w:rPr>
        <w:t>should then be mentioned in the Regulations.</w:t>
      </w:r>
    </w:p>
    <w:p w:rsidR="00C80B16" w:rsidRPr="00870D72" w:rsidRDefault="00C80B16"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 xml:space="preserve">The </w:t>
      </w:r>
      <w:r w:rsidR="00D57437">
        <w:rPr>
          <w:color w:val="000000"/>
          <w:szCs w:val="22"/>
          <w:lang w:val="en-GB"/>
        </w:rPr>
        <w:t>R</w:t>
      </w:r>
      <w:r w:rsidR="001A74F3" w:rsidRPr="00870D72">
        <w:rPr>
          <w:color w:val="000000"/>
          <w:szCs w:val="22"/>
          <w:lang w:val="en-GB"/>
        </w:rPr>
        <w:t xml:space="preserve">egulations allow </w:t>
      </w:r>
      <w:r w:rsidR="00992F12" w:rsidRPr="00870D72">
        <w:rPr>
          <w:color w:val="000000"/>
          <w:szCs w:val="22"/>
          <w:lang w:val="en-GB"/>
        </w:rPr>
        <w:t xml:space="preserve">accredited schools </w:t>
      </w:r>
      <w:r w:rsidR="001A74F3" w:rsidRPr="00870D72">
        <w:rPr>
          <w:color w:val="000000"/>
          <w:szCs w:val="22"/>
          <w:lang w:val="en-GB"/>
        </w:rPr>
        <w:t>a degree of flexibility</w:t>
      </w:r>
      <w:r w:rsidR="00992F12" w:rsidRPr="00870D72">
        <w:rPr>
          <w:color w:val="000000"/>
          <w:szCs w:val="22"/>
          <w:lang w:val="en-GB"/>
        </w:rPr>
        <w:t xml:space="preserve"> for the organisation of studies up to secondary year 5.</w:t>
      </w:r>
    </w:p>
    <w:p w:rsidR="00C80B16" w:rsidRPr="00870D72" w:rsidRDefault="00992F1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szCs w:val="22"/>
          <w:lang w:val="en-GB"/>
        </w:rPr>
      </w:pPr>
      <w:r w:rsidRPr="00870D72">
        <w:rPr>
          <w:color w:val="000000"/>
          <w:szCs w:val="22"/>
          <w:lang w:val="en-GB"/>
        </w:rPr>
        <w:t xml:space="preserve">The </w:t>
      </w:r>
      <w:r w:rsidR="007E4807">
        <w:rPr>
          <w:color w:val="000000"/>
          <w:szCs w:val="22"/>
          <w:lang w:val="en-GB"/>
        </w:rPr>
        <w:t xml:space="preserve">Working Group </w:t>
      </w:r>
      <w:r w:rsidRPr="00870D72">
        <w:rPr>
          <w:color w:val="000000"/>
          <w:szCs w:val="22"/>
          <w:lang w:val="en-GB"/>
        </w:rPr>
        <w:t>would recommend defining</w:t>
      </w:r>
      <w:r w:rsidR="00C80B16" w:rsidRPr="00870D72">
        <w:rPr>
          <w:color w:val="000000"/>
          <w:szCs w:val="22"/>
          <w:lang w:val="en-GB"/>
        </w:rPr>
        <w:t xml:space="preserve"> minimum common requirement</w:t>
      </w:r>
      <w:r w:rsidRPr="00870D72">
        <w:rPr>
          <w:color w:val="000000"/>
          <w:szCs w:val="22"/>
          <w:lang w:val="en-GB"/>
        </w:rPr>
        <w:t xml:space="preserve">s, so as </w:t>
      </w:r>
      <w:r w:rsidR="00C80B16" w:rsidRPr="00870D72">
        <w:rPr>
          <w:color w:val="000000"/>
          <w:szCs w:val="22"/>
          <w:lang w:val="en-GB"/>
        </w:rPr>
        <w:t xml:space="preserve">not </w:t>
      </w:r>
      <w:r w:rsidR="00D57437">
        <w:rPr>
          <w:color w:val="000000"/>
          <w:szCs w:val="22"/>
          <w:lang w:val="en-GB"/>
        </w:rPr>
        <w:t>to jeopardise</w:t>
      </w:r>
      <w:r w:rsidRPr="00870D72">
        <w:rPr>
          <w:color w:val="000000"/>
          <w:szCs w:val="22"/>
          <w:lang w:val="en-GB"/>
        </w:rPr>
        <w:t xml:space="preserve"> year-by-year equivalence</w:t>
      </w:r>
      <w:r w:rsidR="00C80B16" w:rsidRPr="00870D72">
        <w:rPr>
          <w:color w:val="000000"/>
          <w:szCs w:val="22"/>
          <w:lang w:val="en-GB"/>
        </w:rPr>
        <w:t>.</w:t>
      </w:r>
    </w:p>
    <w:p w:rsidR="00C80B16" w:rsidRPr="00870D72" w:rsidRDefault="00992F12" w:rsidP="006F3869">
      <w:pPr>
        <w:tabs>
          <w:tab w:val="left" w:pos="360"/>
          <w:tab w:val="left" w:pos="1440"/>
          <w:tab w:val="left" w:pos="4320"/>
          <w:tab w:val="left" w:pos="6652"/>
          <w:tab w:val="left" w:pos="360"/>
          <w:tab w:val="left" w:pos="1440"/>
          <w:tab w:val="left" w:pos="360"/>
          <w:tab w:val="left" w:pos="1440"/>
          <w:tab w:val="left" w:pos="360"/>
          <w:tab w:val="left" w:pos="1440"/>
        </w:tabs>
        <w:spacing w:after="240"/>
        <w:rPr>
          <w:color w:val="000000"/>
          <w:szCs w:val="22"/>
          <w:lang w:val="en-GB"/>
        </w:rPr>
      </w:pPr>
      <w:r w:rsidRPr="00870D72">
        <w:rPr>
          <w:color w:val="000000"/>
          <w:szCs w:val="22"/>
          <w:lang w:val="en-GB"/>
        </w:rPr>
        <w:t xml:space="preserve">The </w:t>
      </w:r>
      <w:r w:rsidR="007E4807">
        <w:rPr>
          <w:color w:val="000000"/>
          <w:szCs w:val="22"/>
          <w:lang w:val="en-GB"/>
        </w:rPr>
        <w:t xml:space="preserve">Working Group </w:t>
      </w:r>
      <w:r w:rsidRPr="00870D72">
        <w:rPr>
          <w:color w:val="000000"/>
          <w:szCs w:val="22"/>
          <w:lang w:val="en-GB"/>
        </w:rPr>
        <w:t>is minded</w:t>
      </w:r>
      <w:r w:rsidR="00C80B16" w:rsidRPr="00870D72">
        <w:rPr>
          <w:color w:val="000000"/>
          <w:szCs w:val="22"/>
          <w:lang w:val="en-GB"/>
        </w:rPr>
        <w:t xml:space="preserve"> to recom</w:t>
      </w:r>
      <w:r w:rsidRPr="00870D72">
        <w:rPr>
          <w:color w:val="000000"/>
          <w:szCs w:val="22"/>
          <w:lang w:val="en-GB"/>
        </w:rPr>
        <w:t>mend that teachers’</w:t>
      </w:r>
      <w:r w:rsidR="00C80B16" w:rsidRPr="00870D72">
        <w:rPr>
          <w:color w:val="000000"/>
          <w:szCs w:val="22"/>
          <w:lang w:val="en-GB"/>
        </w:rPr>
        <w:t xml:space="preserve"> qualifications should be the same </w:t>
      </w:r>
      <w:r w:rsidRPr="00870D72">
        <w:rPr>
          <w:color w:val="000000"/>
          <w:szCs w:val="22"/>
          <w:lang w:val="en-GB"/>
        </w:rPr>
        <w:t xml:space="preserve">as </w:t>
      </w:r>
      <w:r w:rsidR="00C80B16" w:rsidRPr="00870D72">
        <w:rPr>
          <w:color w:val="000000"/>
          <w:szCs w:val="22"/>
          <w:lang w:val="en-GB"/>
        </w:rPr>
        <w:t>required i</w:t>
      </w:r>
      <w:r w:rsidRPr="00870D72">
        <w:rPr>
          <w:color w:val="000000"/>
          <w:szCs w:val="22"/>
          <w:lang w:val="en-GB"/>
        </w:rPr>
        <w:t>n the European Schools, so</w:t>
      </w:r>
      <w:r w:rsidR="00C80B16" w:rsidRPr="00870D72">
        <w:rPr>
          <w:color w:val="000000"/>
          <w:szCs w:val="22"/>
          <w:lang w:val="en-GB"/>
        </w:rPr>
        <w:t xml:space="preserve"> </w:t>
      </w:r>
      <w:r w:rsidRPr="00870D72">
        <w:rPr>
          <w:color w:val="000000"/>
          <w:szCs w:val="22"/>
          <w:lang w:val="en-GB"/>
        </w:rPr>
        <w:t xml:space="preserve">as </w:t>
      </w:r>
      <w:r w:rsidR="00C80B16" w:rsidRPr="00870D72">
        <w:rPr>
          <w:color w:val="000000"/>
          <w:szCs w:val="22"/>
          <w:lang w:val="en-GB"/>
        </w:rPr>
        <w:t xml:space="preserve">not </w:t>
      </w:r>
      <w:r w:rsidRPr="00870D72">
        <w:rPr>
          <w:color w:val="000000"/>
          <w:szCs w:val="22"/>
          <w:lang w:val="en-GB"/>
        </w:rPr>
        <w:t>to put</w:t>
      </w:r>
      <w:r w:rsidR="00C80B16" w:rsidRPr="00870D72">
        <w:rPr>
          <w:color w:val="000000"/>
          <w:szCs w:val="22"/>
          <w:lang w:val="en-GB"/>
        </w:rPr>
        <w:t xml:space="preserve"> the quality of the education delivered </w:t>
      </w:r>
      <w:r w:rsidRPr="00870D72">
        <w:rPr>
          <w:color w:val="000000"/>
          <w:szCs w:val="22"/>
          <w:lang w:val="en-GB"/>
        </w:rPr>
        <w:t xml:space="preserve">at risk </w:t>
      </w:r>
      <w:r w:rsidR="00C80B16" w:rsidRPr="00870D72">
        <w:rPr>
          <w:color w:val="000000"/>
          <w:szCs w:val="22"/>
          <w:lang w:val="en-GB"/>
        </w:rPr>
        <w:t>and</w:t>
      </w:r>
      <w:r w:rsidR="004D51D7" w:rsidRPr="00870D72">
        <w:rPr>
          <w:color w:val="000000"/>
          <w:szCs w:val="22"/>
          <w:lang w:val="en-GB"/>
        </w:rPr>
        <w:t>,</w:t>
      </w:r>
      <w:r w:rsidR="00C80B16" w:rsidRPr="00870D72">
        <w:rPr>
          <w:color w:val="000000"/>
          <w:szCs w:val="22"/>
          <w:lang w:val="en-GB"/>
        </w:rPr>
        <w:t xml:space="preserve"> </w:t>
      </w:r>
      <w:r w:rsidR="00D464DA" w:rsidRPr="00870D72">
        <w:rPr>
          <w:color w:val="000000"/>
          <w:szCs w:val="22"/>
          <w:lang w:val="en-GB"/>
        </w:rPr>
        <w:t>ultimately</w:t>
      </w:r>
      <w:r w:rsidR="004D51D7" w:rsidRPr="00870D72">
        <w:rPr>
          <w:color w:val="000000"/>
          <w:szCs w:val="22"/>
          <w:lang w:val="en-GB"/>
        </w:rPr>
        <w:t>,</w:t>
      </w:r>
      <w:r w:rsidR="00C80B16" w:rsidRPr="00870D72">
        <w:rPr>
          <w:color w:val="000000"/>
          <w:szCs w:val="22"/>
          <w:lang w:val="en-GB"/>
        </w:rPr>
        <w:t xml:space="preserve"> the </w:t>
      </w:r>
      <w:r w:rsidR="00142B96" w:rsidRPr="00870D72">
        <w:rPr>
          <w:color w:val="000000"/>
          <w:szCs w:val="22"/>
          <w:lang w:val="en-GB"/>
        </w:rPr>
        <w:t>reputation of the European Baccalaureate Diploma</w:t>
      </w:r>
      <w:r w:rsidR="00C80B16" w:rsidRPr="00870D72">
        <w:rPr>
          <w:color w:val="000000"/>
          <w:szCs w:val="22"/>
          <w:lang w:val="en-GB"/>
        </w:rPr>
        <w:t>.</w:t>
      </w:r>
    </w:p>
    <w:p w:rsidR="00142B96" w:rsidRPr="00870D72" w:rsidRDefault="00142B96" w:rsidP="00142B96">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870D72">
        <w:rPr>
          <w:b/>
          <w:color w:val="000000"/>
          <w:lang w:val="en-GB"/>
        </w:rPr>
        <w:t xml:space="preserve">Composition of the audit team and aspects to be covered by the audit </w:t>
      </w:r>
    </w:p>
    <w:p w:rsidR="00546E9A" w:rsidRPr="00870D72" w:rsidRDefault="003B5398" w:rsidP="0000048D">
      <w:pPr>
        <w:tabs>
          <w:tab w:val="left" w:pos="360"/>
          <w:tab w:val="left" w:pos="1440"/>
          <w:tab w:val="left" w:pos="4320"/>
          <w:tab w:val="left" w:pos="6652"/>
          <w:tab w:val="left" w:pos="360"/>
          <w:tab w:val="left" w:pos="1440"/>
          <w:tab w:val="left" w:pos="360"/>
          <w:tab w:val="left" w:pos="1440"/>
          <w:tab w:val="left" w:pos="360"/>
          <w:tab w:val="left" w:pos="1440"/>
        </w:tabs>
        <w:rPr>
          <w:i/>
          <w:color w:val="000000"/>
          <w:lang w:val="en-GB"/>
        </w:rPr>
      </w:pPr>
      <w:r w:rsidRPr="00870D72">
        <w:rPr>
          <w:i/>
          <w:color w:val="000000"/>
          <w:lang w:val="en-GB"/>
        </w:rPr>
        <w:t>Composition and organis</w:t>
      </w:r>
      <w:r w:rsidR="00546E9A" w:rsidRPr="00870D72">
        <w:rPr>
          <w:i/>
          <w:color w:val="000000"/>
          <w:lang w:val="en-GB"/>
        </w:rPr>
        <w:t>ation of the audit team</w:t>
      </w:r>
    </w:p>
    <w:p w:rsidR="003A2384" w:rsidRPr="00870D72" w:rsidRDefault="003A2384" w:rsidP="003A2384">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The number of audits to be carried out has steadily increased over the last few years and the Presidency and the Secretary-General face increasing difficulty in finding volunteer inspectors to conduct the audits.</w:t>
      </w:r>
    </w:p>
    <w:p w:rsidR="00546E9A" w:rsidRPr="00870D72" w:rsidRDefault="00546E9A" w:rsidP="00546E9A">
      <w:pPr>
        <w:rPr>
          <w:rFonts w:cs="Arial"/>
          <w:lang w:val="en-GB"/>
        </w:rPr>
      </w:pPr>
      <w:r w:rsidRPr="00870D72">
        <w:rPr>
          <w:rFonts w:cs="Arial"/>
          <w:lang w:val="en-GB"/>
        </w:rPr>
        <w:t>The audit visits need to be better regulate</w:t>
      </w:r>
      <w:r w:rsidR="003B5398" w:rsidRPr="00870D72">
        <w:rPr>
          <w:rFonts w:cs="Arial"/>
          <w:lang w:val="en-GB"/>
        </w:rPr>
        <w:t>d and it would be a good idea to take</w:t>
      </w:r>
      <w:r w:rsidRPr="00870D72">
        <w:rPr>
          <w:rFonts w:cs="Arial"/>
          <w:lang w:val="en-GB"/>
        </w:rPr>
        <w:t xml:space="preserve"> </w:t>
      </w:r>
      <w:r w:rsidR="003B5398" w:rsidRPr="00870D72">
        <w:rPr>
          <w:rFonts w:cs="Arial"/>
          <w:lang w:val="en-GB"/>
        </w:rPr>
        <w:t xml:space="preserve">account of </w:t>
      </w:r>
      <w:r w:rsidRPr="00870D72">
        <w:rPr>
          <w:rFonts w:cs="Arial"/>
          <w:lang w:val="en-GB"/>
        </w:rPr>
        <w:t>each school</w:t>
      </w:r>
      <w:r w:rsidR="003B5398" w:rsidRPr="00870D72">
        <w:rPr>
          <w:rFonts w:cs="Arial"/>
          <w:lang w:val="en-GB"/>
        </w:rPr>
        <w:t>’s specific profile</w:t>
      </w:r>
      <w:r w:rsidRPr="00870D72">
        <w:rPr>
          <w:rFonts w:cs="Arial"/>
          <w:lang w:val="en-GB"/>
        </w:rPr>
        <w:t xml:space="preserve">. Flexible three-year audit cycles (or longer) would be supported </w:t>
      </w:r>
      <w:r w:rsidR="006F3869">
        <w:rPr>
          <w:rFonts w:cs="Arial"/>
          <w:lang w:val="en-GB"/>
        </w:rPr>
        <w:t xml:space="preserve">by </w:t>
      </w:r>
      <w:r w:rsidRPr="00870D72">
        <w:rPr>
          <w:rFonts w:cs="Arial"/>
          <w:lang w:val="en-GB"/>
        </w:rPr>
        <w:t>and based on desk research</w:t>
      </w:r>
      <w:r w:rsidR="003B5398" w:rsidRPr="00870D72">
        <w:rPr>
          <w:rFonts w:cs="Arial"/>
          <w:lang w:val="en-GB"/>
        </w:rPr>
        <w:t xml:space="preserve"> and documentation, allowing a ‘hard’ and ‘soft’</w:t>
      </w:r>
      <w:r w:rsidRPr="00870D72">
        <w:rPr>
          <w:rFonts w:cs="Arial"/>
          <w:lang w:val="en-GB"/>
        </w:rPr>
        <w:t xml:space="preserve"> approach. This approach would influence the length and the scope of the visit. Audits </w:t>
      </w:r>
      <w:r w:rsidR="003B5398" w:rsidRPr="00870D72">
        <w:rPr>
          <w:rFonts w:cs="Arial"/>
          <w:lang w:val="en-GB"/>
        </w:rPr>
        <w:t>would need to be planned as far</w:t>
      </w:r>
      <w:r w:rsidRPr="00870D72">
        <w:rPr>
          <w:rFonts w:cs="Arial"/>
          <w:lang w:val="en-GB"/>
        </w:rPr>
        <w:t xml:space="preserve"> in advance as possible.</w:t>
      </w:r>
    </w:p>
    <w:p w:rsidR="003A2384" w:rsidRPr="00870D72" w:rsidRDefault="003A2384" w:rsidP="003A2384">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In parallel with what has been proposed for the evaluation of locally recruited teachers, the possibility of involving external experts with extensive experience in the European School System (former </w:t>
      </w:r>
      <w:r w:rsidR="006352CC" w:rsidRPr="00870D72">
        <w:rPr>
          <w:color w:val="000000"/>
          <w:lang w:val="en-GB"/>
        </w:rPr>
        <w:t xml:space="preserve">Directors </w:t>
      </w:r>
      <w:r w:rsidRPr="00870D72">
        <w:rPr>
          <w:color w:val="000000"/>
          <w:lang w:val="en-GB"/>
        </w:rPr>
        <w:t>or</w:t>
      </w:r>
      <w:r w:rsidR="003B5398" w:rsidRPr="00870D72">
        <w:rPr>
          <w:color w:val="000000"/>
          <w:lang w:val="en-GB"/>
        </w:rPr>
        <w:t xml:space="preserve"> </w:t>
      </w:r>
      <w:r w:rsidR="006352CC" w:rsidRPr="00870D72">
        <w:rPr>
          <w:color w:val="000000"/>
          <w:lang w:val="en-GB"/>
        </w:rPr>
        <w:t xml:space="preserve">Deputies </w:t>
      </w:r>
      <w:r w:rsidR="003B5398" w:rsidRPr="00870D72">
        <w:rPr>
          <w:color w:val="000000"/>
          <w:lang w:val="en-GB"/>
        </w:rPr>
        <w:t>with experience in ‘traditional’</w:t>
      </w:r>
      <w:r w:rsidRPr="00870D72">
        <w:rPr>
          <w:color w:val="000000"/>
          <w:lang w:val="en-GB"/>
        </w:rPr>
        <w:t xml:space="preserve"> European Schools) in the audit teams has been raised. </w:t>
      </w:r>
    </w:p>
    <w:p w:rsidR="003A2384" w:rsidRPr="00870D72" w:rsidRDefault="003A2384" w:rsidP="003A2384">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In general, since the audits and their content draw on Whole School Inspection (WSI</w:t>
      </w:r>
      <w:r w:rsidR="00D57437">
        <w:rPr>
          <w:color w:val="000000"/>
          <w:lang w:val="en-GB"/>
        </w:rPr>
        <w:t>) practice, the involvement of D</w:t>
      </w:r>
      <w:r w:rsidRPr="00870D72">
        <w:rPr>
          <w:color w:val="000000"/>
          <w:lang w:val="en-GB"/>
        </w:rPr>
        <w:t xml:space="preserve">irectors, who are now well practised in WSI, would be recommended. Given that </w:t>
      </w:r>
      <w:r w:rsidR="006352CC" w:rsidRPr="00870D72">
        <w:rPr>
          <w:color w:val="000000"/>
          <w:lang w:val="en-GB"/>
        </w:rPr>
        <w:t xml:space="preserve">Directors </w:t>
      </w:r>
      <w:r w:rsidRPr="00870D72">
        <w:rPr>
          <w:color w:val="000000"/>
          <w:lang w:val="en-GB"/>
        </w:rPr>
        <w:t>currently in post might prove not to be available because of time constraints, the idea of invo</w:t>
      </w:r>
      <w:r w:rsidR="003B5398" w:rsidRPr="00870D72">
        <w:rPr>
          <w:color w:val="000000"/>
          <w:lang w:val="en-GB"/>
        </w:rPr>
        <w:t xml:space="preserve">lving former </w:t>
      </w:r>
      <w:r w:rsidR="006352CC" w:rsidRPr="00870D72">
        <w:rPr>
          <w:color w:val="000000"/>
          <w:lang w:val="en-GB"/>
        </w:rPr>
        <w:t xml:space="preserve">Directors </w:t>
      </w:r>
      <w:r w:rsidR="003B5398" w:rsidRPr="00870D72">
        <w:rPr>
          <w:color w:val="000000"/>
          <w:lang w:val="en-GB"/>
        </w:rPr>
        <w:t>has been mooted</w:t>
      </w:r>
      <w:r w:rsidRPr="00870D72">
        <w:rPr>
          <w:color w:val="000000"/>
          <w:lang w:val="en-GB"/>
        </w:rPr>
        <w:t>.</w:t>
      </w:r>
    </w:p>
    <w:p w:rsidR="0033572E" w:rsidRPr="00870D72" w:rsidRDefault="003B5398" w:rsidP="0000048D">
      <w:pPr>
        <w:rPr>
          <w:rFonts w:cs="Arial"/>
          <w:lang w:val="en-GB"/>
        </w:rPr>
      </w:pPr>
      <w:r w:rsidRPr="00870D72">
        <w:rPr>
          <w:rFonts w:cs="Arial"/>
          <w:lang w:val="en-GB"/>
        </w:rPr>
        <w:t>It would be better for a</w:t>
      </w:r>
      <w:r w:rsidR="0033572E" w:rsidRPr="00870D72">
        <w:rPr>
          <w:rFonts w:cs="Arial"/>
          <w:lang w:val="en-GB"/>
        </w:rPr>
        <w:t>ud</w:t>
      </w:r>
      <w:r w:rsidRPr="00870D72">
        <w:rPr>
          <w:rFonts w:cs="Arial"/>
          <w:lang w:val="en-GB"/>
        </w:rPr>
        <w:t>it teams to be composed of inspectors and ‘experts’</w:t>
      </w:r>
      <w:r w:rsidR="0033572E" w:rsidRPr="00870D72">
        <w:rPr>
          <w:rFonts w:cs="Arial"/>
          <w:lang w:val="en-GB"/>
        </w:rPr>
        <w:t>, the latter</w:t>
      </w:r>
      <w:r w:rsidRPr="00870D72">
        <w:rPr>
          <w:rFonts w:cs="Arial"/>
          <w:lang w:val="en-GB"/>
        </w:rPr>
        <w:t xml:space="preserve">’s responsibility </w:t>
      </w:r>
      <w:r w:rsidR="0033572E" w:rsidRPr="00870D72">
        <w:rPr>
          <w:rFonts w:cs="Arial"/>
          <w:lang w:val="en-GB"/>
        </w:rPr>
        <w:t>be</w:t>
      </w:r>
      <w:r w:rsidRPr="00870D72">
        <w:rPr>
          <w:rFonts w:cs="Arial"/>
          <w:lang w:val="en-GB"/>
        </w:rPr>
        <w:t>ing to prepare</w:t>
      </w:r>
      <w:r w:rsidR="0033572E" w:rsidRPr="00870D72">
        <w:rPr>
          <w:rFonts w:cs="Arial"/>
          <w:lang w:val="en-GB"/>
        </w:rPr>
        <w:t xml:space="preserve"> the work for the inspectors</w:t>
      </w:r>
      <w:r w:rsidR="006352CC" w:rsidRPr="00870D72">
        <w:rPr>
          <w:rFonts w:cs="Arial"/>
          <w:lang w:val="en-GB"/>
        </w:rPr>
        <w:t xml:space="preserve"> and to provide them with support</w:t>
      </w:r>
      <w:r w:rsidR="0033572E" w:rsidRPr="00870D72">
        <w:rPr>
          <w:rFonts w:cs="Arial"/>
          <w:lang w:val="en-GB"/>
        </w:rPr>
        <w:t>. Inspectors would vis</w:t>
      </w:r>
      <w:r w:rsidRPr="00870D72">
        <w:rPr>
          <w:rFonts w:cs="Arial"/>
          <w:lang w:val="en-GB"/>
        </w:rPr>
        <w:t>it the school with/without the ‘experts’</w:t>
      </w:r>
      <w:r w:rsidR="0033572E" w:rsidRPr="00870D72">
        <w:rPr>
          <w:rFonts w:cs="Arial"/>
          <w:lang w:val="en-GB"/>
        </w:rPr>
        <w:t xml:space="preserve">. </w:t>
      </w:r>
    </w:p>
    <w:p w:rsidR="0033572E" w:rsidRPr="00870D72" w:rsidRDefault="003B5398" w:rsidP="0000048D">
      <w:pPr>
        <w:rPr>
          <w:rFonts w:cs="Arial"/>
          <w:lang w:val="en-GB"/>
        </w:rPr>
      </w:pPr>
      <w:r w:rsidRPr="00870D72">
        <w:rPr>
          <w:rFonts w:cs="Arial"/>
          <w:lang w:val="en-GB"/>
        </w:rPr>
        <w:t xml:space="preserve">Experience of </w:t>
      </w:r>
      <w:r w:rsidR="0033572E" w:rsidRPr="00870D72">
        <w:rPr>
          <w:rFonts w:cs="Arial"/>
          <w:lang w:val="en-GB"/>
        </w:rPr>
        <w:t>Whole School Inspection wo</w:t>
      </w:r>
      <w:r w:rsidRPr="00870D72">
        <w:rPr>
          <w:rFonts w:cs="Arial"/>
          <w:lang w:val="en-GB"/>
        </w:rPr>
        <w:t>uld be considered to be a good background for</w:t>
      </w:r>
      <w:r w:rsidR="0033572E" w:rsidRPr="00870D72">
        <w:rPr>
          <w:rFonts w:cs="Arial"/>
          <w:lang w:val="en-GB"/>
        </w:rPr>
        <w:t xml:space="preserve"> conduct</w:t>
      </w:r>
      <w:r w:rsidRPr="00870D72">
        <w:rPr>
          <w:rFonts w:cs="Arial"/>
          <w:lang w:val="en-GB"/>
        </w:rPr>
        <w:t>ing audits of</w:t>
      </w:r>
      <w:r w:rsidR="006352CC" w:rsidRPr="00870D72">
        <w:rPr>
          <w:rFonts w:cs="Arial"/>
          <w:lang w:val="en-GB"/>
        </w:rPr>
        <w:t xml:space="preserve"> AES. The </w:t>
      </w:r>
      <w:r w:rsidR="0033572E" w:rsidRPr="00870D72">
        <w:rPr>
          <w:rFonts w:cs="Arial"/>
          <w:lang w:val="en-GB"/>
        </w:rPr>
        <w:t>inspectors</w:t>
      </w:r>
      <w:r w:rsidR="006352CC" w:rsidRPr="00870D72">
        <w:rPr>
          <w:rFonts w:cs="Arial"/>
          <w:lang w:val="en-GB"/>
        </w:rPr>
        <w:t>’ essential role would be to check</w:t>
      </w:r>
      <w:r w:rsidR="0033572E" w:rsidRPr="00870D72">
        <w:rPr>
          <w:rFonts w:cs="Arial"/>
          <w:lang w:val="en-GB"/>
        </w:rPr>
        <w:t xml:space="preserve"> the quality assuranc</w:t>
      </w:r>
      <w:r w:rsidR="006352CC" w:rsidRPr="00870D72">
        <w:rPr>
          <w:rFonts w:cs="Arial"/>
          <w:lang w:val="en-GB"/>
        </w:rPr>
        <w:t>e part of the audit, while the ‘experts’ would look more closely at</w:t>
      </w:r>
      <w:r w:rsidR="0033572E" w:rsidRPr="00870D72">
        <w:rPr>
          <w:rFonts w:cs="Arial"/>
          <w:lang w:val="en-GB"/>
        </w:rPr>
        <w:t xml:space="preserve"> the other two parts.</w:t>
      </w:r>
      <w:r w:rsidR="00546E9A" w:rsidRPr="00870D72">
        <w:rPr>
          <w:rFonts w:cs="Arial"/>
          <w:lang w:val="en-GB"/>
        </w:rPr>
        <w:t xml:space="preserve"> Newly appointed inspectors w</w:t>
      </w:r>
      <w:r w:rsidR="006352CC" w:rsidRPr="00870D72">
        <w:rPr>
          <w:rFonts w:cs="Arial"/>
          <w:lang w:val="en-GB"/>
        </w:rPr>
        <w:t xml:space="preserve">ould join the teams at the </w:t>
      </w:r>
      <w:r w:rsidR="00546E9A" w:rsidRPr="00870D72">
        <w:rPr>
          <w:rFonts w:cs="Arial"/>
          <w:lang w:val="en-GB"/>
        </w:rPr>
        <w:t>ES System</w:t>
      </w:r>
      <w:r w:rsidR="006352CC" w:rsidRPr="00870D72">
        <w:rPr>
          <w:rFonts w:cs="Arial"/>
          <w:lang w:val="en-GB"/>
        </w:rPr>
        <w:t>’s expense</w:t>
      </w:r>
      <w:r w:rsidR="00546E9A" w:rsidRPr="00870D72">
        <w:rPr>
          <w:rFonts w:cs="Arial"/>
          <w:lang w:val="en-GB"/>
        </w:rPr>
        <w:t xml:space="preserve"> as observers and le</w:t>
      </w:r>
      <w:r w:rsidR="006352CC" w:rsidRPr="00870D72">
        <w:rPr>
          <w:rFonts w:cs="Arial"/>
          <w:lang w:val="en-GB"/>
        </w:rPr>
        <w:t>arn about good practices (a form</w:t>
      </w:r>
      <w:r w:rsidR="00546E9A" w:rsidRPr="00870D72">
        <w:rPr>
          <w:rFonts w:cs="Arial"/>
          <w:lang w:val="en-GB"/>
        </w:rPr>
        <w:t xml:space="preserve"> of training).</w:t>
      </w:r>
    </w:p>
    <w:p w:rsidR="000B21A5" w:rsidRPr="00870D72" w:rsidRDefault="006352CC" w:rsidP="0000048D">
      <w:pPr>
        <w:rPr>
          <w:rFonts w:cs="Arial"/>
          <w:lang w:val="en-GB"/>
        </w:rPr>
      </w:pPr>
      <w:r w:rsidRPr="00870D72">
        <w:rPr>
          <w:rFonts w:cs="Arial"/>
          <w:lang w:val="en-GB"/>
        </w:rPr>
        <w:lastRenderedPageBreak/>
        <w:t>P</w:t>
      </w:r>
      <w:r w:rsidR="000B21A5" w:rsidRPr="00870D72">
        <w:rPr>
          <w:rFonts w:cs="Arial"/>
          <w:lang w:val="en-GB"/>
        </w:rPr>
        <w:t>reparatory work –</w:t>
      </w:r>
      <w:r w:rsidR="008C61B1" w:rsidRPr="00870D72">
        <w:rPr>
          <w:rFonts w:cs="Arial"/>
          <w:lang w:val="en-GB"/>
        </w:rPr>
        <w:t xml:space="preserve"> </w:t>
      </w:r>
      <w:r w:rsidR="000B21A5" w:rsidRPr="00870D72">
        <w:rPr>
          <w:rFonts w:cs="Arial"/>
          <w:lang w:val="en-GB"/>
        </w:rPr>
        <w:t>before the inspec</w:t>
      </w:r>
      <w:r w:rsidRPr="00870D72">
        <w:rPr>
          <w:rFonts w:cs="Arial"/>
          <w:lang w:val="en-GB"/>
        </w:rPr>
        <w:t>tors’ visit – could be done by ‘experts’</w:t>
      </w:r>
      <w:r w:rsidR="000B21A5" w:rsidRPr="00870D72">
        <w:rPr>
          <w:rFonts w:cs="Arial"/>
          <w:lang w:val="en-GB"/>
        </w:rPr>
        <w:t xml:space="preserve">. This procedure would </w:t>
      </w:r>
      <w:r w:rsidRPr="00870D72">
        <w:rPr>
          <w:rFonts w:cs="Arial"/>
          <w:lang w:val="en-GB"/>
        </w:rPr>
        <w:t xml:space="preserve">allow </w:t>
      </w:r>
      <w:r w:rsidR="000B21A5" w:rsidRPr="00870D72">
        <w:rPr>
          <w:rFonts w:cs="Arial"/>
          <w:lang w:val="en-GB"/>
        </w:rPr>
        <w:t>more time</w:t>
      </w:r>
      <w:r w:rsidRPr="00870D72">
        <w:rPr>
          <w:rFonts w:cs="Arial"/>
          <w:lang w:val="en-GB"/>
        </w:rPr>
        <w:t xml:space="preserve"> be allocated</w:t>
      </w:r>
      <w:r w:rsidR="000B21A5" w:rsidRPr="00870D72">
        <w:rPr>
          <w:rFonts w:cs="Arial"/>
          <w:lang w:val="en-GB"/>
        </w:rPr>
        <w:t xml:space="preserve"> to the quality ass</w:t>
      </w:r>
      <w:r w:rsidRPr="00870D72">
        <w:rPr>
          <w:rFonts w:cs="Arial"/>
          <w:lang w:val="en-GB"/>
        </w:rPr>
        <w:t xml:space="preserve">urance part and inspectors would be able to </w:t>
      </w:r>
      <w:r w:rsidR="000B21A5" w:rsidRPr="00870D72">
        <w:rPr>
          <w:rFonts w:cs="Arial"/>
          <w:lang w:val="en-GB"/>
        </w:rPr>
        <w:t xml:space="preserve">focus </w:t>
      </w:r>
      <w:r w:rsidRPr="00870D72">
        <w:rPr>
          <w:rFonts w:cs="Arial"/>
          <w:lang w:val="en-GB"/>
        </w:rPr>
        <w:t xml:space="preserve">better </w:t>
      </w:r>
      <w:r w:rsidR="000B21A5" w:rsidRPr="00870D72">
        <w:rPr>
          <w:rFonts w:cs="Arial"/>
          <w:lang w:val="en-GB"/>
        </w:rPr>
        <w:t xml:space="preserve">on relevant local information. </w:t>
      </w:r>
      <w:r w:rsidR="0033572E" w:rsidRPr="00870D72">
        <w:rPr>
          <w:rFonts w:cs="Arial"/>
          <w:lang w:val="en-GB"/>
        </w:rPr>
        <w:t>Rules should be adapted and r</w:t>
      </w:r>
      <w:r w:rsidR="000B21A5" w:rsidRPr="00870D72">
        <w:rPr>
          <w:rFonts w:cs="Arial"/>
          <w:lang w:val="en-GB"/>
        </w:rPr>
        <w:t xml:space="preserve">esources </w:t>
      </w:r>
      <w:r w:rsidR="008C61B1" w:rsidRPr="00870D72">
        <w:rPr>
          <w:rFonts w:cs="Arial"/>
          <w:lang w:val="en-GB"/>
        </w:rPr>
        <w:t xml:space="preserve">would </w:t>
      </w:r>
      <w:r w:rsidR="000B21A5" w:rsidRPr="00870D72">
        <w:rPr>
          <w:rFonts w:cs="Arial"/>
          <w:lang w:val="en-GB"/>
        </w:rPr>
        <w:t xml:space="preserve">need to be </w:t>
      </w:r>
      <w:r w:rsidR="0033572E" w:rsidRPr="00870D72">
        <w:rPr>
          <w:rFonts w:cs="Arial"/>
          <w:lang w:val="en-GB"/>
        </w:rPr>
        <w:t>made available</w:t>
      </w:r>
      <w:r w:rsidR="000B21A5" w:rsidRPr="00870D72">
        <w:rPr>
          <w:rFonts w:cs="Arial"/>
          <w:lang w:val="en-GB"/>
        </w:rPr>
        <w:t>.</w:t>
      </w:r>
    </w:p>
    <w:p w:rsidR="00FC292F" w:rsidRPr="00870D72" w:rsidRDefault="006352CC" w:rsidP="0000048D">
      <w:pPr>
        <w:rPr>
          <w:rFonts w:cs="Arial"/>
          <w:lang w:val="en-GB"/>
        </w:rPr>
      </w:pPr>
      <w:r w:rsidRPr="00870D72">
        <w:rPr>
          <w:rFonts w:cs="Arial"/>
          <w:lang w:val="en-GB"/>
        </w:rPr>
        <w:t>Experts (Directors, Deputy Directors with experience in ‘traditional’</w:t>
      </w:r>
      <w:r w:rsidR="00FC292F" w:rsidRPr="00870D72">
        <w:rPr>
          <w:rFonts w:cs="Arial"/>
          <w:lang w:val="en-GB"/>
        </w:rPr>
        <w:t xml:space="preserve"> E</w:t>
      </w:r>
      <w:r w:rsidRPr="00870D72">
        <w:rPr>
          <w:rFonts w:cs="Arial"/>
          <w:lang w:val="en-GB"/>
        </w:rPr>
        <w:t>uropean Schools), trained in the Regulations on AES and the development</w:t>
      </w:r>
      <w:r w:rsidR="00FC292F" w:rsidRPr="00870D72">
        <w:rPr>
          <w:rFonts w:cs="Arial"/>
          <w:lang w:val="en-GB"/>
        </w:rPr>
        <w:t xml:space="preserve"> of the ES Syste</w:t>
      </w:r>
      <w:r w:rsidRPr="00870D72">
        <w:rPr>
          <w:rFonts w:cs="Arial"/>
          <w:lang w:val="en-GB"/>
        </w:rPr>
        <w:t>m, would join the team to check the school’s</w:t>
      </w:r>
      <w:r w:rsidR="00FC292F" w:rsidRPr="00870D72">
        <w:rPr>
          <w:rFonts w:cs="Arial"/>
          <w:lang w:val="en-GB"/>
        </w:rPr>
        <w:t xml:space="preserve"> </w:t>
      </w:r>
      <w:r w:rsidRPr="00870D72">
        <w:rPr>
          <w:rFonts w:cs="Arial"/>
          <w:lang w:val="en-GB"/>
        </w:rPr>
        <w:t xml:space="preserve">conformity with </w:t>
      </w:r>
      <w:r w:rsidR="00FC292F" w:rsidRPr="00870D72">
        <w:rPr>
          <w:rFonts w:cs="Arial"/>
          <w:lang w:val="en-GB"/>
        </w:rPr>
        <w:t>the Regulations a</w:t>
      </w:r>
      <w:r w:rsidRPr="00870D72">
        <w:rPr>
          <w:rFonts w:cs="Arial"/>
          <w:lang w:val="en-GB"/>
        </w:rPr>
        <w:t>nd with the Dossier of C</w:t>
      </w:r>
      <w:r w:rsidR="00FC292F" w:rsidRPr="00870D72">
        <w:rPr>
          <w:rFonts w:cs="Arial"/>
          <w:lang w:val="en-GB"/>
        </w:rPr>
        <w:t>onformity. They would also support the inspectors’ audit work and guarantee sta</w:t>
      </w:r>
      <w:r w:rsidRPr="00870D72">
        <w:rPr>
          <w:rFonts w:cs="Arial"/>
          <w:lang w:val="en-GB"/>
        </w:rPr>
        <w:t>ndards, in order to avoid putting the ES at risk of awarding</w:t>
      </w:r>
      <w:r w:rsidR="00FC292F" w:rsidRPr="00870D72">
        <w:rPr>
          <w:rFonts w:cs="Arial"/>
          <w:lang w:val="en-GB"/>
        </w:rPr>
        <w:t xml:space="preserve"> accreditation to schools whic</w:t>
      </w:r>
      <w:r w:rsidRPr="00870D72">
        <w:rPr>
          <w:rFonts w:cs="Arial"/>
          <w:lang w:val="en-GB"/>
        </w:rPr>
        <w:t>h do not meet</w:t>
      </w:r>
      <w:r w:rsidR="00546E9A" w:rsidRPr="00870D72">
        <w:rPr>
          <w:rFonts w:cs="Arial"/>
          <w:lang w:val="en-GB"/>
        </w:rPr>
        <w:t xml:space="preserve"> these standards</w:t>
      </w:r>
      <w:r w:rsidRPr="00870D72">
        <w:rPr>
          <w:rFonts w:cs="Arial"/>
          <w:lang w:val="en-GB"/>
        </w:rPr>
        <w:t xml:space="preserve"> and jeopardising our schools’ reputation</w:t>
      </w:r>
      <w:r w:rsidR="00FC292F" w:rsidRPr="00870D72">
        <w:rPr>
          <w:rFonts w:cs="Arial"/>
          <w:lang w:val="en-GB"/>
        </w:rPr>
        <w:t>.</w:t>
      </w:r>
    </w:p>
    <w:p w:rsidR="00FC292F" w:rsidRPr="00870D72" w:rsidRDefault="00FC292F" w:rsidP="0000048D">
      <w:pPr>
        <w:rPr>
          <w:rFonts w:cs="Arial"/>
          <w:lang w:val="en-GB"/>
        </w:rPr>
      </w:pPr>
      <w:r w:rsidRPr="00870D72">
        <w:rPr>
          <w:rFonts w:cs="Arial"/>
          <w:lang w:val="en-GB"/>
        </w:rPr>
        <w:t>Objective evaluative tools should be produced and would</w:t>
      </w:r>
      <w:r w:rsidR="006352CC" w:rsidRPr="00870D72">
        <w:rPr>
          <w:rFonts w:cs="Arial"/>
          <w:lang w:val="en-GB"/>
        </w:rPr>
        <w:t xml:space="preserve"> be used by inspectors to check</w:t>
      </w:r>
      <w:r w:rsidRPr="00870D72">
        <w:rPr>
          <w:rFonts w:cs="Arial"/>
          <w:lang w:val="en-GB"/>
        </w:rPr>
        <w:t xml:space="preserve"> conformity. Two different templates w</w:t>
      </w:r>
      <w:r w:rsidR="00BA6291" w:rsidRPr="00870D72">
        <w:rPr>
          <w:rFonts w:cs="Arial"/>
          <w:lang w:val="en-GB"/>
        </w:rPr>
        <w:t xml:space="preserve">ould be used in order to </w:t>
      </w:r>
      <w:r w:rsidR="007E2E6E">
        <w:rPr>
          <w:rFonts w:cs="Arial"/>
          <w:lang w:val="en-GB"/>
        </w:rPr>
        <w:t xml:space="preserve">better </w:t>
      </w:r>
      <w:r w:rsidRPr="00870D72">
        <w:rPr>
          <w:rFonts w:cs="Arial"/>
          <w:lang w:val="en-GB"/>
        </w:rPr>
        <w:t xml:space="preserve">differentiate </w:t>
      </w:r>
      <w:r w:rsidR="00BA6291" w:rsidRPr="00870D72">
        <w:rPr>
          <w:rFonts w:cs="Arial"/>
          <w:lang w:val="en-GB"/>
        </w:rPr>
        <w:t>the criteria and indicators for</w:t>
      </w:r>
      <w:r w:rsidRPr="00870D72">
        <w:rPr>
          <w:rFonts w:cs="Arial"/>
          <w:lang w:val="en-GB"/>
        </w:rPr>
        <w:t xml:space="preserve"> the European Baccalaureate cycle from the rest. </w:t>
      </w:r>
    </w:p>
    <w:p w:rsidR="003A2384" w:rsidRPr="00870D72" w:rsidRDefault="003A2384" w:rsidP="0000048D">
      <w:pPr>
        <w:rPr>
          <w:rFonts w:cs="Arial"/>
          <w:lang w:val="en-GB"/>
        </w:rPr>
      </w:pPr>
      <w:r w:rsidRPr="00870D72">
        <w:rPr>
          <w:rFonts w:cs="Arial"/>
          <w:lang w:val="en-GB"/>
        </w:rPr>
        <w:t xml:space="preserve">The audit template should have </w:t>
      </w:r>
      <w:r w:rsidR="00BA6291" w:rsidRPr="00870D72">
        <w:rPr>
          <w:rFonts w:cs="Arial"/>
          <w:lang w:val="en-GB"/>
        </w:rPr>
        <w:t>a clearer fact sheet (data on</w:t>
      </w:r>
      <w:r w:rsidRPr="00870D72">
        <w:rPr>
          <w:rFonts w:cs="Arial"/>
          <w:lang w:val="en-GB"/>
        </w:rPr>
        <w:t xml:space="preserve"> pupils, teachers, language teaching, choices and optional subject available</w:t>
      </w:r>
      <w:r w:rsidR="00BA6291" w:rsidRPr="00870D72">
        <w:rPr>
          <w:rFonts w:cs="Arial"/>
          <w:lang w:val="en-GB"/>
        </w:rPr>
        <w:t>,</w:t>
      </w:r>
      <w:r w:rsidRPr="00870D72">
        <w:rPr>
          <w:rFonts w:cs="Arial"/>
          <w:lang w:val="en-GB"/>
        </w:rPr>
        <w:t xml:space="preserve"> etc.).</w:t>
      </w:r>
    </w:p>
    <w:p w:rsidR="0033572E" w:rsidRPr="00870D72" w:rsidRDefault="0033572E" w:rsidP="0000048D">
      <w:pPr>
        <w:rPr>
          <w:rFonts w:cs="Arial"/>
          <w:lang w:val="en-GB"/>
        </w:rPr>
      </w:pPr>
      <w:r w:rsidRPr="00870D72">
        <w:rPr>
          <w:rFonts w:cs="Arial"/>
          <w:lang w:val="en-GB"/>
        </w:rPr>
        <w:t>The Assistant for the AES could make available data gathered from AES. Follo</w:t>
      </w:r>
      <w:r w:rsidR="00BA6291" w:rsidRPr="00870D72">
        <w:rPr>
          <w:rFonts w:cs="Arial"/>
          <w:lang w:val="en-GB"/>
        </w:rPr>
        <w:t>wing that preparatory work, an ‘expert’</w:t>
      </w:r>
      <w:r w:rsidRPr="00870D72">
        <w:rPr>
          <w:rFonts w:cs="Arial"/>
          <w:lang w:val="en-GB"/>
        </w:rPr>
        <w:t>, paid on a consultancy b</w:t>
      </w:r>
      <w:r w:rsidR="00BA6291" w:rsidRPr="00870D72">
        <w:rPr>
          <w:rFonts w:cs="Arial"/>
          <w:lang w:val="en-GB"/>
        </w:rPr>
        <w:t>asis, would report remotely</w:t>
      </w:r>
      <w:r w:rsidRPr="00870D72">
        <w:rPr>
          <w:rFonts w:cs="Arial"/>
          <w:lang w:val="en-GB"/>
        </w:rPr>
        <w:t xml:space="preserve"> to the team of inspectors. Inspectors would remain responsible for the audit process and the audit report. A pool of experts would be available for audits in the same way </w:t>
      </w:r>
      <w:r w:rsidR="00BA6291" w:rsidRPr="00870D72">
        <w:rPr>
          <w:rFonts w:cs="Arial"/>
          <w:lang w:val="en-GB"/>
        </w:rPr>
        <w:t xml:space="preserve">as </w:t>
      </w:r>
      <w:r w:rsidRPr="00870D72">
        <w:rPr>
          <w:rFonts w:cs="Arial"/>
          <w:lang w:val="en-GB"/>
        </w:rPr>
        <w:t>they are available for the Baccalaureate cycle; th</w:t>
      </w:r>
      <w:r w:rsidR="00BA6291" w:rsidRPr="00870D72">
        <w:rPr>
          <w:rFonts w:cs="Arial"/>
          <w:lang w:val="en-GB"/>
        </w:rPr>
        <w:t>is procedure would be instrumental in ensuring</w:t>
      </w:r>
      <w:r w:rsidRPr="00870D72">
        <w:rPr>
          <w:rFonts w:cs="Arial"/>
          <w:lang w:val="en-GB"/>
        </w:rPr>
        <w:t xml:space="preserve"> continuity.</w:t>
      </w:r>
    </w:p>
    <w:p w:rsidR="003A2384" w:rsidRPr="00870D72" w:rsidRDefault="00BA6291" w:rsidP="0000048D">
      <w:pPr>
        <w:rPr>
          <w:rFonts w:cs="Arial"/>
          <w:lang w:val="en-GB"/>
        </w:rPr>
      </w:pPr>
      <w:r w:rsidRPr="00870D72">
        <w:rPr>
          <w:rFonts w:cs="Arial"/>
          <w:lang w:val="en-GB"/>
        </w:rPr>
        <w:t>Benchmarking of AES against ES (such as</w:t>
      </w:r>
      <w:r w:rsidR="003A2384" w:rsidRPr="00870D72">
        <w:rPr>
          <w:rFonts w:cs="Arial"/>
          <w:lang w:val="en-GB"/>
        </w:rPr>
        <w:t xml:space="preserve"> E</w:t>
      </w:r>
      <w:r w:rsidRPr="00870D72">
        <w:rPr>
          <w:rFonts w:cs="Arial"/>
          <w:lang w:val="en-GB"/>
        </w:rPr>
        <w:t>B results, portfolios, repeat</w:t>
      </w:r>
      <w:r w:rsidR="003A2384" w:rsidRPr="00870D72">
        <w:rPr>
          <w:rFonts w:cs="Arial"/>
          <w:lang w:val="en-GB"/>
        </w:rPr>
        <w:t xml:space="preserve"> rates, absence reports</w:t>
      </w:r>
      <w:r w:rsidRPr="00870D72">
        <w:rPr>
          <w:rFonts w:cs="Arial"/>
          <w:lang w:val="en-GB"/>
        </w:rPr>
        <w:t>,</w:t>
      </w:r>
      <w:r w:rsidR="003A2384" w:rsidRPr="00870D72">
        <w:rPr>
          <w:rFonts w:cs="Arial"/>
          <w:lang w:val="en-GB"/>
        </w:rPr>
        <w:t xml:space="preserve"> etc.) could be considered. </w:t>
      </w:r>
    </w:p>
    <w:p w:rsidR="003A2384" w:rsidRPr="00870D72" w:rsidRDefault="0033572E" w:rsidP="003A2384">
      <w:pPr>
        <w:rPr>
          <w:szCs w:val="22"/>
          <w:lang w:val="en-GB"/>
        </w:rPr>
      </w:pPr>
      <w:r w:rsidRPr="00870D72">
        <w:rPr>
          <w:rFonts w:cs="Arial"/>
          <w:lang w:val="en-GB"/>
        </w:rPr>
        <w:t xml:space="preserve">It would be positive to nominate an experienced audit coordinator in each audit team (as happens in the WSI teams). The Presidency would nominate this </w:t>
      </w:r>
      <w:r w:rsidR="00546E9A" w:rsidRPr="00870D72">
        <w:rPr>
          <w:rFonts w:cs="Arial"/>
          <w:lang w:val="en-GB"/>
        </w:rPr>
        <w:t xml:space="preserve">coordinating </w:t>
      </w:r>
      <w:r w:rsidRPr="00870D72">
        <w:rPr>
          <w:rFonts w:cs="Arial"/>
          <w:lang w:val="en-GB"/>
        </w:rPr>
        <w:t xml:space="preserve">inspector according to his/her experience/qualifications and if he/she agrees. One Nursery/Primary inspector, one Secondary inspector and one expert would be </w:t>
      </w:r>
      <w:r w:rsidR="00BA6291" w:rsidRPr="00870D72">
        <w:rPr>
          <w:rFonts w:cs="Arial"/>
          <w:lang w:val="en-GB"/>
        </w:rPr>
        <w:t xml:space="preserve">the </w:t>
      </w:r>
      <w:r w:rsidR="00FC292F" w:rsidRPr="00870D72">
        <w:rPr>
          <w:rFonts w:cs="Arial"/>
          <w:lang w:val="en-GB"/>
        </w:rPr>
        <w:t xml:space="preserve">minimum </w:t>
      </w:r>
      <w:r w:rsidRPr="00870D72">
        <w:rPr>
          <w:rFonts w:cs="Arial"/>
          <w:lang w:val="en-GB"/>
        </w:rPr>
        <w:t xml:space="preserve">required when both cycles are to be audited. </w:t>
      </w:r>
      <w:r w:rsidR="003A2384" w:rsidRPr="00870D72">
        <w:rPr>
          <w:szCs w:val="22"/>
          <w:lang w:val="en-GB"/>
        </w:rPr>
        <w:t>Du</w:t>
      </w:r>
      <w:r w:rsidR="00BA6291" w:rsidRPr="00870D72">
        <w:rPr>
          <w:szCs w:val="22"/>
          <w:lang w:val="en-GB"/>
        </w:rPr>
        <w:t>ring the first audit of the final</w:t>
      </w:r>
      <w:r w:rsidR="003A2384" w:rsidRPr="00870D72">
        <w:rPr>
          <w:szCs w:val="22"/>
          <w:lang w:val="en-GB"/>
        </w:rPr>
        <w:t xml:space="preserve"> two years, the Hea</w:t>
      </w:r>
      <w:r w:rsidR="00BA6291" w:rsidRPr="00870D72">
        <w:rPr>
          <w:szCs w:val="22"/>
          <w:lang w:val="en-GB"/>
        </w:rPr>
        <w:t>d of the Baccalaureate Unit would</w:t>
      </w:r>
      <w:r w:rsidR="003A2384" w:rsidRPr="00870D72">
        <w:rPr>
          <w:szCs w:val="22"/>
          <w:lang w:val="en-GB"/>
        </w:rPr>
        <w:t xml:space="preserve"> be p</w:t>
      </w:r>
      <w:r w:rsidR="00BA6291" w:rsidRPr="00870D72">
        <w:rPr>
          <w:szCs w:val="22"/>
          <w:lang w:val="en-GB"/>
        </w:rPr>
        <w:t>resent in order to better advise</w:t>
      </w:r>
      <w:r w:rsidR="003A2384" w:rsidRPr="00870D72">
        <w:rPr>
          <w:szCs w:val="22"/>
          <w:lang w:val="en-GB"/>
        </w:rPr>
        <w:t xml:space="preserve"> the school starting the Baccalaureate cycle.</w:t>
      </w:r>
    </w:p>
    <w:p w:rsidR="007552E1" w:rsidRPr="00870D72" w:rsidRDefault="007552E1" w:rsidP="007552E1">
      <w:pPr>
        <w:rPr>
          <w:rFonts w:cs="Arial"/>
          <w:lang w:val="en-GB"/>
        </w:rPr>
      </w:pPr>
      <w:r w:rsidRPr="00870D72">
        <w:rPr>
          <w:rFonts w:cs="Arial"/>
          <w:lang w:val="en-GB"/>
        </w:rPr>
        <w:t xml:space="preserve">The definition of the process and </w:t>
      </w:r>
      <w:r w:rsidR="007E2E6E">
        <w:rPr>
          <w:rFonts w:cs="Arial"/>
          <w:lang w:val="en-GB"/>
        </w:rPr>
        <w:t xml:space="preserve">the </w:t>
      </w:r>
      <w:r w:rsidRPr="00870D72">
        <w:rPr>
          <w:rFonts w:cs="Arial"/>
          <w:lang w:val="en-GB"/>
        </w:rPr>
        <w:t xml:space="preserve">structure of the audit – as proposed here </w:t>
      </w:r>
      <w:r w:rsidR="007E2E6E">
        <w:rPr>
          <w:rFonts w:cs="Arial"/>
          <w:lang w:val="en-GB"/>
        </w:rPr>
        <w:t>– s</w:t>
      </w:r>
      <w:r w:rsidR="00BA6291" w:rsidRPr="00870D72">
        <w:rPr>
          <w:rFonts w:cs="Arial"/>
          <w:lang w:val="en-GB"/>
        </w:rPr>
        <w:t>hould be clearly laid down</w:t>
      </w:r>
      <w:r w:rsidRPr="00870D72">
        <w:rPr>
          <w:rFonts w:cs="Arial"/>
          <w:lang w:val="en-GB"/>
        </w:rPr>
        <w:t xml:space="preserve"> in the Regulations. </w:t>
      </w:r>
    </w:p>
    <w:p w:rsidR="007552E1" w:rsidRPr="00870D72" w:rsidRDefault="00BA6291" w:rsidP="007E2E6E">
      <w:pPr>
        <w:spacing w:after="240"/>
        <w:rPr>
          <w:rFonts w:cs="Arial"/>
          <w:lang w:val="en-GB"/>
        </w:rPr>
      </w:pPr>
      <w:r w:rsidRPr="00870D72">
        <w:rPr>
          <w:rFonts w:cs="Arial"/>
          <w:lang w:val="en-GB"/>
        </w:rPr>
        <w:t>All costs</w:t>
      </w:r>
      <w:r w:rsidR="007552E1" w:rsidRPr="00870D72">
        <w:rPr>
          <w:rFonts w:cs="Arial"/>
          <w:lang w:val="en-GB"/>
        </w:rPr>
        <w:t xml:space="preserve"> would</w:t>
      </w:r>
      <w:r w:rsidRPr="00870D72">
        <w:rPr>
          <w:rFonts w:cs="Arial"/>
          <w:lang w:val="en-GB"/>
        </w:rPr>
        <w:t xml:space="preserve"> need to be regarded</w:t>
      </w:r>
      <w:r w:rsidR="007552E1" w:rsidRPr="00870D72">
        <w:rPr>
          <w:rFonts w:cs="Arial"/>
          <w:lang w:val="en-GB"/>
        </w:rPr>
        <w:t xml:space="preserve"> as included in the overall contr</w:t>
      </w:r>
      <w:r w:rsidRPr="00870D72">
        <w:rPr>
          <w:rFonts w:cs="Arial"/>
          <w:lang w:val="en-GB"/>
        </w:rPr>
        <w:t>ibution paid by the Accredited Schools to the ES</w:t>
      </w:r>
      <w:r w:rsidR="007552E1" w:rsidRPr="00870D72">
        <w:rPr>
          <w:rFonts w:cs="Arial"/>
          <w:lang w:val="en-GB"/>
        </w:rPr>
        <w:t xml:space="preserve"> System, </w:t>
      </w:r>
      <w:r w:rsidR="007E2E6E">
        <w:rPr>
          <w:rFonts w:cs="Arial"/>
          <w:lang w:val="en-GB"/>
        </w:rPr>
        <w:t>this contribution being</w:t>
      </w:r>
      <w:r w:rsidR="007552E1" w:rsidRPr="00870D72">
        <w:rPr>
          <w:rFonts w:cs="Arial"/>
          <w:lang w:val="en-GB"/>
        </w:rPr>
        <w:t xml:space="preserve"> under discussion. This would be i</w:t>
      </w:r>
      <w:r w:rsidRPr="00870D72">
        <w:rPr>
          <w:rFonts w:cs="Arial"/>
          <w:lang w:val="en-GB"/>
        </w:rPr>
        <w:t xml:space="preserve">n line with the idea of </w:t>
      </w:r>
      <w:r w:rsidR="007552E1" w:rsidRPr="00870D72">
        <w:rPr>
          <w:rFonts w:cs="Arial"/>
          <w:lang w:val="en-GB"/>
        </w:rPr>
        <w:t>cost</w:t>
      </w:r>
      <w:r w:rsidRPr="00870D72">
        <w:rPr>
          <w:rFonts w:cs="Arial"/>
          <w:lang w:val="en-GB"/>
        </w:rPr>
        <w:t xml:space="preserve"> neutrality</w:t>
      </w:r>
      <w:r w:rsidR="007552E1" w:rsidRPr="00870D72">
        <w:rPr>
          <w:rFonts w:cs="Arial"/>
          <w:lang w:val="en-GB"/>
        </w:rPr>
        <w:t xml:space="preserve"> for the System.</w:t>
      </w:r>
    </w:p>
    <w:p w:rsidR="0033572E" w:rsidRPr="00870D72" w:rsidRDefault="00546E9A" w:rsidP="0000048D">
      <w:pPr>
        <w:rPr>
          <w:rFonts w:cs="Arial"/>
          <w:i/>
          <w:lang w:val="en-GB"/>
        </w:rPr>
      </w:pPr>
      <w:r w:rsidRPr="00870D72">
        <w:rPr>
          <w:rFonts w:cs="Arial"/>
          <w:i/>
          <w:lang w:val="en-GB"/>
        </w:rPr>
        <w:t>Aspects to be covered</w:t>
      </w:r>
    </w:p>
    <w:p w:rsidR="008C61B1" w:rsidRPr="00870D72" w:rsidRDefault="008C61B1" w:rsidP="0000048D">
      <w:pPr>
        <w:rPr>
          <w:rFonts w:cs="Arial"/>
          <w:lang w:val="en-GB"/>
        </w:rPr>
      </w:pPr>
      <w:r w:rsidRPr="00870D72">
        <w:rPr>
          <w:rFonts w:cs="Arial"/>
          <w:lang w:val="en-GB"/>
        </w:rPr>
        <w:t>The</w:t>
      </w:r>
      <w:r w:rsidR="000B21A5" w:rsidRPr="00870D72">
        <w:rPr>
          <w:rFonts w:cs="Arial"/>
          <w:lang w:val="en-GB"/>
        </w:rPr>
        <w:t xml:space="preserve"> focus on the goals of the audit and the meaning of the accreditation renewal</w:t>
      </w:r>
      <w:r w:rsidRPr="00870D72">
        <w:rPr>
          <w:rFonts w:cs="Arial"/>
          <w:lang w:val="en-GB"/>
        </w:rPr>
        <w:t xml:space="preserve"> should be:</w:t>
      </w:r>
    </w:p>
    <w:p w:rsidR="008C61B1" w:rsidRPr="00870D72" w:rsidRDefault="00BA6291" w:rsidP="0000048D">
      <w:pPr>
        <w:rPr>
          <w:rFonts w:cs="Arial"/>
          <w:lang w:val="en-GB"/>
        </w:rPr>
      </w:pPr>
      <w:r w:rsidRPr="00870D72">
        <w:rPr>
          <w:rFonts w:cs="Arial"/>
          <w:lang w:val="en-GB"/>
        </w:rPr>
        <w:t>1) checking conformity with</w:t>
      </w:r>
      <w:r w:rsidR="000B21A5" w:rsidRPr="00870D72">
        <w:rPr>
          <w:rFonts w:cs="Arial"/>
          <w:lang w:val="en-GB"/>
        </w:rPr>
        <w:t xml:space="preserve"> the AES and ES Regulations, </w:t>
      </w:r>
    </w:p>
    <w:p w:rsidR="008C61B1" w:rsidRPr="00870D72" w:rsidRDefault="00BA6291" w:rsidP="0000048D">
      <w:pPr>
        <w:rPr>
          <w:rFonts w:cs="Arial"/>
          <w:lang w:val="en-GB"/>
        </w:rPr>
      </w:pPr>
      <w:r w:rsidRPr="00870D72">
        <w:rPr>
          <w:rFonts w:cs="Arial"/>
          <w:lang w:val="en-GB"/>
        </w:rPr>
        <w:t>2) checking conformity with the Dossier of C</w:t>
      </w:r>
      <w:r w:rsidR="000B21A5" w:rsidRPr="00870D72">
        <w:rPr>
          <w:rFonts w:cs="Arial"/>
          <w:lang w:val="en-GB"/>
        </w:rPr>
        <w:t>onformity</w:t>
      </w:r>
      <w:r w:rsidR="008C61B1" w:rsidRPr="00870D72">
        <w:rPr>
          <w:rFonts w:cs="Arial"/>
          <w:lang w:val="en-GB"/>
        </w:rPr>
        <w:t xml:space="preserve"> </w:t>
      </w:r>
    </w:p>
    <w:p w:rsidR="0033572E" w:rsidRPr="00870D72" w:rsidRDefault="000B21A5" w:rsidP="0000048D">
      <w:pPr>
        <w:rPr>
          <w:rFonts w:cs="Arial"/>
          <w:lang w:val="en-GB"/>
        </w:rPr>
      </w:pPr>
      <w:r w:rsidRPr="00870D72">
        <w:rPr>
          <w:rFonts w:cs="Arial"/>
          <w:lang w:val="en-GB"/>
        </w:rPr>
        <w:t xml:space="preserve">3) quality assurance. </w:t>
      </w:r>
    </w:p>
    <w:p w:rsidR="00A6072E" w:rsidRPr="00870D72" w:rsidRDefault="00A6072E" w:rsidP="00A6072E">
      <w:pPr>
        <w:rPr>
          <w:lang w:val="en-GB"/>
        </w:rPr>
      </w:pPr>
      <w:r w:rsidRPr="00870D72">
        <w:rPr>
          <w:lang w:val="en-GB"/>
        </w:rPr>
        <w:t xml:space="preserve">The Group agrees on </w:t>
      </w:r>
      <w:r w:rsidR="00BA6291" w:rsidRPr="00870D72">
        <w:rPr>
          <w:lang w:val="en-GB"/>
        </w:rPr>
        <w:t>the need to check</w:t>
      </w:r>
      <w:r w:rsidRPr="00870D72">
        <w:rPr>
          <w:lang w:val="en-GB"/>
        </w:rPr>
        <w:t xml:space="preserve"> the quality of teachi</w:t>
      </w:r>
      <w:r w:rsidR="00BA6291" w:rsidRPr="00870D72">
        <w:rPr>
          <w:lang w:val="en-GB"/>
        </w:rPr>
        <w:t xml:space="preserve">ng, even though how this should be done – and the extra resources required – still has to be determined. </w:t>
      </w:r>
      <w:r w:rsidRPr="00870D72">
        <w:rPr>
          <w:lang w:val="en-GB"/>
        </w:rPr>
        <w:t xml:space="preserve"> Inspectors are overloaded, but AES contributi</w:t>
      </w:r>
      <w:r w:rsidR="00BA6291" w:rsidRPr="00870D72">
        <w:rPr>
          <w:lang w:val="en-GB"/>
        </w:rPr>
        <w:t>ons can be used for the purpose of</w:t>
      </w:r>
      <w:r w:rsidRPr="00870D72">
        <w:rPr>
          <w:lang w:val="en-GB"/>
        </w:rPr>
        <w:t xml:space="preserve"> ensuring this quality </w:t>
      </w:r>
      <w:r w:rsidR="00BA6291" w:rsidRPr="00870D72">
        <w:rPr>
          <w:lang w:val="en-GB"/>
        </w:rPr>
        <w:t>of teaching throughout the entire</w:t>
      </w:r>
      <w:r w:rsidRPr="00870D72">
        <w:rPr>
          <w:lang w:val="en-GB"/>
        </w:rPr>
        <w:t xml:space="preserve"> system.</w:t>
      </w:r>
    </w:p>
    <w:p w:rsidR="00546E9A" w:rsidRPr="00870D72" w:rsidRDefault="000B21A5" w:rsidP="0000048D">
      <w:pPr>
        <w:rPr>
          <w:rFonts w:cs="Arial"/>
          <w:lang w:val="en-GB"/>
        </w:rPr>
      </w:pPr>
      <w:r w:rsidRPr="00870D72">
        <w:rPr>
          <w:rFonts w:cs="Arial"/>
          <w:lang w:val="en-GB"/>
        </w:rPr>
        <w:t xml:space="preserve">The granting/renewal of accreditation </w:t>
      </w:r>
      <w:r w:rsidR="0033572E" w:rsidRPr="00870D72">
        <w:rPr>
          <w:rFonts w:cs="Arial"/>
          <w:lang w:val="en-GB"/>
        </w:rPr>
        <w:t xml:space="preserve">would </w:t>
      </w:r>
      <w:r w:rsidRPr="00870D72">
        <w:rPr>
          <w:rFonts w:cs="Arial"/>
          <w:lang w:val="en-GB"/>
        </w:rPr>
        <w:t>remain the priority of the audit</w:t>
      </w:r>
      <w:r w:rsidR="00BA6291" w:rsidRPr="00870D72">
        <w:rPr>
          <w:rFonts w:cs="Arial"/>
          <w:lang w:val="en-GB"/>
        </w:rPr>
        <w:t>,</w:t>
      </w:r>
      <w:r w:rsidRPr="00870D72">
        <w:rPr>
          <w:rFonts w:cs="Arial"/>
          <w:lang w:val="en-GB"/>
        </w:rPr>
        <w:t xml:space="preserve"> although maint</w:t>
      </w:r>
      <w:r w:rsidR="009430EE" w:rsidRPr="00870D72">
        <w:rPr>
          <w:rFonts w:cs="Arial"/>
          <w:lang w:val="en-GB"/>
        </w:rPr>
        <w:t>aining high-quality education should constantly be the aim.</w:t>
      </w:r>
      <w:r w:rsidRPr="00870D72">
        <w:rPr>
          <w:rFonts w:cs="Arial"/>
          <w:lang w:val="en-GB"/>
        </w:rPr>
        <w:t xml:space="preserve"> </w:t>
      </w:r>
    </w:p>
    <w:p w:rsidR="000B21A5" w:rsidRPr="00870D72" w:rsidRDefault="000B21A5" w:rsidP="0000048D">
      <w:pPr>
        <w:rPr>
          <w:rFonts w:cs="Arial"/>
          <w:lang w:val="en-GB"/>
        </w:rPr>
      </w:pPr>
      <w:r w:rsidRPr="00870D72">
        <w:rPr>
          <w:rFonts w:cs="Arial"/>
          <w:lang w:val="en-GB"/>
        </w:rPr>
        <w:t>These three audit objectives should be mentioned explicitly</w:t>
      </w:r>
      <w:r w:rsidR="0033572E" w:rsidRPr="00870D72">
        <w:rPr>
          <w:rFonts w:cs="Arial"/>
          <w:lang w:val="en-GB"/>
        </w:rPr>
        <w:t xml:space="preserve"> in the Regulations</w:t>
      </w:r>
      <w:r w:rsidRPr="00870D72">
        <w:rPr>
          <w:rFonts w:cs="Arial"/>
          <w:lang w:val="en-GB"/>
        </w:rPr>
        <w:t>.</w:t>
      </w:r>
    </w:p>
    <w:p w:rsidR="007552E1" w:rsidRPr="00870D72" w:rsidRDefault="007552E1" w:rsidP="007552E1">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As for the content to be covered, the </w:t>
      </w:r>
      <w:r w:rsidR="007E4807">
        <w:rPr>
          <w:color w:val="000000"/>
          <w:lang w:val="en-GB"/>
        </w:rPr>
        <w:t xml:space="preserve">Working Group </w:t>
      </w:r>
      <w:r w:rsidRPr="00870D72">
        <w:rPr>
          <w:color w:val="000000"/>
          <w:lang w:val="en-GB"/>
        </w:rPr>
        <w:t>recommends widening the scope to cover checking of compliance with regulations (pupils’ curricula, courses offered, teachers’ qualifications, etc.).</w:t>
      </w:r>
    </w:p>
    <w:p w:rsidR="007552E1" w:rsidRPr="00870D72" w:rsidRDefault="007552E1" w:rsidP="007552E1">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That should be case to an even greater extent for audits covering the final two secondary years, leading to award of the European Baccalaureate Diploma.</w:t>
      </w:r>
    </w:p>
    <w:p w:rsidR="007552E1" w:rsidRPr="00870D72" w:rsidRDefault="007552E1" w:rsidP="007552E1">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The audit reports should draw the Board of Governors’ attention to areas where compliance with the minimum requirements may not have been found.</w:t>
      </w:r>
    </w:p>
    <w:p w:rsidR="007552E1" w:rsidRPr="00870D72" w:rsidRDefault="007552E1" w:rsidP="007552E1">
      <w:pPr>
        <w:rPr>
          <w:lang w:val="en-GB"/>
        </w:rPr>
      </w:pPr>
      <w:r w:rsidRPr="00870D72">
        <w:rPr>
          <w:color w:val="000000"/>
          <w:lang w:val="en-GB"/>
        </w:rPr>
        <w:t>Specific templates should be produced for the s</w:t>
      </w:r>
      <w:r w:rsidR="009430EE" w:rsidRPr="00870D72">
        <w:rPr>
          <w:color w:val="000000"/>
          <w:lang w:val="en-GB"/>
        </w:rPr>
        <w:t>cope and a sub-group composed of</w:t>
      </w:r>
      <w:r w:rsidRPr="00870D72">
        <w:rPr>
          <w:color w:val="000000"/>
          <w:lang w:val="en-GB"/>
        </w:rPr>
        <w:t xml:space="preserve"> two Inspectors and a Director has been created.</w:t>
      </w:r>
      <w:r w:rsidRPr="00870D72">
        <w:rPr>
          <w:lang w:val="en-GB"/>
        </w:rPr>
        <w:t xml:space="preserve"> </w:t>
      </w:r>
    </w:p>
    <w:p w:rsidR="000B21A5" w:rsidRPr="00870D72" w:rsidRDefault="000B21A5" w:rsidP="0000048D">
      <w:pPr>
        <w:rPr>
          <w:rFonts w:cs="Arial"/>
          <w:lang w:val="en-GB"/>
        </w:rPr>
      </w:pPr>
      <w:r w:rsidRPr="00870D72">
        <w:rPr>
          <w:rFonts w:cs="Arial"/>
          <w:lang w:val="en-GB"/>
        </w:rPr>
        <w:t xml:space="preserve">It </w:t>
      </w:r>
      <w:r w:rsidR="0033572E" w:rsidRPr="00870D72">
        <w:rPr>
          <w:rFonts w:cs="Arial"/>
          <w:lang w:val="en-GB"/>
        </w:rPr>
        <w:t>would be beneficial</w:t>
      </w:r>
      <w:r w:rsidR="009430EE" w:rsidRPr="00870D72">
        <w:rPr>
          <w:rFonts w:cs="Arial"/>
          <w:lang w:val="en-GB"/>
        </w:rPr>
        <w:t xml:space="preserve"> for ES inspectors and n</w:t>
      </w:r>
      <w:r w:rsidRPr="00870D72">
        <w:rPr>
          <w:rFonts w:cs="Arial"/>
          <w:lang w:val="en-GB"/>
        </w:rPr>
        <w:t xml:space="preserve">ational inspectors </w:t>
      </w:r>
      <w:r w:rsidR="009430EE" w:rsidRPr="00870D72">
        <w:rPr>
          <w:rFonts w:cs="Arial"/>
          <w:lang w:val="en-GB"/>
        </w:rPr>
        <w:t xml:space="preserve">to </w:t>
      </w:r>
      <w:r w:rsidRPr="00870D72">
        <w:rPr>
          <w:rFonts w:cs="Arial"/>
          <w:lang w:val="en-GB"/>
        </w:rPr>
        <w:t>be able to exchange the result</w:t>
      </w:r>
      <w:r w:rsidR="009430EE" w:rsidRPr="00870D72">
        <w:rPr>
          <w:rFonts w:cs="Arial"/>
          <w:lang w:val="en-GB"/>
        </w:rPr>
        <w:t>s</w:t>
      </w:r>
      <w:r w:rsidRPr="00870D72">
        <w:rPr>
          <w:rFonts w:cs="Arial"/>
          <w:lang w:val="en-GB"/>
        </w:rPr>
        <w:t xml:space="preserve"> of their school inspections</w:t>
      </w:r>
      <w:r w:rsidR="009430EE" w:rsidRPr="00870D72">
        <w:rPr>
          <w:rFonts w:cs="Arial"/>
          <w:lang w:val="en-GB"/>
        </w:rPr>
        <w:t xml:space="preserve">. The </w:t>
      </w:r>
      <w:r w:rsidRPr="00870D72">
        <w:rPr>
          <w:rFonts w:cs="Arial"/>
          <w:lang w:val="en-GB"/>
        </w:rPr>
        <w:t>accredited school</w:t>
      </w:r>
      <w:r w:rsidR="009430EE" w:rsidRPr="00870D72">
        <w:rPr>
          <w:rFonts w:cs="Arial"/>
          <w:lang w:val="en-GB"/>
        </w:rPr>
        <w:t xml:space="preserve"> might be requested to provide the ES inspectors with the n</w:t>
      </w:r>
      <w:r w:rsidRPr="00870D72">
        <w:rPr>
          <w:rFonts w:cs="Arial"/>
          <w:lang w:val="en-GB"/>
        </w:rPr>
        <w:t>ational inspector’s report</w:t>
      </w:r>
      <w:r w:rsidR="009430EE" w:rsidRPr="00870D72">
        <w:rPr>
          <w:rFonts w:cs="Arial"/>
          <w:lang w:val="en-GB"/>
        </w:rPr>
        <w:t>, when available,</w:t>
      </w:r>
      <w:r w:rsidRPr="00870D72">
        <w:rPr>
          <w:rFonts w:cs="Arial"/>
          <w:lang w:val="en-GB"/>
        </w:rPr>
        <w:t xml:space="preserve"> </w:t>
      </w:r>
      <w:r w:rsidR="009430EE" w:rsidRPr="00870D72">
        <w:rPr>
          <w:rFonts w:cs="Arial"/>
          <w:lang w:val="en-GB"/>
        </w:rPr>
        <w:t xml:space="preserve">before the audit is conducted. </w:t>
      </w:r>
    </w:p>
    <w:p w:rsidR="003A2384" w:rsidRPr="00870D72" w:rsidRDefault="003A2384" w:rsidP="007E2E6E">
      <w:pPr>
        <w:spacing w:before="0" w:after="240" w:line="259" w:lineRule="auto"/>
        <w:rPr>
          <w:rFonts w:cs="Arial"/>
          <w:lang w:val="en-GB"/>
        </w:rPr>
      </w:pPr>
      <w:r w:rsidRPr="00870D72">
        <w:rPr>
          <w:rFonts w:cs="Arial"/>
          <w:lang w:val="en-GB"/>
        </w:rPr>
        <w:t>A</w:t>
      </w:r>
      <w:r w:rsidR="00546E9A" w:rsidRPr="00870D72">
        <w:rPr>
          <w:rFonts w:cs="Arial"/>
          <w:lang w:val="en-GB"/>
        </w:rPr>
        <w:t>E</w:t>
      </w:r>
      <w:r w:rsidR="009430EE" w:rsidRPr="00870D72">
        <w:rPr>
          <w:rFonts w:cs="Arial"/>
          <w:lang w:val="en-GB"/>
        </w:rPr>
        <w:t xml:space="preserve">S </w:t>
      </w:r>
      <w:r w:rsidRPr="00870D72">
        <w:rPr>
          <w:rFonts w:cs="Arial"/>
          <w:lang w:val="en-GB"/>
        </w:rPr>
        <w:t xml:space="preserve">are national schools and </w:t>
      </w:r>
      <w:r w:rsidR="00546E9A" w:rsidRPr="00870D72">
        <w:rPr>
          <w:rFonts w:cs="Arial"/>
          <w:lang w:val="en-GB"/>
        </w:rPr>
        <w:t>subject to</w:t>
      </w:r>
      <w:r w:rsidR="009430EE" w:rsidRPr="00870D72">
        <w:rPr>
          <w:rFonts w:cs="Arial"/>
          <w:lang w:val="en-GB"/>
        </w:rPr>
        <w:t xml:space="preserve"> national inspections. T</w:t>
      </w:r>
      <w:r w:rsidRPr="00870D72">
        <w:rPr>
          <w:rFonts w:cs="Arial"/>
          <w:lang w:val="en-GB"/>
        </w:rPr>
        <w:t>hey should share these reports</w:t>
      </w:r>
      <w:r w:rsidR="007E2E6E">
        <w:rPr>
          <w:rFonts w:cs="Arial"/>
          <w:lang w:val="en-GB"/>
        </w:rPr>
        <w:t>,</w:t>
      </w:r>
      <w:r w:rsidRPr="00870D72">
        <w:rPr>
          <w:rFonts w:cs="Arial"/>
          <w:lang w:val="en-GB"/>
        </w:rPr>
        <w:t xml:space="preserve"> as well as in-service</w:t>
      </w:r>
      <w:r w:rsidR="009430EE" w:rsidRPr="00870D72">
        <w:rPr>
          <w:rFonts w:cs="Arial"/>
          <w:lang w:val="en-GB"/>
        </w:rPr>
        <w:t xml:space="preserve"> training</w:t>
      </w:r>
      <w:r w:rsidRPr="00870D72">
        <w:rPr>
          <w:rFonts w:cs="Arial"/>
          <w:lang w:val="en-GB"/>
        </w:rPr>
        <w:t xml:space="preserve"> plans, teachers’ absences and reports, recruitment time of teachers (turnover)</w:t>
      </w:r>
      <w:r w:rsidR="007E2E6E">
        <w:rPr>
          <w:rFonts w:cs="Arial"/>
          <w:lang w:val="en-GB"/>
        </w:rPr>
        <w:t>,</w:t>
      </w:r>
      <w:r w:rsidRPr="00870D72">
        <w:rPr>
          <w:rFonts w:cs="Arial"/>
          <w:lang w:val="en-GB"/>
        </w:rPr>
        <w:t xml:space="preserve"> with the inspectors in the context of their audits. The level of detail would depend on the structure of each school and </w:t>
      </w:r>
      <w:r w:rsidR="007E2E6E">
        <w:rPr>
          <w:rFonts w:cs="Arial"/>
          <w:lang w:val="en-GB"/>
        </w:rPr>
        <w:t xml:space="preserve">would be at </w:t>
      </w:r>
      <w:r w:rsidRPr="00870D72">
        <w:rPr>
          <w:rFonts w:cs="Arial"/>
          <w:lang w:val="en-GB"/>
        </w:rPr>
        <w:t xml:space="preserve">the inspectors’ discretion, with general guidelines provided. </w:t>
      </w:r>
    </w:p>
    <w:p w:rsidR="00F12FFB" w:rsidRPr="00870D72" w:rsidRDefault="009430EE" w:rsidP="00BA629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870D72">
        <w:rPr>
          <w:b/>
          <w:color w:val="000000"/>
          <w:lang w:val="en-GB"/>
        </w:rPr>
        <w:t>P</w:t>
      </w:r>
      <w:r w:rsidR="00BC7EC0" w:rsidRPr="00870D72">
        <w:rPr>
          <w:b/>
          <w:color w:val="000000"/>
          <w:lang w:val="en-GB"/>
        </w:rPr>
        <w:t>rocedure for initial</w:t>
      </w:r>
      <w:r w:rsidR="00F12FFB" w:rsidRPr="00870D72">
        <w:rPr>
          <w:b/>
          <w:color w:val="000000"/>
          <w:lang w:val="en-GB"/>
        </w:rPr>
        <w:t xml:space="preserve"> accre</w:t>
      </w:r>
      <w:r w:rsidRPr="00870D72">
        <w:rPr>
          <w:b/>
          <w:color w:val="000000"/>
          <w:lang w:val="en-GB"/>
        </w:rPr>
        <w:t xml:space="preserve">ditation; </w:t>
      </w:r>
      <w:r w:rsidR="00BC7EC0" w:rsidRPr="00870D72">
        <w:rPr>
          <w:b/>
          <w:color w:val="000000"/>
          <w:lang w:val="en-GB"/>
        </w:rPr>
        <w:t xml:space="preserve">procedure for </w:t>
      </w:r>
      <w:r w:rsidR="00F12FFB" w:rsidRPr="00870D72">
        <w:rPr>
          <w:b/>
          <w:color w:val="000000"/>
          <w:lang w:val="en-GB"/>
        </w:rPr>
        <w:t>renewal of accreditation</w:t>
      </w:r>
    </w:p>
    <w:p w:rsidR="00F12FFB" w:rsidRPr="00870D72" w:rsidRDefault="00F12FFB"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w:t>
      </w:r>
      <w:r w:rsidR="00D464DA" w:rsidRPr="00870D72">
        <w:rPr>
          <w:color w:val="000000"/>
          <w:lang w:val="en-GB"/>
        </w:rPr>
        <w:t>here is</w:t>
      </w:r>
      <w:r w:rsidR="00BC7EC0" w:rsidRPr="00870D72">
        <w:rPr>
          <w:color w:val="000000"/>
          <w:lang w:val="en-GB"/>
        </w:rPr>
        <w:t xml:space="preserve"> a general consensus </w:t>
      </w:r>
      <w:r w:rsidRPr="00870D72">
        <w:rPr>
          <w:color w:val="000000"/>
          <w:lang w:val="en-GB"/>
        </w:rPr>
        <w:t>among</w:t>
      </w:r>
      <w:r w:rsidR="00BC7EC0" w:rsidRPr="00870D72">
        <w:rPr>
          <w:color w:val="000000"/>
          <w:lang w:val="en-GB"/>
        </w:rPr>
        <w:t>st</w:t>
      </w:r>
      <w:r w:rsidRPr="00870D72">
        <w:rPr>
          <w:color w:val="000000"/>
          <w:lang w:val="en-GB"/>
        </w:rPr>
        <w:t xml:space="preserve"> the members of the </w:t>
      </w:r>
      <w:r w:rsidR="007E4807">
        <w:rPr>
          <w:color w:val="000000"/>
          <w:lang w:val="en-GB"/>
        </w:rPr>
        <w:t xml:space="preserve">Working Group </w:t>
      </w:r>
      <w:r w:rsidRPr="00870D72">
        <w:rPr>
          <w:color w:val="000000"/>
          <w:lang w:val="en-GB"/>
        </w:rPr>
        <w:t>that the general</w:t>
      </w:r>
      <w:r w:rsidR="00BC7EC0" w:rsidRPr="00870D72">
        <w:rPr>
          <w:color w:val="000000"/>
          <w:lang w:val="en-GB"/>
        </w:rPr>
        <w:t xml:space="preserve"> procedures (the workflow process to obtain </w:t>
      </w:r>
      <w:r w:rsidRPr="00870D72">
        <w:rPr>
          <w:color w:val="000000"/>
          <w:lang w:val="en-GB"/>
        </w:rPr>
        <w:t>accreditation) should not be changed.</w:t>
      </w:r>
    </w:p>
    <w:p w:rsidR="00A6072E" w:rsidRPr="00870D72" w:rsidRDefault="009430EE" w:rsidP="00A6072E">
      <w:pPr>
        <w:rPr>
          <w:lang w:val="en-GB"/>
        </w:rPr>
      </w:pPr>
      <w:r w:rsidRPr="00870D72">
        <w:rPr>
          <w:color w:val="000000"/>
          <w:lang w:val="en-GB"/>
        </w:rPr>
        <w:t>As regards</w:t>
      </w:r>
      <w:r w:rsidR="000B21A5" w:rsidRPr="00870D72">
        <w:rPr>
          <w:color w:val="000000"/>
          <w:lang w:val="en-GB"/>
        </w:rPr>
        <w:t xml:space="preserve"> the Dossier of Conformity, </w:t>
      </w:r>
      <w:r w:rsidR="00A6072E" w:rsidRPr="00870D72">
        <w:rPr>
          <w:color w:val="000000"/>
          <w:lang w:val="en-GB"/>
        </w:rPr>
        <w:t>u</w:t>
      </w:r>
      <w:r w:rsidR="00A6072E" w:rsidRPr="00870D72">
        <w:rPr>
          <w:lang w:val="en-GB"/>
        </w:rPr>
        <w:t xml:space="preserve">se of </w:t>
      </w:r>
      <w:r w:rsidR="007552E1" w:rsidRPr="00870D72">
        <w:rPr>
          <w:lang w:val="en-GB"/>
        </w:rPr>
        <w:t>a compulsory</w:t>
      </w:r>
      <w:r w:rsidRPr="00870D72">
        <w:rPr>
          <w:lang w:val="en-GB"/>
        </w:rPr>
        <w:t xml:space="preserve"> template – k</w:t>
      </w:r>
      <w:r w:rsidR="00A6072E" w:rsidRPr="00870D72">
        <w:rPr>
          <w:lang w:val="en-GB"/>
        </w:rPr>
        <w:t>eeping its structure in</w:t>
      </w:r>
      <w:r w:rsidRPr="00870D72">
        <w:rPr>
          <w:lang w:val="en-GB"/>
        </w:rPr>
        <w:t>tact – should be made mandatory and any other document or item</w:t>
      </w:r>
      <w:r w:rsidR="00A6072E" w:rsidRPr="00870D72">
        <w:rPr>
          <w:lang w:val="en-GB"/>
        </w:rPr>
        <w:t xml:space="preserve"> of information that the Delegations would like to be presented could be added as an A</w:t>
      </w:r>
      <w:r w:rsidRPr="00870D72">
        <w:rPr>
          <w:lang w:val="en-GB"/>
        </w:rPr>
        <w:t xml:space="preserve">nnex. This would facilitate </w:t>
      </w:r>
      <w:r w:rsidR="00A6072E" w:rsidRPr="00870D72">
        <w:rPr>
          <w:lang w:val="en-GB"/>
        </w:rPr>
        <w:t>reading</w:t>
      </w:r>
      <w:r w:rsidRPr="00870D72">
        <w:rPr>
          <w:lang w:val="en-GB"/>
        </w:rPr>
        <w:t xml:space="preserve"> and understanding of the document. </w:t>
      </w:r>
    </w:p>
    <w:p w:rsidR="000B21A5" w:rsidRPr="00870D72" w:rsidRDefault="00A6072E"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The Dossier of Conformity</w:t>
      </w:r>
      <w:r w:rsidR="000B21A5" w:rsidRPr="00870D72">
        <w:rPr>
          <w:color w:val="000000"/>
          <w:lang w:val="en-GB"/>
        </w:rPr>
        <w:t xml:space="preserve"> should include the following elements coming from the Regulations:</w:t>
      </w:r>
    </w:p>
    <w:p w:rsidR="000B21A5" w:rsidRPr="00870D72" w:rsidRDefault="000B21A5" w:rsidP="0000048D">
      <w:pPr>
        <w:pStyle w:val="ListParagraph"/>
        <w:numPr>
          <w:ilvl w:val="0"/>
          <w:numId w:val="30"/>
        </w:numPr>
        <w:rPr>
          <w:rFonts w:cs="Arial"/>
          <w:lang w:val="en-GB"/>
        </w:rPr>
      </w:pPr>
      <w:r w:rsidRPr="00870D72">
        <w:rPr>
          <w:rFonts w:cs="Arial"/>
          <w:i/>
          <w:lang w:val="en-GB"/>
        </w:rPr>
        <w:t>Clearly place the school in</w:t>
      </w:r>
      <w:r w:rsidRPr="00870D72">
        <w:rPr>
          <w:rFonts w:cs="Arial"/>
          <w:lang w:val="en-GB"/>
        </w:rPr>
        <w:t xml:space="preserve"> the national school networks of t</w:t>
      </w:r>
      <w:r w:rsidR="009430EE" w:rsidRPr="00870D72">
        <w:rPr>
          <w:rFonts w:cs="Arial"/>
          <w:lang w:val="en-GB"/>
        </w:rPr>
        <w:t xml:space="preserve">he Member States requesting </w:t>
      </w:r>
      <w:r w:rsidRPr="00870D72">
        <w:rPr>
          <w:rFonts w:cs="Arial"/>
          <w:lang w:val="en-GB"/>
        </w:rPr>
        <w:t>accreditation</w:t>
      </w:r>
      <w:r w:rsidR="007E2E6E">
        <w:rPr>
          <w:rFonts w:cs="Arial"/>
          <w:lang w:val="en-GB"/>
        </w:rPr>
        <w:t>.</w:t>
      </w:r>
    </w:p>
    <w:p w:rsidR="000B21A5" w:rsidRPr="007E2E6E" w:rsidRDefault="00BC6989" w:rsidP="0000048D">
      <w:pPr>
        <w:pStyle w:val="ListParagraph"/>
        <w:numPr>
          <w:ilvl w:val="0"/>
          <w:numId w:val="30"/>
        </w:numPr>
        <w:rPr>
          <w:rFonts w:cs="Arial"/>
          <w:lang w:val="en-GB"/>
        </w:rPr>
      </w:pPr>
      <w:r w:rsidRPr="00870D72">
        <w:rPr>
          <w:rFonts w:cs="Arial"/>
          <w:i/>
          <w:lang w:val="en-GB"/>
        </w:rPr>
        <w:t>Commitment</w:t>
      </w:r>
      <w:r w:rsidR="000B21A5" w:rsidRPr="00870D72">
        <w:rPr>
          <w:rFonts w:cs="Arial"/>
          <w:i/>
          <w:lang w:val="en-GB"/>
        </w:rPr>
        <w:t xml:space="preserve"> to offer</w:t>
      </w:r>
      <w:r w:rsidR="000B21A5" w:rsidRPr="00870D72">
        <w:rPr>
          <w:rFonts w:cs="Arial"/>
          <w:lang w:val="en-GB"/>
        </w:rPr>
        <w:t xml:space="preserve"> </w:t>
      </w:r>
      <w:r w:rsidRPr="00870D72">
        <w:rPr>
          <w:rFonts w:cs="Arial"/>
          <w:lang w:val="en-GB"/>
        </w:rPr>
        <w:t xml:space="preserve">firstly, </w:t>
      </w:r>
      <w:r w:rsidR="000B21A5" w:rsidRPr="00870D72">
        <w:rPr>
          <w:rFonts w:cs="Arial"/>
          <w:lang w:val="en-GB"/>
        </w:rPr>
        <w:t xml:space="preserve">the </w:t>
      </w:r>
      <w:r w:rsidR="000B21A5" w:rsidRPr="00870D72">
        <w:rPr>
          <w:rFonts w:cs="Arial"/>
          <w:u w:val="single"/>
          <w:lang w:val="en-GB"/>
        </w:rPr>
        <w:t>same type of education</w:t>
      </w:r>
      <w:r w:rsidR="000B21A5" w:rsidRPr="00870D72">
        <w:rPr>
          <w:rFonts w:cs="Arial"/>
          <w:lang w:val="en-GB"/>
        </w:rPr>
        <w:t xml:space="preserve"> as that provided in the European Schools and secondly, </w:t>
      </w:r>
      <w:r w:rsidR="000B21A5" w:rsidRPr="00870D72">
        <w:rPr>
          <w:rFonts w:cs="Arial"/>
          <w:u w:val="single"/>
          <w:lang w:val="en-GB"/>
        </w:rPr>
        <w:t>equality of opportunity for pupils in terms of preparation for the European Baccalaureate</w:t>
      </w:r>
      <w:r w:rsidR="007E2E6E" w:rsidRPr="007E2E6E">
        <w:rPr>
          <w:rFonts w:cs="Arial"/>
          <w:lang w:val="en-GB"/>
        </w:rPr>
        <w:t>.</w:t>
      </w:r>
    </w:p>
    <w:p w:rsidR="000B21A5" w:rsidRPr="00870D72" w:rsidRDefault="008A0744" w:rsidP="0000048D">
      <w:pPr>
        <w:pStyle w:val="ListParagraph"/>
        <w:numPr>
          <w:ilvl w:val="0"/>
          <w:numId w:val="30"/>
        </w:numPr>
        <w:rPr>
          <w:rFonts w:cs="Arial"/>
          <w:i/>
          <w:lang w:val="en-GB"/>
        </w:rPr>
      </w:pPr>
      <w:r>
        <w:rPr>
          <w:rFonts w:cs="Arial"/>
          <w:u w:val="single"/>
          <w:lang w:val="en-GB"/>
        </w:rPr>
        <w:t>T</w:t>
      </w:r>
      <w:r w:rsidR="000B21A5" w:rsidRPr="00870D72">
        <w:rPr>
          <w:rFonts w:cs="Arial"/>
          <w:u w:val="single"/>
          <w:lang w:val="en-GB"/>
        </w:rPr>
        <w:t>he pedagogical equivalence, year group year group, of the education provided</w:t>
      </w:r>
      <w:r w:rsidR="000B21A5" w:rsidRPr="00870D72">
        <w:rPr>
          <w:rFonts w:cs="Arial"/>
          <w:lang w:val="en-GB"/>
        </w:rPr>
        <w:t xml:space="preserve"> </w:t>
      </w:r>
    </w:p>
    <w:p w:rsidR="000B21A5" w:rsidRPr="00870D72" w:rsidRDefault="000B21A5" w:rsidP="0000048D">
      <w:pPr>
        <w:pStyle w:val="ListParagraph"/>
        <w:numPr>
          <w:ilvl w:val="0"/>
          <w:numId w:val="30"/>
        </w:numPr>
        <w:rPr>
          <w:rFonts w:cs="Arial"/>
          <w:i/>
          <w:lang w:val="en-GB"/>
        </w:rPr>
      </w:pPr>
      <w:r w:rsidRPr="00870D72">
        <w:rPr>
          <w:rFonts w:cs="Arial"/>
          <w:u w:val="single"/>
          <w:lang w:val="en-GB"/>
        </w:rPr>
        <w:t>Language learning provision in te</w:t>
      </w:r>
      <w:r w:rsidR="00BC6989" w:rsidRPr="00870D72">
        <w:rPr>
          <w:rFonts w:cs="Arial"/>
          <w:u w:val="single"/>
          <w:lang w:val="en-GB"/>
        </w:rPr>
        <w:t xml:space="preserve">rms of Languages 2, 3 and 4 </w:t>
      </w:r>
      <w:r w:rsidRPr="00870D72">
        <w:rPr>
          <w:rFonts w:cs="Arial"/>
          <w:u w:val="single"/>
          <w:lang w:val="en-GB"/>
        </w:rPr>
        <w:t>complies with the Regulations in force in the European Schools</w:t>
      </w:r>
      <w:r w:rsidR="008C61B1" w:rsidRPr="00870D72">
        <w:rPr>
          <w:rFonts w:cs="Arial"/>
          <w:lang w:val="en-GB"/>
        </w:rPr>
        <w:t>.</w:t>
      </w:r>
      <w:r w:rsidRPr="00870D72">
        <w:rPr>
          <w:rFonts w:cs="Arial"/>
          <w:lang w:val="en-GB"/>
        </w:rPr>
        <w:t xml:space="preserve"> Exceptions </w:t>
      </w:r>
      <w:r w:rsidR="008C61B1" w:rsidRPr="00870D72">
        <w:rPr>
          <w:rFonts w:cs="Arial"/>
          <w:lang w:val="en-GB"/>
        </w:rPr>
        <w:t>should be highlighted</w:t>
      </w:r>
      <w:r w:rsidR="007E2E6E">
        <w:rPr>
          <w:rFonts w:cs="Arial"/>
          <w:lang w:val="en-GB"/>
        </w:rPr>
        <w:t>.</w:t>
      </w:r>
    </w:p>
    <w:p w:rsidR="000B21A5" w:rsidRPr="00870D72" w:rsidRDefault="008C61B1" w:rsidP="0000048D">
      <w:pPr>
        <w:pStyle w:val="ListParagraph"/>
        <w:numPr>
          <w:ilvl w:val="0"/>
          <w:numId w:val="30"/>
        </w:numPr>
        <w:rPr>
          <w:rFonts w:cs="Arial"/>
          <w:i/>
          <w:lang w:val="en-GB"/>
        </w:rPr>
      </w:pPr>
      <w:r w:rsidRPr="00870D72">
        <w:rPr>
          <w:rFonts w:cs="Arial"/>
          <w:szCs w:val="22"/>
          <w:lang w:val="en-GB"/>
        </w:rPr>
        <w:t>The school</w:t>
      </w:r>
      <w:r w:rsidR="000B21A5" w:rsidRPr="00870D72">
        <w:rPr>
          <w:rFonts w:cs="Arial"/>
          <w:szCs w:val="22"/>
          <w:lang w:val="en-GB"/>
        </w:rPr>
        <w:t xml:space="preserve"> undertakes, for </w:t>
      </w:r>
      <w:r w:rsidR="000B21A5" w:rsidRPr="00870D72">
        <w:rPr>
          <w:rFonts w:cs="Arial"/>
          <w:szCs w:val="22"/>
          <w:u w:val="single"/>
          <w:lang w:val="en-GB"/>
        </w:rPr>
        <w:t>years 6 and 7 of the secondary cycle, to abide by the Regulations for the European Baccalaureate</w:t>
      </w:r>
      <w:r w:rsidR="000B21A5" w:rsidRPr="007E2E6E">
        <w:rPr>
          <w:rFonts w:cs="Arial"/>
          <w:szCs w:val="22"/>
          <w:lang w:val="en-GB"/>
        </w:rPr>
        <w:t xml:space="preserve"> </w:t>
      </w:r>
      <w:r w:rsidRPr="007E2E6E">
        <w:rPr>
          <w:rFonts w:cs="Arial"/>
          <w:szCs w:val="22"/>
          <w:lang w:val="en-GB"/>
        </w:rPr>
        <w:t>an</w:t>
      </w:r>
      <w:r w:rsidR="000B21A5" w:rsidRPr="007E2E6E">
        <w:rPr>
          <w:rFonts w:cs="Arial"/>
          <w:szCs w:val="22"/>
          <w:lang w:val="en-GB"/>
        </w:rPr>
        <w:t>d</w:t>
      </w:r>
      <w:r w:rsidR="000B21A5" w:rsidRPr="00870D72">
        <w:rPr>
          <w:rFonts w:cs="Arial"/>
          <w:szCs w:val="22"/>
          <w:lang w:val="en-GB"/>
        </w:rPr>
        <w:t xml:space="preserve"> by the </w:t>
      </w:r>
      <w:r w:rsidR="000B21A5" w:rsidRPr="00870D72">
        <w:rPr>
          <w:rFonts w:cs="Arial"/>
          <w:szCs w:val="22"/>
          <w:u w:val="single"/>
          <w:lang w:val="en-GB"/>
        </w:rPr>
        <w:t xml:space="preserve">Arrangements for implementing those Regulations </w:t>
      </w:r>
      <w:r w:rsidR="000B21A5" w:rsidRPr="00870D72">
        <w:rPr>
          <w:rFonts w:cs="Arial"/>
          <w:szCs w:val="22"/>
          <w:lang w:val="en-GB"/>
        </w:rPr>
        <w:t xml:space="preserve">and the other decisions of the Board of Governors concerning the European Baccalaureate. </w:t>
      </w:r>
    </w:p>
    <w:p w:rsidR="000B21A5" w:rsidRPr="00870D72" w:rsidRDefault="000B21A5" w:rsidP="0000048D">
      <w:pPr>
        <w:pStyle w:val="ListParagraph"/>
        <w:numPr>
          <w:ilvl w:val="0"/>
          <w:numId w:val="30"/>
        </w:numPr>
        <w:rPr>
          <w:rFonts w:cs="Arial"/>
          <w:i/>
          <w:lang w:val="en-GB"/>
        </w:rPr>
      </w:pPr>
      <w:r w:rsidRPr="00870D72">
        <w:rPr>
          <w:rFonts w:cs="Arial"/>
          <w:szCs w:val="22"/>
          <w:lang w:val="en-GB"/>
        </w:rPr>
        <w:t xml:space="preserve">It offers </w:t>
      </w:r>
      <w:r w:rsidRPr="00870D72">
        <w:rPr>
          <w:rFonts w:cs="Arial"/>
          <w:szCs w:val="22"/>
          <w:u w:val="single"/>
          <w:lang w:val="en-GB"/>
        </w:rPr>
        <w:t>a range of options</w:t>
      </w:r>
      <w:r w:rsidRPr="00870D72">
        <w:rPr>
          <w:rFonts w:cs="Arial"/>
          <w:szCs w:val="22"/>
          <w:lang w:val="en-GB"/>
        </w:rPr>
        <w:t>, particularly in secondary years 6 and 7, which is conducive to pupils’ subsequent admission to courses in higher education</w:t>
      </w:r>
      <w:r w:rsidR="007E2E6E">
        <w:rPr>
          <w:rFonts w:cs="Arial"/>
          <w:szCs w:val="22"/>
          <w:lang w:val="en-GB"/>
        </w:rPr>
        <w:t>.</w:t>
      </w:r>
      <w:r w:rsidRPr="00870D72">
        <w:rPr>
          <w:rFonts w:cs="Arial"/>
          <w:szCs w:val="22"/>
          <w:lang w:val="en-GB"/>
        </w:rPr>
        <w:t xml:space="preserve"> </w:t>
      </w:r>
    </w:p>
    <w:p w:rsidR="008C61B1" w:rsidRPr="00870D72" w:rsidRDefault="008C61B1" w:rsidP="0000048D">
      <w:pPr>
        <w:pStyle w:val="ListParagraph"/>
        <w:numPr>
          <w:ilvl w:val="0"/>
          <w:numId w:val="30"/>
        </w:numPr>
        <w:rPr>
          <w:rFonts w:cs="Arial"/>
          <w:i/>
          <w:lang w:val="en-GB"/>
        </w:rPr>
      </w:pPr>
      <w:r w:rsidRPr="00870D72">
        <w:rPr>
          <w:rFonts w:cs="Arial"/>
          <w:szCs w:val="22"/>
          <w:u w:val="single"/>
          <w:lang w:val="en-GB"/>
        </w:rPr>
        <w:t>Teachers must be qualified to teach their su</w:t>
      </w:r>
      <w:r w:rsidR="00BC6989" w:rsidRPr="00870D72">
        <w:rPr>
          <w:rFonts w:cs="Arial"/>
          <w:szCs w:val="22"/>
          <w:u w:val="single"/>
          <w:lang w:val="en-GB"/>
        </w:rPr>
        <w:t>bjects in one of the EU Member S</w:t>
      </w:r>
      <w:r w:rsidRPr="00870D72">
        <w:rPr>
          <w:rFonts w:cs="Arial"/>
          <w:szCs w:val="22"/>
          <w:u w:val="single"/>
          <w:lang w:val="en-GB"/>
        </w:rPr>
        <w:t>tate languages</w:t>
      </w:r>
      <w:r w:rsidRPr="00870D72">
        <w:rPr>
          <w:rFonts w:cs="Arial"/>
          <w:szCs w:val="22"/>
          <w:lang w:val="en-GB"/>
        </w:rPr>
        <w:t xml:space="preserve">, and they must, in principle, have language competences </w:t>
      </w:r>
      <w:r w:rsidRPr="00870D72">
        <w:rPr>
          <w:rFonts w:cs="Arial"/>
          <w:szCs w:val="22"/>
          <w:u w:val="single"/>
          <w:lang w:val="en-GB"/>
        </w:rPr>
        <w:t>similar to those of native speakers</w:t>
      </w:r>
      <w:r w:rsidRPr="00870D72">
        <w:rPr>
          <w:rFonts w:cs="Arial"/>
          <w:szCs w:val="22"/>
          <w:lang w:val="en-GB"/>
        </w:rPr>
        <w:t xml:space="preserve"> </w:t>
      </w:r>
      <w:r w:rsidR="008A0744">
        <w:rPr>
          <w:rFonts w:cs="Arial"/>
          <w:szCs w:val="22"/>
          <w:lang w:val="en-GB"/>
        </w:rPr>
        <w:t xml:space="preserve">(near native speakers) </w:t>
      </w:r>
      <w:r w:rsidRPr="00870D72">
        <w:rPr>
          <w:rFonts w:cs="Arial"/>
          <w:szCs w:val="22"/>
          <w:lang w:val="en-GB"/>
        </w:rPr>
        <w:t>in their language of tuition</w:t>
      </w:r>
      <w:r w:rsidR="008A0744">
        <w:rPr>
          <w:rFonts w:cs="Arial"/>
          <w:szCs w:val="22"/>
          <w:lang w:val="en-GB"/>
        </w:rPr>
        <w:t>.</w:t>
      </w:r>
    </w:p>
    <w:p w:rsidR="008C61B1" w:rsidRPr="00870D72" w:rsidRDefault="008A0744" w:rsidP="0000048D">
      <w:pPr>
        <w:pStyle w:val="ListParagraph"/>
        <w:numPr>
          <w:ilvl w:val="0"/>
          <w:numId w:val="30"/>
        </w:numPr>
        <w:rPr>
          <w:rFonts w:cs="Arial"/>
          <w:i/>
          <w:lang w:val="en-GB"/>
        </w:rPr>
      </w:pPr>
      <w:r>
        <w:rPr>
          <w:rFonts w:cs="Arial"/>
          <w:szCs w:val="22"/>
          <w:u w:val="single"/>
          <w:lang w:val="en-GB"/>
        </w:rPr>
        <w:t>Indicate</w:t>
      </w:r>
      <w:r w:rsidR="00BC6989" w:rsidRPr="00870D72">
        <w:rPr>
          <w:rFonts w:cs="Arial"/>
          <w:szCs w:val="22"/>
          <w:u w:val="single"/>
          <w:lang w:val="en-GB"/>
        </w:rPr>
        <w:t xml:space="preserve"> the support</w:t>
      </w:r>
      <w:r w:rsidR="008C61B1" w:rsidRPr="00870D72">
        <w:rPr>
          <w:rFonts w:cs="Arial"/>
          <w:szCs w:val="22"/>
          <w:u w:val="single"/>
          <w:lang w:val="en-GB"/>
        </w:rPr>
        <w:t xml:space="preserve"> system for special needs pupils, </w:t>
      </w:r>
      <w:r w:rsidR="008C61B1" w:rsidRPr="00870D72">
        <w:rPr>
          <w:rFonts w:cs="Arial"/>
          <w:szCs w:val="22"/>
          <w:lang w:val="en-GB"/>
        </w:rPr>
        <w:t>within the meaning of the legislation of the country in which the Accredited European School is located</w:t>
      </w:r>
      <w:r w:rsidR="00BC6989" w:rsidRPr="00870D72">
        <w:rPr>
          <w:rFonts w:cs="Arial"/>
          <w:szCs w:val="22"/>
          <w:lang w:val="en-GB"/>
        </w:rPr>
        <w:t>.</w:t>
      </w:r>
    </w:p>
    <w:p w:rsidR="000B21A5" w:rsidRPr="00870D72" w:rsidRDefault="000B21A5" w:rsidP="0000048D">
      <w:pPr>
        <w:pStyle w:val="ListParagraph"/>
        <w:numPr>
          <w:ilvl w:val="0"/>
          <w:numId w:val="30"/>
        </w:numPr>
        <w:rPr>
          <w:rFonts w:cs="Arial"/>
          <w:i/>
          <w:lang w:val="en-GB"/>
        </w:rPr>
      </w:pPr>
      <w:r w:rsidRPr="00870D72">
        <w:rPr>
          <w:rFonts w:cs="Arial"/>
          <w:szCs w:val="22"/>
          <w:lang w:val="en-GB"/>
        </w:rPr>
        <w:t xml:space="preserve">The existence of </w:t>
      </w:r>
      <w:r w:rsidRPr="00870D72">
        <w:rPr>
          <w:rFonts w:cs="Arial"/>
          <w:szCs w:val="22"/>
          <w:u w:val="single"/>
          <w:lang w:val="en-GB"/>
        </w:rPr>
        <w:t xml:space="preserve">ethics and religion </w:t>
      </w:r>
      <w:r w:rsidRPr="00870D72">
        <w:rPr>
          <w:rFonts w:cs="Arial"/>
          <w:szCs w:val="22"/>
          <w:lang w:val="en-GB"/>
        </w:rPr>
        <w:t>courses</w:t>
      </w:r>
      <w:r w:rsidR="008C61B1" w:rsidRPr="00870D72">
        <w:rPr>
          <w:rFonts w:cs="Arial"/>
          <w:szCs w:val="22"/>
          <w:lang w:val="en-GB"/>
        </w:rPr>
        <w:t>,</w:t>
      </w:r>
      <w:r w:rsidRPr="00870D72">
        <w:rPr>
          <w:rFonts w:cs="Arial"/>
          <w:szCs w:val="22"/>
          <w:lang w:val="en-GB"/>
        </w:rPr>
        <w:t xml:space="preserve"> </w:t>
      </w:r>
      <w:r w:rsidR="008C61B1" w:rsidRPr="00870D72">
        <w:rPr>
          <w:rFonts w:cs="Arial"/>
          <w:szCs w:val="22"/>
          <w:lang w:val="en-GB"/>
        </w:rPr>
        <w:t>which</w:t>
      </w:r>
      <w:r w:rsidRPr="00870D72">
        <w:rPr>
          <w:rFonts w:cs="Arial"/>
          <w:szCs w:val="22"/>
          <w:lang w:val="en-GB"/>
        </w:rPr>
        <w:t xml:space="preserve"> may be replaced by teaching about religions and civics. </w:t>
      </w:r>
    </w:p>
    <w:p w:rsidR="000B21A5" w:rsidRPr="00870D72" w:rsidRDefault="000B21A5" w:rsidP="0000048D">
      <w:pPr>
        <w:pStyle w:val="ListParagraph"/>
        <w:numPr>
          <w:ilvl w:val="0"/>
          <w:numId w:val="30"/>
        </w:numPr>
        <w:rPr>
          <w:rFonts w:cs="Arial"/>
          <w:i/>
          <w:lang w:val="en-GB"/>
        </w:rPr>
      </w:pPr>
      <w:r w:rsidRPr="00870D72">
        <w:rPr>
          <w:rFonts w:cs="Arial"/>
          <w:lang w:val="en-GB"/>
        </w:rPr>
        <w:t xml:space="preserve">Compliance with a minimum and maximum </w:t>
      </w:r>
      <w:r w:rsidRPr="00870D72">
        <w:rPr>
          <w:rFonts w:cs="Arial"/>
          <w:u w:val="single"/>
          <w:lang w:val="en-GB"/>
        </w:rPr>
        <w:t>length per teaching period</w:t>
      </w:r>
      <w:r w:rsidR="008A0744" w:rsidRPr="008A0744">
        <w:rPr>
          <w:rFonts w:cs="Arial"/>
          <w:lang w:val="en-GB"/>
        </w:rPr>
        <w:t>.</w:t>
      </w:r>
    </w:p>
    <w:p w:rsidR="000B21A5" w:rsidRPr="00870D72" w:rsidRDefault="000B21A5" w:rsidP="00BC6989">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spacing w:after="160"/>
        <w:ind w:left="714" w:hanging="357"/>
        <w:rPr>
          <w:color w:val="000000"/>
          <w:lang w:val="en-GB"/>
        </w:rPr>
      </w:pPr>
      <w:r w:rsidRPr="00870D72">
        <w:rPr>
          <w:rFonts w:cs="Arial"/>
          <w:szCs w:val="22"/>
          <w:lang w:val="en-GB"/>
        </w:rPr>
        <w:t xml:space="preserve">In secondary years </w:t>
      </w:r>
      <w:r w:rsidR="008C61B1" w:rsidRPr="00870D72">
        <w:rPr>
          <w:rFonts w:cs="Arial"/>
          <w:szCs w:val="22"/>
          <w:lang w:val="en-GB"/>
        </w:rPr>
        <w:t>6 and 7, the School</w:t>
      </w:r>
      <w:r w:rsidRPr="00870D72">
        <w:rPr>
          <w:rFonts w:cs="Arial"/>
          <w:szCs w:val="22"/>
          <w:lang w:val="en-GB"/>
        </w:rPr>
        <w:t xml:space="preserve"> follow</w:t>
      </w:r>
      <w:r w:rsidR="008C61B1" w:rsidRPr="00870D72">
        <w:rPr>
          <w:rFonts w:cs="Arial"/>
          <w:szCs w:val="22"/>
          <w:lang w:val="en-GB"/>
        </w:rPr>
        <w:t>s</w:t>
      </w:r>
      <w:r w:rsidRPr="00870D72">
        <w:rPr>
          <w:rFonts w:cs="Arial"/>
          <w:szCs w:val="22"/>
          <w:lang w:val="en-GB"/>
        </w:rPr>
        <w:t xml:space="preserve"> </w:t>
      </w:r>
      <w:r w:rsidRPr="00870D72">
        <w:rPr>
          <w:rFonts w:cs="Arial"/>
          <w:szCs w:val="22"/>
          <w:u w:val="single"/>
          <w:lang w:val="en-GB"/>
        </w:rPr>
        <w:t xml:space="preserve">exclusively the curriculum and the structure of studies </w:t>
      </w:r>
      <w:r w:rsidR="00BC6989" w:rsidRPr="00870D72">
        <w:rPr>
          <w:rFonts w:cs="Arial"/>
          <w:szCs w:val="22"/>
          <w:u w:val="single"/>
          <w:lang w:val="en-GB"/>
        </w:rPr>
        <w:t>specific to the European School</w:t>
      </w:r>
      <w:r w:rsidRPr="00870D72">
        <w:rPr>
          <w:rFonts w:cs="Arial"/>
          <w:szCs w:val="22"/>
          <w:u w:val="single"/>
          <w:lang w:val="en-GB"/>
        </w:rPr>
        <w:t xml:space="preserve"> system</w:t>
      </w:r>
      <w:r w:rsidR="00BC6989" w:rsidRPr="00870D72">
        <w:rPr>
          <w:rFonts w:cs="Arial"/>
          <w:szCs w:val="22"/>
          <w:lang w:val="en-GB"/>
        </w:rPr>
        <w:t>.</w:t>
      </w:r>
    </w:p>
    <w:p w:rsidR="00A6072E" w:rsidRPr="00870D72" w:rsidRDefault="00A6072E" w:rsidP="00BC6989">
      <w:pPr>
        <w:spacing w:line="259" w:lineRule="auto"/>
        <w:rPr>
          <w:rFonts w:cs="Arial"/>
          <w:lang w:val="en-GB"/>
        </w:rPr>
      </w:pPr>
      <w:r w:rsidRPr="00870D72">
        <w:rPr>
          <w:rFonts w:cs="Arial"/>
          <w:lang w:val="en-GB"/>
        </w:rPr>
        <w:t xml:space="preserve">The Dossier of </w:t>
      </w:r>
      <w:r w:rsidR="00BC6989" w:rsidRPr="00870D72">
        <w:rPr>
          <w:rFonts w:cs="Arial"/>
          <w:lang w:val="en-GB"/>
        </w:rPr>
        <w:t>Conformity should be the subject of in-</w:t>
      </w:r>
      <w:r w:rsidRPr="00870D72">
        <w:rPr>
          <w:rFonts w:cs="Arial"/>
          <w:lang w:val="en-GB"/>
        </w:rPr>
        <w:t>dep</w:t>
      </w:r>
      <w:r w:rsidR="00BC6989" w:rsidRPr="00870D72">
        <w:rPr>
          <w:rFonts w:cs="Arial"/>
          <w:lang w:val="en-GB"/>
        </w:rPr>
        <w:t>th examination and discussion by</w:t>
      </w:r>
      <w:r w:rsidRPr="00870D72">
        <w:rPr>
          <w:rFonts w:cs="Arial"/>
          <w:lang w:val="en-GB"/>
        </w:rPr>
        <w:t xml:space="preserve"> the</w:t>
      </w:r>
      <w:r w:rsidR="00BC6989" w:rsidRPr="00870D72">
        <w:rPr>
          <w:rFonts w:cs="Arial"/>
          <w:lang w:val="en-GB"/>
        </w:rPr>
        <w:t xml:space="preserve"> pedagogical committees, even though</w:t>
      </w:r>
      <w:r w:rsidRPr="00870D72">
        <w:rPr>
          <w:rFonts w:cs="Arial"/>
          <w:lang w:val="en-GB"/>
        </w:rPr>
        <w:t xml:space="preserve"> it is a </w:t>
      </w:r>
      <w:r w:rsidR="00BC6989" w:rsidRPr="00870D72">
        <w:rPr>
          <w:lang w:val="en-GB"/>
        </w:rPr>
        <w:t>time-</w:t>
      </w:r>
      <w:r w:rsidRPr="00870D72">
        <w:rPr>
          <w:lang w:val="en-GB"/>
        </w:rPr>
        <w:t>consuming exercise and deserves further reflection.</w:t>
      </w:r>
    </w:p>
    <w:p w:rsidR="00F12FFB" w:rsidRPr="00870D72" w:rsidRDefault="00BC7EC0"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Instead, </w:t>
      </w:r>
      <w:r w:rsidR="00F12FFB" w:rsidRPr="00870D72">
        <w:rPr>
          <w:color w:val="000000"/>
          <w:lang w:val="en-GB"/>
        </w:rPr>
        <w:t xml:space="preserve">practice </w:t>
      </w:r>
      <w:r w:rsidR="008A0744">
        <w:rPr>
          <w:color w:val="000000"/>
          <w:lang w:val="en-GB"/>
        </w:rPr>
        <w:t>with respect to</w:t>
      </w:r>
      <w:r w:rsidR="008C61B1" w:rsidRPr="00870D72">
        <w:rPr>
          <w:color w:val="000000"/>
          <w:lang w:val="en-GB"/>
        </w:rPr>
        <w:t xml:space="preserve"> the procedures </w:t>
      </w:r>
      <w:r w:rsidR="00F12FFB" w:rsidRPr="00870D72">
        <w:rPr>
          <w:color w:val="000000"/>
          <w:lang w:val="en-GB"/>
        </w:rPr>
        <w:t xml:space="preserve">should be improved, along the lines of the very recent practice </w:t>
      </w:r>
      <w:r w:rsidRPr="00870D72">
        <w:rPr>
          <w:color w:val="000000"/>
          <w:lang w:val="en-GB"/>
        </w:rPr>
        <w:t>put</w:t>
      </w:r>
      <w:r w:rsidR="001A74F3" w:rsidRPr="00870D72">
        <w:rPr>
          <w:color w:val="000000"/>
          <w:lang w:val="en-GB"/>
        </w:rPr>
        <w:t xml:space="preserve"> </w:t>
      </w:r>
      <w:r w:rsidR="00F12FFB" w:rsidRPr="00870D72">
        <w:rPr>
          <w:color w:val="000000"/>
          <w:lang w:val="en-GB"/>
        </w:rPr>
        <w:t>in place.</w:t>
      </w:r>
    </w:p>
    <w:p w:rsidR="00F12FFB" w:rsidRPr="00870D72" w:rsidRDefault="00F12FFB"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The original decision of</w:t>
      </w:r>
      <w:r w:rsidR="00BC7EC0" w:rsidRPr="00870D72">
        <w:rPr>
          <w:color w:val="000000"/>
          <w:lang w:val="en-GB"/>
        </w:rPr>
        <w:t xml:space="preserve"> the Board of Governors provides for</w:t>
      </w:r>
      <w:r w:rsidRPr="00870D72">
        <w:rPr>
          <w:color w:val="000000"/>
          <w:lang w:val="en-GB"/>
        </w:rPr>
        <w:t xml:space="preserve"> the sign</w:t>
      </w:r>
      <w:r w:rsidR="00BC7EC0" w:rsidRPr="00870D72">
        <w:rPr>
          <w:color w:val="000000"/>
          <w:lang w:val="en-GB"/>
        </w:rPr>
        <w:t>ing</w:t>
      </w:r>
      <w:r w:rsidR="001A74F3" w:rsidRPr="00870D72">
        <w:rPr>
          <w:color w:val="000000"/>
          <w:lang w:val="en-GB"/>
        </w:rPr>
        <w:t xml:space="preserve"> of two separate agreements:</w:t>
      </w:r>
    </w:p>
    <w:p w:rsidR="001A74F3" w:rsidRPr="00870D72" w:rsidRDefault="00F12FFB"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One for the years up to secondary 5, </w:t>
      </w:r>
    </w:p>
    <w:p w:rsidR="00F12FFB" w:rsidRPr="00870D72" w:rsidRDefault="001A74F3" w:rsidP="001A74F3">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A separate </w:t>
      </w:r>
      <w:r w:rsidR="00BC7EC0" w:rsidRPr="00870D72">
        <w:rPr>
          <w:color w:val="000000"/>
          <w:lang w:val="en-GB"/>
        </w:rPr>
        <w:t>one for the final</w:t>
      </w:r>
      <w:r w:rsidR="00F12FFB" w:rsidRPr="00870D72">
        <w:rPr>
          <w:color w:val="000000"/>
          <w:lang w:val="en-GB"/>
        </w:rPr>
        <w:t xml:space="preserve"> two </w:t>
      </w:r>
      <w:r w:rsidR="00BC7EC0" w:rsidRPr="00870D72">
        <w:rPr>
          <w:color w:val="000000"/>
          <w:lang w:val="en-GB"/>
        </w:rPr>
        <w:t xml:space="preserve">secondary years, leading to </w:t>
      </w:r>
      <w:r w:rsidR="00F12FFB" w:rsidRPr="00870D72">
        <w:rPr>
          <w:color w:val="000000"/>
          <w:lang w:val="en-GB"/>
        </w:rPr>
        <w:t>award of the European Baccalaureate Diploma.</w:t>
      </w:r>
    </w:p>
    <w:p w:rsidR="00F23E40" w:rsidRPr="00870D72" w:rsidRDefault="003F5C42"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In </w:t>
      </w:r>
      <w:r w:rsidR="00F23E40" w:rsidRPr="00870D72">
        <w:rPr>
          <w:color w:val="000000"/>
          <w:lang w:val="en-GB"/>
        </w:rPr>
        <w:t>fact</w:t>
      </w:r>
      <w:r w:rsidR="008A0744">
        <w:rPr>
          <w:color w:val="000000"/>
          <w:lang w:val="en-GB"/>
        </w:rPr>
        <w:t xml:space="preserve">, this </w:t>
      </w:r>
      <w:r w:rsidRPr="00870D72">
        <w:rPr>
          <w:color w:val="000000"/>
          <w:lang w:val="en-GB"/>
        </w:rPr>
        <w:t xml:space="preserve">led in the past to </w:t>
      </w:r>
      <w:r w:rsidR="00F23E40" w:rsidRPr="00870D72">
        <w:rPr>
          <w:color w:val="000000"/>
          <w:lang w:val="en-GB"/>
        </w:rPr>
        <w:t>multiplication of the number of audits</w:t>
      </w:r>
      <w:r w:rsidR="001A74F3" w:rsidRPr="00870D72">
        <w:rPr>
          <w:color w:val="000000"/>
          <w:lang w:val="en-GB"/>
        </w:rPr>
        <w:t xml:space="preserve"> and agreements signed</w:t>
      </w:r>
      <w:r w:rsidR="00F23E40" w:rsidRPr="00870D72">
        <w:rPr>
          <w:color w:val="000000"/>
          <w:lang w:val="en-GB"/>
        </w:rPr>
        <w:t>.</w:t>
      </w:r>
    </w:p>
    <w:p w:rsidR="00F23E40" w:rsidRPr="00870D72" w:rsidRDefault="00F23E40" w:rsidP="0095539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 xml:space="preserve">Some practical arrangements would help </w:t>
      </w:r>
      <w:r w:rsidR="003F5C42" w:rsidRPr="00870D72">
        <w:rPr>
          <w:color w:val="000000"/>
          <w:lang w:val="en-GB"/>
        </w:rPr>
        <w:t>to reduce</w:t>
      </w:r>
      <w:r w:rsidRPr="00870D72">
        <w:rPr>
          <w:color w:val="000000"/>
          <w:lang w:val="en-GB"/>
        </w:rPr>
        <w:t xml:space="preserve"> the number of audits</w:t>
      </w:r>
      <w:r w:rsidR="003F5C42" w:rsidRPr="00870D72">
        <w:rPr>
          <w:color w:val="000000"/>
          <w:lang w:val="en-GB"/>
        </w:rPr>
        <w:t xml:space="preserve"> considerably</w:t>
      </w:r>
      <w:r w:rsidRPr="00870D72">
        <w:rPr>
          <w:color w:val="000000"/>
          <w:lang w:val="en-GB"/>
        </w:rPr>
        <w:t>, without impacting on their quality:</w:t>
      </w:r>
    </w:p>
    <w:p w:rsidR="00F23E40" w:rsidRPr="00870D72" w:rsidRDefault="003F5C42" w:rsidP="00F23E40">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As a general rule, the initial</w:t>
      </w:r>
      <w:r w:rsidR="00F23E40" w:rsidRPr="00870D72">
        <w:rPr>
          <w:color w:val="000000"/>
          <w:lang w:val="en-GB"/>
        </w:rPr>
        <w:t xml:space="preserve"> agreement should be signed for all levels up to secondary 5, as foreseen in the dec</w:t>
      </w:r>
      <w:r w:rsidRPr="00870D72">
        <w:rPr>
          <w:color w:val="000000"/>
          <w:lang w:val="en-GB"/>
        </w:rPr>
        <w:t xml:space="preserve">ision of the </w:t>
      </w:r>
      <w:r w:rsidR="00CE01B8" w:rsidRPr="00870D72">
        <w:rPr>
          <w:color w:val="000000"/>
          <w:lang w:val="en-GB"/>
        </w:rPr>
        <w:t>Board of Governors</w:t>
      </w:r>
      <w:r w:rsidRPr="00870D72">
        <w:rPr>
          <w:color w:val="000000"/>
          <w:lang w:val="en-GB"/>
        </w:rPr>
        <w:t>, irrespective</w:t>
      </w:r>
      <w:r w:rsidR="00F23E40" w:rsidRPr="00870D72">
        <w:rPr>
          <w:color w:val="000000"/>
          <w:lang w:val="en-GB"/>
        </w:rPr>
        <w:t xml:space="preserve"> of the levels already opened in the school. The composition of the audit teams should be arranged accordingly.</w:t>
      </w:r>
      <w:r w:rsidR="00BC6989" w:rsidRPr="00870D72">
        <w:rPr>
          <w:color w:val="000000"/>
          <w:lang w:val="en-GB"/>
        </w:rPr>
        <w:t xml:space="preserve"> A c</w:t>
      </w:r>
      <w:r w:rsidR="00666407" w:rsidRPr="00870D72">
        <w:rPr>
          <w:color w:val="000000"/>
          <w:lang w:val="en-GB"/>
        </w:rPr>
        <w:t>lear</w:t>
      </w:r>
      <w:r w:rsidR="00BC6989" w:rsidRPr="00870D72">
        <w:rPr>
          <w:color w:val="000000"/>
          <w:lang w:val="en-GB"/>
        </w:rPr>
        <w:t xml:space="preserve"> timetable for </w:t>
      </w:r>
      <w:r w:rsidR="00666407" w:rsidRPr="00870D72">
        <w:rPr>
          <w:color w:val="000000"/>
          <w:lang w:val="en-GB"/>
        </w:rPr>
        <w:t>gradual coverage of the different levels over years should be included in the Dossier of Conformity.</w:t>
      </w:r>
    </w:p>
    <w:p w:rsidR="00F23E40" w:rsidRPr="00870D72" w:rsidRDefault="00F23E40" w:rsidP="00F23E40">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As a general rule, the</w:t>
      </w:r>
      <w:r w:rsidR="003F5C42" w:rsidRPr="00870D72">
        <w:rPr>
          <w:color w:val="000000"/>
          <w:lang w:val="en-GB"/>
        </w:rPr>
        <w:t xml:space="preserve"> timing for the audit of the final</w:t>
      </w:r>
      <w:r w:rsidRPr="00870D72">
        <w:rPr>
          <w:color w:val="000000"/>
          <w:lang w:val="en-GB"/>
        </w:rPr>
        <w:t xml:space="preserve"> two secondary years should be planned in </w:t>
      </w:r>
      <w:r w:rsidR="003F5C42" w:rsidRPr="00870D72">
        <w:rPr>
          <w:color w:val="000000"/>
          <w:lang w:val="en-GB"/>
        </w:rPr>
        <w:t xml:space="preserve">such </w:t>
      </w:r>
      <w:r w:rsidRPr="00870D72">
        <w:rPr>
          <w:color w:val="000000"/>
          <w:lang w:val="en-GB"/>
        </w:rPr>
        <w:t>a way tha</w:t>
      </w:r>
      <w:r w:rsidR="003F5C42" w:rsidRPr="00870D72">
        <w:rPr>
          <w:color w:val="000000"/>
          <w:lang w:val="en-GB"/>
        </w:rPr>
        <w:t>t the new agreement for the final</w:t>
      </w:r>
      <w:r w:rsidRPr="00870D72">
        <w:rPr>
          <w:color w:val="000000"/>
          <w:lang w:val="en-GB"/>
        </w:rPr>
        <w:t xml:space="preserve"> two secondary years would be</w:t>
      </w:r>
      <w:r w:rsidR="003F5C42" w:rsidRPr="00870D72">
        <w:rPr>
          <w:color w:val="000000"/>
          <w:lang w:val="en-GB"/>
        </w:rPr>
        <w:t xml:space="preserve"> signed at the same time as </w:t>
      </w:r>
      <w:r w:rsidRPr="00870D72">
        <w:rPr>
          <w:color w:val="000000"/>
          <w:lang w:val="en-GB"/>
        </w:rPr>
        <w:t>rene</w:t>
      </w:r>
      <w:r w:rsidR="003F5C42" w:rsidRPr="00870D72">
        <w:rPr>
          <w:color w:val="000000"/>
          <w:lang w:val="en-GB"/>
        </w:rPr>
        <w:t>wal for the other years.</w:t>
      </w:r>
      <w:r w:rsidR="003F5C42" w:rsidRPr="00870D72">
        <w:rPr>
          <w:color w:val="000000"/>
          <w:lang w:val="en-GB"/>
        </w:rPr>
        <w:br/>
        <w:t>In that</w:t>
      </w:r>
      <w:r w:rsidRPr="00870D72">
        <w:rPr>
          <w:color w:val="000000"/>
          <w:lang w:val="en-GB"/>
        </w:rPr>
        <w:t xml:space="preserve"> way, both agreements would </w:t>
      </w:r>
      <w:r w:rsidR="001A74F3" w:rsidRPr="00870D72">
        <w:rPr>
          <w:color w:val="000000"/>
          <w:lang w:val="en-GB"/>
        </w:rPr>
        <w:t xml:space="preserve">then </w:t>
      </w:r>
      <w:r w:rsidRPr="00870D72">
        <w:rPr>
          <w:color w:val="000000"/>
          <w:lang w:val="en-GB"/>
        </w:rPr>
        <w:t xml:space="preserve">expire </w:t>
      </w:r>
      <w:r w:rsidR="001A74F3" w:rsidRPr="00870D72">
        <w:rPr>
          <w:color w:val="000000"/>
          <w:lang w:val="en-GB"/>
        </w:rPr>
        <w:t>after three years</w:t>
      </w:r>
      <w:r w:rsidRPr="00870D72">
        <w:rPr>
          <w:color w:val="000000"/>
          <w:lang w:val="en-GB"/>
        </w:rPr>
        <w:t xml:space="preserve"> and the audit for their renewal could cover both.</w:t>
      </w:r>
    </w:p>
    <w:p w:rsidR="003446A4" w:rsidRPr="00870D72" w:rsidRDefault="003446A4" w:rsidP="0000048D">
      <w:pPr>
        <w:rPr>
          <w:color w:val="000000"/>
          <w:lang w:val="en-GB"/>
        </w:rPr>
      </w:pPr>
      <w:r w:rsidRPr="00870D72">
        <w:rPr>
          <w:color w:val="000000"/>
          <w:lang w:val="en-GB"/>
        </w:rPr>
        <w:t>Harmoni</w:t>
      </w:r>
      <w:r w:rsidR="00BC6989" w:rsidRPr="00870D72">
        <w:rPr>
          <w:color w:val="000000"/>
          <w:lang w:val="en-GB"/>
        </w:rPr>
        <w:t>s</w:t>
      </w:r>
      <w:r w:rsidRPr="00870D72">
        <w:rPr>
          <w:color w:val="000000"/>
          <w:lang w:val="en-GB"/>
        </w:rPr>
        <w:t>ation between the agreements will be sought</w:t>
      </w:r>
      <w:r w:rsidR="00BC6989" w:rsidRPr="00870D72">
        <w:rPr>
          <w:color w:val="000000"/>
          <w:lang w:val="en-GB"/>
        </w:rPr>
        <w:t>, so that a single audit will allow</w:t>
      </w:r>
      <w:r w:rsidRPr="00870D72">
        <w:rPr>
          <w:color w:val="000000"/>
          <w:lang w:val="en-GB"/>
        </w:rPr>
        <w:t xml:space="preserve"> renewal for all cycles at once. </w:t>
      </w:r>
    </w:p>
    <w:p w:rsidR="000C1479" w:rsidRPr="00870D72" w:rsidRDefault="00F23E40" w:rsidP="008A0744">
      <w:pPr>
        <w:tabs>
          <w:tab w:val="left" w:pos="360"/>
          <w:tab w:val="left" w:pos="1440"/>
          <w:tab w:val="left" w:pos="4320"/>
          <w:tab w:val="left" w:pos="6652"/>
          <w:tab w:val="left" w:pos="360"/>
          <w:tab w:val="left" w:pos="1440"/>
          <w:tab w:val="left" w:pos="360"/>
          <w:tab w:val="left" w:pos="1440"/>
          <w:tab w:val="left" w:pos="360"/>
          <w:tab w:val="left" w:pos="1440"/>
        </w:tabs>
        <w:spacing w:after="240"/>
        <w:rPr>
          <w:color w:val="000000"/>
          <w:lang w:val="en-GB"/>
        </w:rPr>
      </w:pPr>
      <w:r w:rsidRPr="00870D72">
        <w:rPr>
          <w:color w:val="000000"/>
          <w:lang w:val="en-GB"/>
        </w:rPr>
        <w:t>The number of members</w:t>
      </w:r>
      <w:r w:rsidR="003F5C42" w:rsidRPr="00870D72">
        <w:rPr>
          <w:color w:val="000000"/>
          <w:lang w:val="en-GB"/>
        </w:rPr>
        <w:t xml:space="preserve"> of the audit teams should be arranged</w:t>
      </w:r>
      <w:r w:rsidRPr="00870D72">
        <w:rPr>
          <w:color w:val="000000"/>
          <w:lang w:val="en-GB"/>
        </w:rPr>
        <w:t xml:space="preserve"> accordingly (e.g. two Nursery and Primary </w:t>
      </w:r>
      <w:r w:rsidR="00394E6B" w:rsidRPr="00870D72">
        <w:rPr>
          <w:color w:val="000000"/>
          <w:lang w:val="en-GB"/>
        </w:rPr>
        <w:t>inspector</w:t>
      </w:r>
      <w:r w:rsidR="003F5C42" w:rsidRPr="00870D72">
        <w:rPr>
          <w:color w:val="000000"/>
          <w:lang w:val="en-GB"/>
        </w:rPr>
        <w:t>s for the initial signing</w:t>
      </w:r>
      <w:r w:rsidRPr="00870D72">
        <w:rPr>
          <w:color w:val="000000"/>
          <w:lang w:val="en-GB"/>
        </w:rPr>
        <w:t xml:space="preserve"> of an agreement for a school starting with only Nursery and Primary levels; two Nursery and Primary members and three Secondary members f</w:t>
      </w:r>
      <w:r w:rsidR="001A74F3" w:rsidRPr="00870D72">
        <w:rPr>
          <w:color w:val="000000"/>
          <w:lang w:val="en-GB"/>
        </w:rPr>
        <w:t xml:space="preserve">or </w:t>
      </w:r>
      <w:r w:rsidR="003F5C42" w:rsidRPr="00870D72">
        <w:rPr>
          <w:color w:val="000000"/>
          <w:lang w:val="en-GB"/>
        </w:rPr>
        <w:t>the initial signing</w:t>
      </w:r>
      <w:r w:rsidR="001A74F3" w:rsidRPr="00870D72">
        <w:rPr>
          <w:color w:val="000000"/>
          <w:lang w:val="en-GB"/>
        </w:rPr>
        <w:t xml:space="preserve"> or</w:t>
      </w:r>
      <w:r w:rsidR="003F5C42" w:rsidRPr="00870D72">
        <w:rPr>
          <w:color w:val="000000"/>
          <w:lang w:val="en-GB"/>
        </w:rPr>
        <w:t xml:space="preserve"> </w:t>
      </w:r>
      <w:r w:rsidR="007E5229" w:rsidRPr="00870D72">
        <w:rPr>
          <w:color w:val="000000"/>
          <w:lang w:val="en-GB"/>
        </w:rPr>
        <w:t xml:space="preserve">renewal of </w:t>
      </w:r>
      <w:r w:rsidRPr="00870D72">
        <w:rPr>
          <w:color w:val="000000"/>
          <w:lang w:val="en-GB"/>
        </w:rPr>
        <w:t>agreements covering all levels).</w:t>
      </w:r>
    </w:p>
    <w:p w:rsidR="0087311A" w:rsidRPr="00870D72" w:rsidRDefault="003F5C42" w:rsidP="0087311A">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870D72">
        <w:rPr>
          <w:b/>
          <w:color w:val="000000"/>
          <w:lang w:val="en-GB"/>
        </w:rPr>
        <w:t>Rules for termination of</w:t>
      </w:r>
      <w:r w:rsidR="0087311A" w:rsidRPr="00870D72">
        <w:rPr>
          <w:b/>
          <w:color w:val="000000"/>
          <w:lang w:val="en-GB"/>
        </w:rPr>
        <w:t xml:space="preserve"> accreditation</w:t>
      </w:r>
    </w:p>
    <w:p w:rsidR="0087311A" w:rsidRPr="00870D72" w:rsidRDefault="0087311A" w:rsidP="00F23E40">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r w:rsidRPr="00870D72">
        <w:rPr>
          <w:color w:val="000000"/>
          <w:lang w:val="en-GB"/>
        </w:rPr>
        <w:t>T</w:t>
      </w:r>
      <w:r w:rsidR="003F5C42" w:rsidRPr="00870D72">
        <w:rPr>
          <w:color w:val="000000"/>
          <w:lang w:val="en-GB"/>
        </w:rPr>
        <w:t>here is a general consensus a</w:t>
      </w:r>
      <w:r w:rsidRPr="00870D72">
        <w:rPr>
          <w:color w:val="000000"/>
          <w:lang w:val="en-GB"/>
        </w:rPr>
        <w:t>mong</w:t>
      </w:r>
      <w:r w:rsidR="003F5C42" w:rsidRPr="00870D72">
        <w:rPr>
          <w:color w:val="000000"/>
          <w:lang w:val="en-GB"/>
        </w:rPr>
        <w:t>st</w:t>
      </w:r>
      <w:r w:rsidRPr="00870D72">
        <w:rPr>
          <w:color w:val="000000"/>
          <w:lang w:val="en-GB"/>
        </w:rPr>
        <w:t xml:space="preserve"> the members of the </w:t>
      </w:r>
      <w:r w:rsidR="007E4807">
        <w:rPr>
          <w:color w:val="000000"/>
          <w:lang w:val="en-GB"/>
        </w:rPr>
        <w:t xml:space="preserve">Working Group </w:t>
      </w:r>
      <w:r w:rsidRPr="00870D72">
        <w:rPr>
          <w:color w:val="000000"/>
          <w:lang w:val="en-GB"/>
        </w:rPr>
        <w:t>that clearer criteria and a cleare</w:t>
      </w:r>
      <w:r w:rsidR="003F5C42" w:rsidRPr="00870D72">
        <w:rPr>
          <w:color w:val="000000"/>
          <w:lang w:val="en-GB"/>
        </w:rPr>
        <w:t>r procedure for termination of</w:t>
      </w:r>
      <w:r w:rsidRPr="00870D72">
        <w:rPr>
          <w:color w:val="000000"/>
          <w:lang w:val="en-GB"/>
        </w:rPr>
        <w:t xml:space="preserve"> accreditation should be defi</w:t>
      </w:r>
      <w:r w:rsidR="00D57437">
        <w:rPr>
          <w:color w:val="000000"/>
          <w:lang w:val="en-GB"/>
        </w:rPr>
        <w:t>ned and the R</w:t>
      </w:r>
      <w:r w:rsidR="003F5C42" w:rsidRPr="00870D72">
        <w:rPr>
          <w:color w:val="000000"/>
          <w:lang w:val="en-GB"/>
        </w:rPr>
        <w:t>egulations changed</w:t>
      </w:r>
      <w:r w:rsidRPr="00870D72">
        <w:rPr>
          <w:color w:val="000000"/>
          <w:lang w:val="en-GB"/>
        </w:rPr>
        <w:t xml:space="preserve"> accordingly.</w:t>
      </w:r>
    </w:p>
    <w:p w:rsidR="00A6072E" w:rsidRPr="00870D72" w:rsidRDefault="00BC6989" w:rsidP="008A0744">
      <w:pPr>
        <w:spacing w:after="240"/>
        <w:rPr>
          <w:lang w:val="en-GB"/>
        </w:rPr>
      </w:pPr>
      <w:r w:rsidRPr="00870D72">
        <w:rPr>
          <w:lang w:val="en-GB"/>
        </w:rPr>
        <w:t>A school which is unable to comply with Art</w:t>
      </w:r>
      <w:r w:rsidR="00A6072E" w:rsidRPr="00870D72">
        <w:rPr>
          <w:lang w:val="en-GB"/>
        </w:rPr>
        <w:t xml:space="preserve">. 20 of the Regulations (now Point 22 as amended?) should be phased out. </w:t>
      </w:r>
      <w:r w:rsidR="00870D72" w:rsidRPr="00870D72">
        <w:rPr>
          <w:lang w:val="en-GB"/>
        </w:rPr>
        <w:t>However, p</w:t>
      </w:r>
      <w:r w:rsidR="00A6072E" w:rsidRPr="00870D72">
        <w:rPr>
          <w:lang w:val="en-GB"/>
        </w:rPr>
        <w:t xml:space="preserve">oint </w:t>
      </w:r>
      <w:r w:rsidR="00870D72" w:rsidRPr="00870D72">
        <w:rPr>
          <w:lang w:val="en-GB"/>
        </w:rPr>
        <w:t>c. of that article seems to be</w:t>
      </w:r>
      <w:r w:rsidR="00A6072E" w:rsidRPr="00870D72">
        <w:rPr>
          <w:lang w:val="en-GB"/>
        </w:rPr>
        <w:t xml:space="preserve"> expressed</w:t>
      </w:r>
      <w:r w:rsidR="00870D72" w:rsidRPr="00870D72">
        <w:rPr>
          <w:lang w:val="en-GB"/>
        </w:rPr>
        <w:t xml:space="preserve"> in broad brush terms</w:t>
      </w:r>
      <w:r w:rsidR="00A6072E" w:rsidRPr="00870D72">
        <w:rPr>
          <w:rStyle w:val="FootnoteReference"/>
          <w:lang w:val="en-GB"/>
        </w:rPr>
        <w:footnoteReference w:id="1"/>
      </w:r>
      <w:r w:rsidR="00A6072E" w:rsidRPr="00870D72">
        <w:rPr>
          <w:lang w:val="en-GB"/>
        </w:rPr>
        <w:t xml:space="preserve"> . “Clear infringement” should be more precisely defined.</w:t>
      </w:r>
    </w:p>
    <w:p w:rsidR="0087311A" w:rsidRPr="00870D72" w:rsidRDefault="00870D72" w:rsidP="0087311A">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b/>
          <w:color w:val="000000"/>
          <w:szCs w:val="22"/>
          <w:lang w:val="en-GB"/>
        </w:rPr>
      </w:pPr>
      <w:r w:rsidRPr="00870D72">
        <w:rPr>
          <w:b/>
          <w:color w:val="000000"/>
          <w:lang w:val="en-GB"/>
        </w:rPr>
        <w:t>C</w:t>
      </w:r>
      <w:r w:rsidR="0087311A" w:rsidRPr="00870D72">
        <w:rPr>
          <w:b/>
          <w:color w:val="000000"/>
          <w:lang w:val="en-GB"/>
        </w:rPr>
        <w:t>ost neutrality of Accredited European Schools</w:t>
      </w:r>
      <w:r w:rsidR="003F5C42" w:rsidRPr="00870D72">
        <w:rPr>
          <w:b/>
          <w:color w:val="000000"/>
          <w:lang w:val="en-GB"/>
        </w:rPr>
        <w:t xml:space="preserve"> (audits, administrative </w:t>
      </w:r>
      <w:r w:rsidR="003F5C42" w:rsidRPr="00870D72">
        <w:rPr>
          <w:b/>
          <w:color w:val="000000"/>
          <w:szCs w:val="22"/>
          <w:lang w:val="en-GB"/>
        </w:rPr>
        <w:t>work at</w:t>
      </w:r>
      <w:r w:rsidR="0087311A" w:rsidRPr="00870D72">
        <w:rPr>
          <w:b/>
          <w:color w:val="000000"/>
          <w:szCs w:val="22"/>
          <w:lang w:val="en-GB"/>
        </w:rPr>
        <w:t xml:space="preserve"> the Office, etc.)</w:t>
      </w:r>
    </w:p>
    <w:p w:rsidR="00870D72" w:rsidRPr="00870D72" w:rsidRDefault="00870D72" w:rsidP="00870D72">
      <w:pPr>
        <w:rPr>
          <w:rFonts w:cs="Arial"/>
          <w:szCs w:val="22"/>
          <w:lang w:val="en-GB"/>
        </w:rPr>
      </w:pPr>
      <w:r w:rsidRPr="00870D72">
        <w:rPr>
          <w:rFonts w:cs="Arial"/>
          <w:szCs w:val="22"/>
          <w:lang w:val="en-GB"/>
        </w:rPr>
        <w:t>It should be noted that back in 2004, the Troika II Working Group mentioned in their report (ref.: 2004-D-532) that the opening up of the European Baccalaureate to pupils in one or more schools other than the European Schools would have organisational and financial consequences (see Annex 3 to that report, appended hereto). It should also be noted that the Working Group’s reflections focused mainly on the organisation of the European Baccalaureate and did not give sufficient attention to all the other aspects.</w:t>
      </w:r>
    </w:p>
    <w:p w:rsidR="00870D72" w:rsidRPr="00870D72" w:rsidRDefault="00870D72" w:rsidP="00870D72">
      <w:pPr>
        <w:rPr>
          <w:rFonts w:cs="Arial"/>
          <w:szCs w:val="22"/>
          <w:lang w:val="en-GB"/>
        </w:rPr>
      </w:pPr>
      <w:r w:rsidRPr="00870D72">
        <w:rPr>
          <w:rFonts w:cs="Arial"/>
          <w:szCs w:val="22"/>
          <w:lang w:val="en-GB"/>
        </w:rPr>
        <w:t>In 2010, the then Secretary-General presented a first report on the opening up of the System, after only five years’ experience (ref.: 2010-D-329). The question of whether or not it was really possible to continue maintaining the service offered to the Accredited European Schools within the limits of the resources available to the System was already mooted, as was the question of whether a financial contribution should not be requested to pay for the services that these schools received from the System (page 10 of the aforementioned document, appended hereto).</w:t>
      </w:r>
    </w:p>
    <w:p w:rsidR="00763D78" w:rsidRPr="00870D72" w:rsidRDefault="00870D72" w:rsidP="008A0744">
      <w:pPr>
        <w:spacing w:after="240"/>
        <w:rPr>
          <w:rFonts w:cs="Arial"/>
          <w:szCs w:val="22"/>
          <w:lang w:val="en-GB"/>
        </w:rPr>
      </w:pPr>
      <w:r>
        <w:rPr>
          <w:rFonts w:cs="Arial"/>
          <w:szCs w:val="22"/>
          <w:lang w:val="en-GB"/>
        </w:rPr>
        <w:t xml:space="preserve">Since then no further </w:t>
      </w:r>
      <w:r w:rsidRPr="00870D72">
        <w:rPr>
          <w:rFonts w:cs="Arial"/>
          <w:szCs w:val="22"/>
          <w:lang w:val="en-GB"/>
        </w:rPr>
        <w:t>reports have been produced and the number of Accredited European Schools has constantly risen</w:t>
      </w:r>
      <w:r>
        <w:rPr>
          <w:rFonts w:cs="Arial"/>
          <w:szCs w:val="22"/>
          <w:lang w:val="en-GB"/>
        </w:rPr>
        <w:t xml:space="preserve"> and has seen unprecedented steep growth since an</w:t>
      </w:r>
      <w:r w:rsidRPr="00870D72">
        <w:rPr>
          <w:rFonts w:cs="Arial"/>
          <w:szCs w:val="22"/>
          <w:lang w:val="en-GB"/>
        </w:rPr>
        <w:t xml:space="preserve"> oral report on the situation was presented to the Board of Governors at its December 2016 meeting,</w:t>
      </w:r>
      <w:r w:rsidR="008A0744">
        <w:rPr>
          <w:rFonts w:cs="Arial"/>
          <w:szCs w:val="22"/>
          <w:lang w:val="en-GB"/>
        </w:rPr>
        <w:t xml:space="preserve"> arousing</w:t>
      </w:r>
      <w:r>
        <w:rPr>
          <w:rFonts w:cs="Arial"/>
          <w:szCs w:val="22"/>
          <w:lang w:val="en-GB"/>
        </w:rPr>
        <w:t xml:space="preserve"> a great deal of interest amongst a number of delegates and leading to </w:t>
      </w:r>
      <w:r w:rsidR="00763D78" w:rsidRPr="00870D72">
        <w:rPr>
          <w:rFonts w:cs="Arial"/>
          <w:szCs w:val="22"/>
          <w:lang w:val="en-GB"/>
        </w:rPr>
        <w:t>the mandate given to the working group.</w:t>
      </w:r>
    </w:p>
    <w:p w:rsidR="00763D78" w:rsidRPr="00870D72" w:rsidRDefault="00763D78" w:rsidP="00763D78">
      <w:pPr>
        <w:rPr>
          <w:rFonts w:cs="Arial"/>
          <w:b/>
          <w:i/>
          <w:sz w:val="20"/>
          <w:lang w:val="en-GB"/>
        </w:rPr>
      </w:pPr>
      <w:r w:rsidRPr="00870D72">
        <w:rPr>
          <w:rFonts w:cs="Arial"/>
          <w:b/>
          <w:i/>
          <w:sz w:val="20"/>
          <w:lang w:val="en-GB"/>
        </w:rPr>
        <w:t>Rationale</w:t>
      </w:r>
    </w:p>
    <w:p w:rsidR="00763D78" w:rsidRPr="00870D72" w:rsidRDefault="00870D72" w:rsidP="00763D78">
      <w:pPr>
        <w:rPr>
          <w:rFonts w:cs="Arial"/>
          <w:sz w:val="20"/>
          <w:lang w:val="en-GB"/>
        </w:rPr>
      </w:pPr>
      <w:r>
        <w:rPr>
          <w:rFonts w:cs="Arial"/>
          <w:sz w:val="20"/>
          <w:lang w:val="en-GB"/>
        </w:rPr>
        <w:t>Extract f</w:t>
      </w:r>
      <w:r w:rsidR="00763D78" w:rsidRPr="00870D72">
        <w:rPr>
          <w:rFonts w:cs="Arial"/>
          <w:sz w:val="20"/>
          <w:lang w:val="en-GB"/>
        </w:rPr>
        <w:t>rom the AES Regulations:</w:t>
      </w:r>
    </w:p>
    <w:p w:rsidR="00763D78" w:rsidRPr="00870D72" w:rsidRDefault="00763D78" w:rsidP="00763D78">
      <w:pPr>
        <w:spacing w:after="0"/>
        <w:rPr>
          <w:rFonts w:ascii="Garamond" w:hAnsi="Garamond" w:cs="Arial"/>
          <w:b/>
          <w:i/>
          <w:sz w:val="24"/>
          <w:szCs w:val="24"/>
          <w:lang w:val="en-GB"/>
        </w:rPr>
      </w:pPr>
      <w:r w:rsidRPr="00870D72">
        <w:rPr>
          <w:rFonts w:ascii="Garamond" w:hAnsi="Garamond" w:cs="Arial"/>
          <w:b/>
          <w:i/>
          <w:sz w:val="24"/>
          <w:szCs w:val="24"/>
          <w:lang w:val="en-GB"/>
        </w:rPr>
        <w:t>“Article 17</w:t>
      </w:r>
    </w:p>
    <w:p w:rsidR="00763D78" w:rsidRPr="00870D72" w:rsidRDefault="00763D78" w:rsidP="00763D78">
      <w:pPr>
        <w:spacing w:after="0"/>
        <w:ind w:firstLine="720"/>
        <w:rPr>
          <w:rFonts w:ascii="Garamond" w:hAnsi="Garamond" w:cs="Arial"/>
          <w:i/>
          <w:sz w:val="24"/>
          <w:szCs w:val="24"/>
          <w:lang w:val="en-GB"/>
        </w:rPr>
      </w:pPr>
      <w:r w:rsidRPr="00870D72">
        <w:rPr>
          <w:rFonts w:ascii="Garamond" w:hAnsi="Garamond" w:cs="Arial"/>
          <w:i/>
          <w:sz w:val="24"/>
          <w:szCs w:val="24"/>
          <w:lang w:val="en-GB"/>
        </w:rPr>
        <w:t xml:space="preserve">All the costs entailed by accreditation and its effects, without reservation or exception, shall be borne solely by the Accredited European School.  </w:t>
      </w:r>
    </w:p>
    <w:p w:rsidR="00763D78" w:rsidRPr="00870D72" w:rsidRDefault="00763D78" w:rsidP="00763D78">
      <w:pPr>
        <w:spacing w:after="0"/>
        <w:ind w:firstLine="720"/>
        <w:rPr>
          <w:rFonts w:ascii="Garamond" w:hAnsi="Garamond" w:cs="Arial"/>
          <w:i/>
          <w:sz w:val="24"/>
          <w:szCs w:val="24"/>
          <w:lang w:val="en-GB"/>
        </w:rPr>
      </w:pPr>
      <w:r w:rsidRPr="00870D72">
        <w:rPr>
          <w:rFonts w:ascii="Garamond" w:hAnsi="Garamond" w:cs="Arial"/>
          <w:i/>
          <w:sz w:val="24"/>
          <w:szCs w:val="24"/>
          <w:lang w:val="en-GB"/>
        </w:rPr>
        <w:t xml:space="preserve">Those costs shall correspond to: </w:t>
      </w:r>
    </w:p>
    <w:p w:rsidR="00763D78" w:rsidRPr="00870D72" w:rsidRDefault="00763D78" w:rsidP="00763D78">
      <w:pPr>
        <w:spacing w:after="0"/>
        <w:rPr>
          <w:rFonts w:ascii="Garamond" w:hAnsi="Garamond" w:cs="Arial"/>
          <w:i/>
          <w:sz w:val="24"/>
          <w:szCs w:val="24"/>
          <w:lang w:val="en-GB"/>
        </w:rPr>
      </w:pPr>
      <w:r w:rsidRPr="00870D72">
        <w:rPr>
          <w:rFonts w:ascii="Garamond" w:hAnsi="Garamond" w:cs="Arial"/>
          <w:i/>
          <w:sz w:val="24"/>
          <w:szCs w:val="24"/>
          <w:lang w:val="en-GB"/>
        </w:rPr>
        <w:t xml:space="preserve">a. </w:t>
      </w:r>
      <w:r w:rsidRPr="00870D72">
        <w:rPr>
          <w:rFonts w:ascii="Garamond" w:hAnsi="Garamond" w:cs="Arial"/>
          <w:i/>
          <w:sz w:val="24"/>
          <w:szCs w:val="24"/>
          <w:lang w:val="en-GB"/>
        </w:rPr>
        <w:tab/>
        <w:t>the travel and subsistence expenses of the inspectors sent by the European Schools. They will be defrayed on the basis of a mission order and under the same conditions as when inspectors carry out a mission on behalf of the European Schools;</w:t>
      </w:r>
    </w:p>
    <w:p w:rsidR="00763D78" w:rsidRPr="00870D72" w:rsidRDefault="00763D78" w:rsidP="00763D78">
      <w:pPr>
        <w:spacing w:after="0"/>
        <w:rPr>
          <w:rFonts w:ascii="Garamond" w:hAnsi="Garamond" w:cs="Arial"/>
          <w:i/>
          <w:sz w:val="24"/>
          <w:szCs w:val="24"/>
          <w:lang w:val="en-GB"/>
        </w:rPr>
      </w:pPr>
      <w:r w:rsidRPr="00870D72">
        <w:rPr>
          <w:rFonts w:ascii="Garamond" w:hAnsi="Garamond" w:cs="Arial"/>
          <w:i/>
          <w:sz w:val="24"/>
          <w:szCs w:val="24"/>
          <w:lang w:val="en-GB"/>
        </w:rPr>
        <w:t>b.</w:t>
      </w:r>
      <w:r w:rsidRPr="00870D72">
        <w:rPr>
          <w:rFonts w:ascii="Garamond" w:hAnsi="Garamond" w:cs="Arial"/>
          <w:i/>
          <w:sz w:val="24"/>
          <w:szCs w:val="24"/>
          <w:lang w:val="en-GB"/>
        </w:rPr>
        <w:tab/>
        <w:t xml:space="preserve">the expenditure incurred by staff of Accredited European Schools in attending the in-service training courses – referred to in Article 16 – organised by the European Schools; </w:t>
      </w:r>
    </w:p>
    <w:p w:rsidR="00763D78" w:rsidRPr="00870D72" w:rsidRDefault="00763D78" w:rsidP="00763D78">
      <w:pPr>
        <w:spacing w:after="0"/>
        <w:rPr>
          <w:rFonts w:ascii="Garamond" w:hAnsi="Garamond" w:cs="Arial"/>
          <w:i/>
          <w:sz w:val="24"/>
          <w:szCs w:val="24"/>
          <w:lang w:val="en-GB"/>
        </w:rPr>
      </w:pPr>
      <w:r w:rsidRPr="00870D72">
        <w:rPr>
          <w:rFonts w:ascii="Garamond" w:hAnsi="Garamond" w:cs="Arial"/>
          <w:i/>
          <w:sz w:val="24"/>
          <w:szCs w:val="24"/>
          <w:lang w:val="en-GB"/>
        </w:rPr>
        <w:t>c.</w:t>
      </w:r>
      <w:r w:rsidRPr="00870D72">
        <w:rPr>
          <w:rFonts w:ascii="Garamond" w:hAnsi="Garamond" w:cs="Arial"/>
          <w:i/>
          <w:sz w:val="24"/>
          <w:szCs w:val="24"/>
          <w:lang w:val="en-GB"/>
        </w:rPr>
        <w:tab/>
        <w:t>The teaching materials referred to in Article 16.</w:t>
      </w:r>
    </w:p>
    <w:p w:rsidR="00763D78" w:rsidRPr="00870D72" w:rsidRDefault="00763D78" w:rsidP="00763D78">
      <w:pPr>
        <w:spacing w:after="0"/>
        <w:ind w:firstLine="720"/>
        <w:rPr>
          <w:rFonts w:ascii="Garamond" w:hAnsi="Garamond" w:cs="Arial"/>
          <w:i/>
          <w:sz w:val="24"/>
          <w:szCs w:val="24"/>
          <w:lang w:val="en-GB"/>
        </w:rPr>
      </w:pPr>
      <w:r w:rsidRPr="00870D72">
        <w:rPr>
          <w:rFonts w:ascii="Garamond" w:hAnsi="Garamond" w:cs="Arial"/>
          <w:i/>
          <w:sz w:val="24"/>
          <w:szCs w:val="24"/>
          <w:lang w:val="en-GB"/>
        </w:rPr>
        <w:t xml:space="preserve">The costs of purchasing and dispatching the teaching material referred to above will be refunded to the European Schools by the Accredited European School in accordance with the scales set by the budget of the European Schools, on submission of an expense claim.”  </w:t>
      </w:r>
    </w:p>
    <w:p w:rsidR="00124FD8" w:rsidRPr="00124FD8" w:rsidRDefault="00124FD8" w:rsidP="00124FD8">
      <w:pPr>
        <w:spacing w:after="240"/>
        <w:rPr>
          <w:rFonts w:cs="Arial"/>
          <w:szCs w:val="22"/>
          <w:lang w:val="en-GB"/>
        </w:rPr>
      </w:pPr>
      <w:r w:rsidRPr="00124FD8">
        <w:rPr>
          <w:rFonts w:cs="Arial"/>
          <w:szCs w:val="22"/>
          <w:lang w:val="en-GB"/>
        </w:rPr>
        <w:t xml:space="preserve">In the </w:t>
      </w:r>
      <w:r w:rsidR="007E4807">
        <w:rPr>
          <w:rFonts w:cs="Arial"/>
          <w:szCs w:val="22"/>
          <w:lang w:val="en-GB"/>
        </w:rPr>
        <w:t xml:space="preserve">Working Group </w:t>
      </w:r>
      <w:r w:rsidRPr="00124FD8">
        <w:rPr>
          <w:rFonts w:cs="Arial"/>
          <w:szCs w:val="22"/>
          <w:lang w:val="en-GB"/>
        </w:rPr>
        <w:t xml:space="preserve">it was agreed that the sentence </w:t>
      </w:r>
      <w:r w:rsidRPr="00124FD8">
        <w:rPr>
          <w:rFonts w:cs="Arial"/>
          <w:i/>
          <w:szCs w:val="22"/>
          <w:lang w:val="en-GB"/>
        </w:rPr>
        <w:t>“Those costs shall correspond to:”</w:t>
      </w:r>
      <w:r w:rsidRPr="00124FD8">
        <w:rPr>
          <w:rFonts w:cs="Arial"/>
          <w:szCs w:val="22"/>
          <w:lang w:val="en-GB"/>
        </w:rPr>
        <w:t xml:space="preserve"> does not realistically reflect the scope of the costs.</w:t>
      </w:r>
    </w:p>
    <w:p w:rsidR="00124FD8" w:rsidRPr="00124FD8" w:rsidRDefault="00124FD8" w:rsidP="00124FD8">
      <w:pPr>
        <w:rPr>
          <w:rFonts w:cs="Arial"/>
          <w:b/>
          <w:i/>
          <w:szCs w:val="22"/>
          <w:lang w:val="en-GB"/>
        </w:rPr>
      </w:pPr>
      <w:r w:rsidRPr="00124FD8">
        <w:rPr>
          <w:rFonts w:cs="Arial"/>
          <w:b/>
          <w:i/>
          <w:szCs w:val="22"/>
          <w:lang w:val="en-GB"/>
        </w:rPr>
        <w:t>Proposed method for calculation of costs generated by AES</w:t>
      </w:r>
    </w:p>
    <w:p w:rsidR="00124FD8" w:rsidRPr="00124FD8" w:rsidRDefault="00124FD8" w:rsidP="00124FD8">
      <w:pPr>
        <w:rPr>
          <w:rFonts w:cs="Arial"/>
          <w:szCs w:val="22"/>
          <w:lang w:val="en-GB"/>
        </w:rPr>
      </w:pPr>
      <w:r w:rsidRPr="00124FD8">
        <w:rPr>
          <w:rFonts w:cs="Arial"/>
          <w:szCs w:val="22"/>
          <w:lang w:val="en-GB"/>
        </w:rPr>
        <w:t xml:space="preserve">The </w:t>
      </w:r>
      <w:r w:rsidR="00D57437">
        <w:rPr>
          <w:rFonts w:cs="Arial"/>
          <w:szCs w:val="22"/>
          <w:lang w:val="en-GB"/>
        </w:rPr>
        <w:t xml:space="preserve">Board of Governors </w:t>
      </w:r>
      <w:r w:rsidRPr="00124FD8">
        <w:rPr>
          <w:rFonts w:cs="Arial"/>
          <w:szCs w:val="22"/>
          <w:lang w:val="en-GB"/>
        </w:rPr>
        <w:t xml:space="preserve"> recently decided to create a post of Assistant at the Office, paid for on a pro rata basis by the AES (70% of the workload is considered ‘general’, for all pupils, and 30% linked to pupils in S6-S7). The cost will be different for each school, according to their population, and updated every year.</w:t>
      </w:r>
    </w:p>
    <w:p w:rsidR="00124FD8" w:rsidRPr="00124FD8" w:rsidRDefault="00124FD8" w:rsidP="00124FD8">
      <w:pPr>
        <w:rPr>
          <w:rFonts w:cs="Arial"/>
          <w:szCs w:val="22"/>
          <w:lang w:val="en-GB"/>
        </w:rPr>
      </w:pPr>
      <w:r w:rsidRPr="00124FD8">
        <w:rPr>
          <w:rFonts w:cs="Arial"/>
          <w:szCs w:val="22"/>
          <w:lang w:val="en-GB"/>
        </w:rPr>
        <w:t xml:space="preserve">The </w:t>
      </w:r>
      <w:r w:rsidR="007E4807">
        <w:rPr>
          <w:rFonts w:cs="Arial"/>
          <w:szCs w:val="22"/>
          <w:lang w:val="en-GB"/>
        </w:rPr>
        <w:t xml:space="preserve">Working Group </w:t>
      </w:r>
      <w:r w:rsidRPr="00124FD8">
        <w:rPr>
          <w:rFonts w:cs="Arial"/>
          <w:szCs w:val="22"/>
          <w:lang w:val="en-GB"/>
        </w:rPr>
        <w:t>agreed that this can be regarded as merely a first step in the direction of real cost neutrality.</w:t>
      </w:r>
    </w:p>
    <w:p w:rsidR="00124FD8" w:rsidRPr="00124FD8" w:rsidRDefault="00124FD8" w:rsidP="00124FD8">
      <w:pPr>
        <w:rPr>
          <w:rFonts w:cs="Arial"/>
          <w:szCs w:val="22"/>
          <w:lang w:val="en-GB"/>
        </w:rPr>
      </w:pPr>
      <w:r w:rsidRPr="00124FD8">
        <w:rPr>
          <w:rFonts w:cs="Arial"/>
          <w:szCs w:val="22"/>
          <w:lang w:val="en-GB"/>
        </w:rPr>
        <w:t xml:space="preserve">In actual fact, a large proportion of the staff working at the </w:t>
      </w:r>
      <w:r w:rsidR="007E4807">
        <w:rPr>
          <w:rFonts w:cs="Arial"/>
          <w:szCs w:val="22"/>
          <w:lang w:val="en-GB"/>
        </w:rPr>
        <w:t xml:space="preserve">Office of the Secretary-General </w:t>
      </w:r>
      <w:r w:rsidR="007E4807" w:rsidRPr="00124FD8">
        <w:rPr>
          <w:rFonts w:cs="Arial"/>
          <w:szCs w:val="22"/>
          <w:lang w:val="en-GB"/>
        </w:rPr>
        <w:t>also</w:t>
      </w:r>
      <w:r w:rsidRPr="00124FD8">
        <w:rPr>
          <w:rFonts w:cs="Arial"/>
          <w:szCs w:val="22"/>
          <w:lang w:val="en-GB"/>
        </w:rPr>
        <w:t xml:space="preserve"> work for the AES.</w:t>
      </w:r>
    </w:p>
    <w:p w:rsidR="00124FD8" w:rsidRPr="00124FD8" w:rsidRDefault="00124FD8" w:rsidP="00124FD8">
      <w:pPr>
        <w:rPr>
          <w:rFonts w:cs="Arial"/>
          <w:szCs w:val="22"/>
          <w:lang w:val="en-GB"/>
        </w:rPr>
      </w:pPr>
      <w:r w:rsidRPr="00124FD8">
        <w:rPr>
          <w:rFonts w:cs="Arial"/>
          <w:szCs w:val="22"/>
          <w:lang w:val="en-GB"/>
        </w:rPr>
        <w:t>Costs at the Office also include the rent for the premises and associated costs, the contribution of the Member States to the salaries of seconded staff, the pro rata share of the full-time equivalent of the people working for the AES at the Office, once the Units which are impacted by the existence of the AES are considered, etc.</w:t>
      </w:r>
    </w:p>
    <w:p w:rsidR="00124FD8" w:rsidRPr="00124FD8" w:rsidRDefault="00124FD8" w:rsidP="00124FD8">
      <w:pPr>
        <w:rPr>
          <w:rFonts w:cs="Arial"/>
          <w:szCs w:val="22"/>
          <w:lang w:val="en-GB"/>
        </w:rPr>
      </w:pPr>
      <w:r w:rsidRPr="00124FD8">
        <w:rPr>
          <w:rFonts w:cs="Arial"/>
          <w:szCs w:val="22"/>
          <w:lang w:val="en-GB"/>
        </w:rPr>
        <w:t>Below is a scenario for calculation of these costs, which has been agreed upon amongst the members of the WG, with the exception of the Representative of the Directors of the AES. The Directors of the AES insist that only costs generated by AES should be considered. The feeling of the rest of the members is that the method proposed does indeed refer only to costs generated by AES.</w:t>
      </w:r>
    </w:p>
    <w:p w:rsidR="00124FD8" w:rsidRPr="00124FD8" w:rsidRDefault="00124FD8" w:rsidP="00124FD8">
      <w:pPr>
        <w:rPr>
          <w:rFonts w:cs="Arial"/>
          <w:szCs w:val="22"/>
          <w:lang w:val="en-GB"/>
        </w:rPr>
      </w:pPr>
      <w:r w:rsidRPr="00124FD8">
        <w:rPr>
          <w:rFonts w:cs="Arial"/>
          <w:szCs w:val="22"/>
          <w:lang w:val="en-GB"/>
        </w:rPr>
        <w:t>A detailed illustration of the impact of the existence of a growing body of AES on each member of the staff working in the Office of the Secretary-General (OSG) has led to the conclusion that the workload of the equivalent of at least 50% of the staff working at the OSG is impacted by the existence of AES. This estimate is more likely to be prudent than exaggerated.</w:t>
      </w:r>
    </w:p>
    <w:p w:rsidR="00124FD8" w:rsidRPr="00124FD8" w:rsidRDefault="00124FD8" w:rsidP="00124FD8">
      <w:pPr>
        <w:rPr>
          <w:rFonts w:cs="Arial"/>
          <w:szCs w:val="22"/>
          <w:lang w:val="en-GB"/>
        </w:rPr>
      </w:pPr>
      <w:r w:rsidRPr="00124FD8">
        <w:rPr>
          <w:rFonts w:cs="Arial"/>
          <w:szCs w:val="22"/>
          <w:lang w:val="en-GB"/>
        </w:rPr>
        <w:t>As a result, only 50% of the cost of the staff working at the Office will be considered.</w:t>
      </w:r>
    </w:p>
    <w:p w:rsidR="00124FD8" w:rsidRPr="00124FD8" w:rsidRDefault="00124FD8" w:rsidP="00124FD8">
      <w:pPr>
        <w:rPr>
          <w:rFonts w:cs="Arial"/>
          <w:szCs w:val="22"/>
          <w:lang w:val="en-GB"/>
        </w:rPr>
      </w:pPr>
      <w:r w:rsidRPr="00124FD8">
        <w:rPr>
          <w:rFonts w:cs="Arial"/>
          <w:szCs w:val="22"/>
          <w:lang w:val="en-GB"/>
        </w:rPr>
        <w:t xml:space="preserve">As far as administrative costs are concerned: </w:t>
      </w:r>
    </w:p>
    <w:tbl>
      <w:tblPr>
        <w:tblW w:w="2040" w:type="dxa"/>
        <w:tblLook w:val="04A0" w:firstRow="1" w:lastRow="0" w:firstColumn="1" w:lastColumn="0" w:noHBand="0" w:noVBand="1"/>
      </w:tblPr>
      <w:tblGrid>
        <w:gridCol w:w="1109"/>
        <w:gridCol w:w="1073"/>
      </w:tblGrid>
      <w:tr w:rsidR="00124FD8" w:rsidRPr="00124FD8" w:rsidTr="00BD13F6">
        <w:trPr>
          <w:trHeight w:val="285"/>
        </w:trPr>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Buildings</w:t>
            </w:r>
          </w:p>
        </w:tc>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1210000</w:t>
            </w:r>
          </w:p>
        </w:tc>
      </w:tr>
      <w:tr w:rsidR="00124FD8" w:rsidRPr="00124FD8" w:rsidTr="00BD13F6">
        <w:trPr>
          <w:trHeight w:val="285"/>
        </w:trPr>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ICT</w:t>
            </w:r>
          </w:p>
        </w:tc>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1748500</w:t>
            </w:r>
          </w:p>
        </w:tc>
      </w:tr>
      <w:tr w:rsidR="00124FD8" w:rsidRPr="00124FD8" w:rsidTr="00BD13F6">
        <w:trPr>
          <w:trHeight w:val="285"/>
        </w:trPr>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OSGES</w:t>
            </w:r>
          </w:p>
        </w:tc>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3603000</w:t>
            </w:r>
          </w:p>
        </w:tc>
      </w:tr>
      <w:tr w:rsidR="00124FD8" w:rsidRPr="00124FD8" w:rsidTr="00BD13F6">
        <w:trPr>
          <w:trHeight w:val="285"/>
        </w:trPr>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Misc.</w:t>
            </w:r>
          </w:p>
        </w:tc>
        <w:tc>
          <w:tcPr>
            <w:tcW w:w="1020" w:type="dxa"/>
            <w:tcBorders>
              <w:top w:val="nil"/>
              <w:left w:val="nil"/>
              <w:bottom w:val="nil"/>
              <w:right w:val="nil"/>
            </w:tcBorders>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289000</w:t>
            </w:r>
          </w:p>
        </w:tc>
      </w:tr>
    </w:tbl>
    <w:p w:rsidR="00124FD8" w:rsidRPr="00124FD8" w:rsidRDefault="00124FD8" w:rsidP="00124FD8">
      <w:pPr>
        <w:rPr>
          <w:rFonts w:cs="Arial"/>
          <w:szCs w:val="22"/>
          <w:lang w:val="en-GB"/>
        </w:rPr>
      </w:pPr>
      <w:r w:rsidRPr="00124FD8">
        <w:rPr>
          <w:rFonts w:cs="Arial"/>
          <w:szCs w:val="22"/>
          <w:lang w:val="en-GB"/>
        </w:rPr>
        <w:t>By analogy, only 50% of the costs associated with the premises (Building) would need to be considered. No costs for ICT for the time being, since only limited services are already offered. All costs for ‘OSGES’ and ‘Miscellaneous’ would need to be included.</w:t>
      </w:r>
    </w:p>
    <w:p w:rsidR="00124FD8" w:rsidRPr="00124FD8" w:rsidRDefault="00124FD8" w:rsidP="00124FD8">
      <w:pPr>
        <w:rPr>
          <w:rFonts w:cs="Arial"/>
          <w:szCs w:val="22"/>
          <w:lang w:val="en-GB"/>
        </w:rPr>
      </w:pPr>
      <w:r w:rsidRPr="00124FD8">
        <w:rPr>
          <w:rFonts w:cs="Arial"/>
          <w:szCs w:val="22"/>
          <w:lang w:val="en-GB"/>
        </w:rPr>
        <w:t>All operational costs should also be included.</w:t>
      </w:r>
    </w:p>
    <w:p w:rsidR="00124FD8" w:rsidRPr="00124FD8" w:rsidRDefault="00124FD8" w:rsidP="00124FD8">
      <w:pPr>
        <w:rPr>
          <w:rFonts w:cs="Arial"/>
          <w:szCs w:val="22"/>
          <w:lang w:val="en-GB"/>
        </w:rPr>
      </w:pPr>
      <w:r w:rsidRPr="00124FD8">
        <w:rPr>
          <w:rFonts w:cs="Arial"/>
          <w:szCs w:val="22"/>
          <w:lang w:val="en-GB"/>
        </w:rPr>
        <w:t>Thus, on the basis of the overall budget of €13903955, the figures would be as follows: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134"/>
        <w:gridCol w:w="1134"/>
      </w:tblGrid>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Staff</w:t>
            </w:r>
          </w:p>
        </w:tc>
        <w:tc>
          <w:tcPr>
            <w:tcW w:w="1417"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AES quota</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Total</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6703455</w:t>
            </w:r>
          </w:p>
        </w:tc>
        <w:tc>
          <w:tcPr>
            <w:tcW w:w="2551" w:type="dxa"/>
            <w:gridSpan w:val="2"/>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Cost salaries</w:t>
            </w:r>
          </w:p>
        </w:tc>
        <w:tc>
          <w:tcPr>
            <w:tcW w:w="1134" w:type="dxa"/>
            <w:shd w:val="clear" w:color="auto" w:fill="auto"/>
            <w:noWrap/>
            <w:vAlign w:val="bottom"/>
            <w:hideMark/>
          </w:tcPr>
          <w:p w:rsidR="00124FD8" w:rsidRPr="00124FD8" w:rsidRDefault="00124FD8" w:rsidP="00124FD8">
            <w:pPr>
              <w:rPr>
                <w:rFonts w:cs="Arial"/>
                <w:szCs w:val="22"/>
                <w:lang w:val="en-GB"/>
              </w:rPr>
            </w:pP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267750</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Contribution MS</w:t>
            </w:r>
          </w:p>
        </w:tc>
        <w:tc>
          <w:tcPr>
            <w:tcW w:w="1134"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6971205</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Total</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0.5</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3485603</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Admin</w:t>
            </w:r>
          </w:p>
        </w:tc>
        <w:tc>
          <w:tcPr>
            <w:tcW w:w="1417"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6850500</w:t>
            </w:r>
          </w:p>
        </w:tc>
        <w:tc>
          <w:tcPr>
            <w:tcW w:w="1417"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Buildings: rent, cleaning, heat, water, elec, install.</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1210000</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0.5</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605000</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ICT: hardware, software, training</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1748500</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0</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0</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OSGES: transl., interpr., consult, meetings</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3603000</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3603000</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Misc: equip., comm., miss., maint., etc.</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289000</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289000</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Pedag.: training courses</w:t>
            </w:r>
          </w:p>
        </w:tc>
        <w:tc>
          <w:tcPr>
            <w:tcW w:w="1417"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350000</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1</w:t>
            </w: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350000</w:t>
            </w:r>
          </w:p>
        </w:tc>
      </w:tr>
      <w:tr w:rsidR="00124FD8" w:rsidRPr="00124FD8" w:rsidTr="00BD13F6">
        <w:trPr>
          <w:trHeight w:val="285"/>
        </w:trPr>
        <w:tc>
          <w:tcPr>
            <w:tcW w:w="4248"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Total</w:t>
            </w:r>
          </w:p>
        </w:tc>
        <w:tc>
          <w:tcPr>
            <w:tcW w:w="1417"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p>
        </w:tc>
        <w:tc>
          <w:tcPr>
            <w:tcW w:w="1134" w:type="dxa"/>
            <w:shd w:val="clear" w:color="auto" w:fill="auto"/>
            <w:noWrap/>
            <w:vAlign w:val="bottom"/>
            <w:hideMark/>
          </w:tcPr>
          <w:p w:rsidR="00124FD8" w:rsidRPr="00124FD8" w:rsidRDefault="00124FD8" w:rsidP="00124FD8">
            <w:pPr>
              <w:rPr>
                <w:rFonts w:cs="Arial"/>
                <w:szCs w:val="22"/>
                <w:lang w:val="en-GB"/>
              </w:rPr>
            </w:pPr>
            <w:r w:rsidRPr="00124FD8">
              <w:rPr>
                <w:rFonts w:cs="Arial"/>
                <w:szCs w:val="22"/>
                <w:lang w:val="en-GB"/>
              </w:rPr>
              <w:t>8332603</w:t>
            </w:r>
          </w:p>
        </w:tc>
      </w:tr>
    </w:tbl>
    <w:p w:rsidR="00124FD8" w:rsidRDefault="00124FD8" w:rsidP="00124FD8">
      <w:pPr>
        <w:spacing w:before="240" w:after="240"/>
        <w:rPr>
          <w:rFonts w:cs="Arial"/>
          <w:szCs w:val="22"/>
          <w:lang w:val="en-GB"/>
        </w:rPr>
      </w:pPr>
      <w:r w:rsidRPr="00124FD8">
        <w:rPr>
          <w:rFonts w:cs="Arial"/>
          <w:szCs w:val="22"/>
          <w:lang w:val="en-GB"/>
        </w:rPr>
        <w:t>The costs to be shared therefore amount to €8332603. Thus, not all the costs of the OSG would be considered.</w:t>
      </w:r>
    </w:p>
    <w:p w:rsidR="008A0744" w:rsidRPr="00124FD8" w:rsidRDefault="008A0744" w:rsidP="00124FD8">
      <w:pPr>
        <w:spacing w:before="240" w:after="240"/>
        <w:rPr>
          <w:rFonts w:cs="Arial"/>
          <w:szCs w:val="22"/>
          <w:lang w:val="en-GB"/>
        </w:rPr>
      </w:pPr>
    </w:p>
    <w:p w:rsidR="00124FD8" w:rsidRPr="00124FD8" w:rsidRDefault="00124FD8" w:rsidP="009C78E6">
      <w:pPr>
        <w:spacing w:after="240"/>
        <w:rPr>
          <w:rFonts w:cs="Arial"/>
          <w:szCs w:val="22"/>
          <w:lang w:val="en-GB"/>
        </w:rPr>
      </w:pPr>
      <w:r w:rsidRPr="00124FD8">
        <w:rPr>
          <w:rFonts w:cs="Arial"/>
          <w:szCs w:val="22"/>
          <w:lang w:val="en-GB"/>
        </w:rPr>
        <w:t xml:space="preserve">As for the possible formulas that could be used to share the costs, the preferred option is a breakdown </w:t>
      </w:r>
      <w:r w:rsidR="00DC3CC3">
        <w:rPr>
          <w:rFonts w:cs="Arial"/>
          <w:szCs w:val="22"/>
          <w:lang w:val="en-GB"/>
        </w:rPr>
        <w:t xml:space="preserve">partially </w:t>
      </w:r>
      <w:r w:rsidRPr="00124FD8">
        <w:rPr>
          <w:rFonts w:cs="Arial"/>
          <w:szCs w:val="22"/>
          <w:lang w:val="en-GB"/>
        </w:rPr>
        <w:t>proportional to the total number of schools (</w:t>
      </w:r>
      <w:r w:rsidR="003B01E7" w:rsidRPr="003B01E7">
        <w:rPr>
          <w:rFonts w:cs="Arial"/>
          <w:szCs w:val="22"/>
          <w:lang w:val="en-GB"/>
        </w:rPr>
        <w:t>considering that some work has to be done ‘irrespective’, so to speak, of the number of pupils</w:t>
      </w:r>
      <w:r w:rsidR="003B01E7">
        <w:rPr>
          <w:rFonts w:cs="Arial"/>
          <w:szCs w:val="22"/>
          <w:lang w:val="en-GB"/>
        </w:rPr>
        <w:t>)</w:t>
      </w:r>
      <w:r w:rsidRPr="00124FD8">
        <w:rPr>
          <w:rFonts w:cs="Arial"/>
          <w:szCs w:val="22"/>
          <w:lang w:val="en-GB"/>
        </w:rPr>
        <w:t xml:space="preserve"> and </w:t>
      </w:r>
      <w:r w:rsidR="00DC3CC3">
        <w:rPr>
          <w:rFonts w:cs="Arial"/>
          <w:szCs w:val="22"/>
          <w:lang w:val="en-GB"/>
        </w:rPr>
        <w:t xml:space="preserve">partially </w:t>
      </w:r>
      <w:r w:rsidRPr="00124FD8">
        <w:rPr>
          <w:rFonts w:cs="Arial"/>
          <w:szCs w:val="22"/>
          <w:lang w:val="en-GB"/>
        </w:rPr>
        <w:t xml:space="preserve">to the number of pupils. This formula was adopted by the </w:t>
      </w:r>
      <w:r w:rsidR="00D57437">
        <w:rPr>
          <w:rFonts w:cs="Arial"/>
          <w:szCs w:val="22"/>
          <w:lang w:val="en-GB"/>
        </w:rPr>
        <w:t xml:space="preserve">Board of Governors </w:t>
      </w:r>
      <w:r w:rsidRPr="00124FD8">
        <w:rPr>
          <w:rFonts w:cs="Arial"/>
          <w:szCs w:val="22"/>
          <w:lang w:val="en-GB"/>
        </w:rPr>
        <w:t>in the case of the Munich School: ¼ of the cost shared in proportion to the number of schools; ¾ of the cost shared in proportion to the number of pupils (in the case of the Munich School it is, however, applied to the OSG’s whole budget).</w:t>
      </w:r>
    </w:p>
    <w:p w:rsidR="00124FD8" w:rsidRPr="00124FD8" w:rsidRDefault="00124FD8" w:rsidP="00124FD8">
      <w:pPr>
        <w:rPr>
          <w:rFonts w:cs="Arial"/>
          <w:szCs w:val="22"/>
          <w:lang w:val="en-GB"/>
        </w:rPr>
      </w:pPr>
      <w:r w:rsidRPr="00124FD8">
        <w:rPr>
          <w:rFonts w:cs="Arial"/>
          <w:szCs w:val="22"/>
          <w:lang w:val="en-GB"/>
        </w:rPr>
        <w:t>Taking the figures for the populations in the AES this year:</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83"/>
        <w:gridCol w:w="563"/>
        <w:gridCol w:w="572"/>
        <w:gridCol w:w="643"/>
        <w:gridCol w:w="554"/>
        <w:gridCol w:w="634"/>
        <w:gridCol w:w="705"/>
        <w:gridCol w:w="608"/>
        <w:gridCol w:w="510"/>
        <w:gridCol w:w="563"/>
        <w:gridCol w:w="483"/>
        <w:gridCol w:w="652"/>
        <w:gridCol w:w="483"/>
        <w:gridCol w:w="572"/>
      </w:tblGrid>
      <w:tr w:rsidR="00124FD8" w:rsidRPr="009C78E6" w:rsidTr="00BD13F6">
        <w:trPr>
          <w:trHeight w:val="285"/>
        </w:trPr>
        <w:tc>
          <w:tcPr>
            <w:tcW w:w="559"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 xml:space="preserve">School </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PA</w:t>
            </w:r>
          </w:p>
        </w:tc>
        <w:tc>
          <w:tcPr>
            <w:tcW w:w="300"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DUN</w:t>
            </w:r>
          </w:p>
        </w:tc>
        <w:tc>
          <w:tcPr>
            <w:tcW w:w="317"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MAN</w:t>
            </w:r>
          </w:p>
        </w:tc>
        <w:tc>
          <w:tcPr>
            <w:tcW w:w="31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STRA</w:t>
            </w:r>
          </w:p>
        </w:tc>
        <w:tc>
          <w:tcPr>
            <w:tcW w:w="277"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 xml:space="preserve">HER </w:t>
            </w:r>
          </w:p>
        </w:tc>
        <w:tc>
          <w:tcPr>
            <w:tcW w:w="309"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HELS</w:t>
            </w:r>
          </w:p>
        </w:tc>
        <w:tc>
          <w:tcPr>
            <w:tcW w:w="367"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D HAA</w:t>
            </w:r>
          </w:p>
        </w:tc>
        <w:tc>
          <w:tcPr>
            <w:tcW w:w="312"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B VIL</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 xml:space="preserve">TAL </w:t>
            </w:r>
          </w:p>
        </w:tc>
        <w:tc>
          <w:tcPr>
            <w:tcW w:w="283"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COP</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BRI</w:t>
            </w:r>
          </w:p>
        </w:tc>
        <w:tc>
          <w:tcPr>
            <w:tcW w:w="319"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 xml:space="preserve">ESUK </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DIF</w:t>
            </w:r>
          </w:p>
        </w:tc>
        <w:tc>
          <w:tcPr>
            <w:tcW w:w="580"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TOT</w:t>
            </w:r>
          </w:p>
        </w:tc>
      </w:tr>
      <w:tr w:rsidR="00124FD8" w:rsidRPr="009C78E6" w:rsidTr="00BD13F6">
        <w:trPr>
          <w:trHeight w:val="285"/>
        </w:trPr>
        <w:tc>
          <w:tcPr>
            <w:tcW w:w="559"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 xml:space="preserve">Total pupils </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680</w:t>
            </w:r>
          </w:p>
        </w:tc>
        <w:tc>
          <w:tcPr>
            <w:tcW w:w="300"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33</w:t>
            </w:r>
          </w:p>
        </w:tc>
        <w:tc>
          <w:tcPr>
            <w:tcW w:w="317"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129</w:t>
            </w:r>
          </w:p>
        </w:tc>
        <w:tc>
          <w:tcPr>
            <w:tcW w:w="31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989</w:t>
            </w:r>
          </w:p>
        </w:tc>
        <w:tc>
          <w:tcPr>
            <w:tcW w:w="277"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258</w:t>
            </w:r>
          </w:p>
        </w:tc>
        <w:tc>
          <w:tcPr>
            <w:tcW w:w="309"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275</w:t>
            </w:r>
          </w:p>
        </w:tc>
        <w:tc>
          <w:tcPr>
            <w:tcW w:w="367"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1093</w:t>
            </w:r>
          </w:p>
        </w:tc>
        <w:tc>
          <w:tcPr>
            <w:tcW w:w="312"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1484</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201</w:t>
            </w:r>
          </w:p>
        </w:tc>
        <w:tc>
          <w:tcPr>
            <w:tcW w:w="283"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270</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426</w:t>
            </w:r>
          </w:p>
        </w:tc>
        <w:tc>
          <w:tcPr>
            <w:tcW w:w="319"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832</w:t>
            </w:r>
          </w:p>
        </w:tc>
        <w:tc>
          <w:tcPr>
            <w:tcW w:w="265"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492</w:t>
            </w:r>
          </w:p>
        </w:tc>
        <w:tc>
          <w:tcPr>
            <w:tcW w:w="580" w:type="pct"/>
            <w:shd w:val="clear" w:color="auto" w:fill="auto"/>
            <w:noWrap/>
            <w:vAlign w:val="bottom"/>
            <w:hideMark/>
          </w:tcPr>
          <w:p w:rsidR="00124FD8" w:rsidRPr="009C78E6" w:rsidRDefault="00124FD8" w:rsidP="00124FD8">
            <w:pPr>
              <w:rPr>
                <w:rFonts w:cs="Arial"/>
                <w:sz w:val="16"/>
                <w:szCs w:val="16"/>
                <w:lang w:val="en-GB"/>
              </w:rPr>
            </w:pPr>
            <w:r w:rsidRPr="009C78E6">
              <w:rPr>
                <w:rFonts w:cs="Arial"/>
                <w:sz w:val="16"/>
                <w:szCs w:val="16"/>
                <w:lang w:val="en-GB"/>
              </w:rPr>
              <w:t>7162</w:t>
            </w:r>
          </w:p>
        </w:tc>
      </w:tr>
    </w:tbl>
    <w:p w:rsidR="00124FD8" w:rsidRPr="00124FD8" w:rsidRDefault="00124FD8" w:rsidP="00124FD8">
      <w:pPr>
        <w:rPr>
          <w:rFonts w:cs="Arial"/>
          <w:szCs w:val="22"/>
          <w:lang w:val="en-GB"/>
        </w:rPr>
      </w:pPr>
      <w:r w:rsidRPr="00124FD8">
        <w:rPr>
          <w:rFonts w:cs="Arial"/>
          <w:szCs w:val="22"/>
          <w:lang w:val="en-GB"/>
        </w:rPr>
        <w:t>and the total population of the European Schools, namely 26993, the costs to be shared amongst all AES would amount to:</w:t>
      </w:r>
    </w:p>
    <w:p w:rsidR="00124FD8" w:rsidRPr="00124FD8" w:rsidRDefault="00124FD8" w:rsidP="00124FD8">
      <w:pPr>
        <w:rPr>
          <w:rFonts w:cs="Arial"/>
          <w:szCs w:val="22"/>
          <w:lang w:val="en-GB"/>
        </w:rPr>
      </w:pPr>
      <w:r w:rsidRPr="00124FD8">
        <w:rPr>
          <w:rFonts w:cs="Arial"/>
          <w:szCs w:val="22"/>
          <w:lang w:val="en-GB"/>
        </w:rPr>
        <w:t>8332603*1/4*13/26+8332603*3/4*7162/(26877+7162)=2356496</w:t>
      </w:r>
    </w:p>
    <w:p w:rsidR="00124FD8" w:rsidRPr="00124FD8" w:rsidRDefault="00124FD8" w:rsidP="00124FD8">
      <w:pPr>
        <w:rPr>
          <w:rFonts w:cs="Arial"/>
          <w:szCs w:val="22"/>
          <w:lang w:val="en-GB"/>
        </w:rPr>
      </w:pPr>
      <w:r w:rsidRPr="00124FD8">
        <w:rPr>
          <w:rFonts w:cs="Arial"/>
          <w:szCs w:val="22"/>
          <w:lang w:val="en-GB"/>
        </w:rPr>
        <w:t>This total of €2356496 should be apportioned amongst the AES, which would correspond to 17% of the budget of the OSG.</w:t>
      </w:r>
    </w:p>
    <w:p w:rsidR="00124FD8" w:rsidRPr="00124FD8" w:rsidRDefault="00124FD8" w:rsidP="007E4807">
      <w:pPr>
        <w:spacing w:after="240"/>
        <w:rPr>
          <w:rFonts w:cs="Arial"/>
          <w:szCs w:val="22"/>
          <w:lang w:val="en-GB"/>
        </w:rPr>
      </w:pPr>
      <w:r w:rsidRPr="00124FD8">
        <w:rPr>
          <w:rFonts w:cs="Arial"/>
          <w:szCs w:val="22"/>
          <w:lang w:val="en-GB"/>
        </w:rPr>
        <w:t xml:space="preserve">The preferred option is a breakdown </w:t>
      </w:r>
      <w:r w:rsidR="00DC3CC3">
        <w:rPr>
          <w:rFonts w:cs="Arial"/>
          <w:szCs w:val="22"/>
          <w:lang w:val="en-GB"/>
        </w:rPr>
        <w:t xml:space="preserve">partially </w:t>
      </w:r>
      <w:r w:rsidRPr="00124FD8">
        <w:rPr>
          <w:rFonts w:cs="Arial"/>
          <w:szCs w:val="22"/>
          <w:lang w:val="en-GB"/>
        </w:rPr>
        <w:t>(1/5) proportional to the total number of schools (</w:t>
      </w:r>
      <w:r w:rsidR="009C78E6" w:rsidRPr="003B01E7">
        <w:rPr>
          <w:rFonts w:cs="Arial"/>
          <w:szCs w:val="22"/>
          <w:lang w:val="en-GB"/>
        </w:rPr>
        <w:t>considering that some work has to be done ‘irrespective’, so to speak, of the number of pupils</w:t>
      </w:r>
      <w:r w:rsidR="009C78E6">
        <w:rPr>
          <w:rFonts w:cs="Arial"/>
          <w:szCs w:val="22"/>
          <w:lang w:val="en-GB"/>
        </w:rPr>
        <w:t>)</w:t>
      </w:r>
      <w:r w:rsidRPr="00124FD8">
        <w:rPr>
          <w:rFonts w:cs="Arial"/>
          <w:szCs w:val="22"/>
          <w:lang w:val="en-GB"/>
        </w:rPr>
        <w:t xml:space="preserve">, </w:t>
      </w:r>
      <w:r w:rsidR="00DC3CC3">
        <w:rPr>
          <w:rFonts w:cs="Arial"/>
          <w:szCs w:val="22"/>
          <w:lang w:val="en-GB"/>
        </w:rPr>
        <w:t xml:space="preserve">partially </w:t>
      </w:r>
      <w:r w:rsidRPr="00124FD8">
        <w:rPr>
          <w:rFonts w:cs="Arial"/>
          <w:szCs w:val="22"/>
          <w:lang w:val="en-GB"/>
        </w:rPr>
        <w:t xml:space="preserve">(2/5) to the total number of pupils and </w:t>
      </w:r>
      <w:r w:rsidR="00DC3CC3">
        <w:rPr>
          <w:rFonts w:cs="Arial"/>
          <w:szCs w:val="22"/>
          <w:lang w:val="en-GB"/>
        </w:rPr>
        <w:t xml:space="preserve">partially </w:t>
      </w:r>
      <w:r w:rsidRPr="00124FD8">
        <w:rPr>
          <w:rFonts w:cs="Arial"/>
          <w:szCs w:val="22"/>
          <w:lang w:val="en-GB"/>
        </w:rPr>
        <w:t>(2/5) to the pupils enrolled in the last two years.</w:t>
      </w:r>
    </w:p>
    <w:p w:rsidR="00124FD8" w:rsidRPr="00124FD8" w:rsidRDefault="00124FD8" w:rsidP="00124FD8">
      <w:pPr>
        <w:rPr>
          <w:rFonts w:cs="Arial"/>
          <w:szCs w:val="22"/>
          <w:lang w:val="en-GB"/>
        </w:rPr>
      </w:pPr>
      <w:r w:rsidRPr="00124FD8">
        <w:rPr>
          <w:rFonts w:cs="Arial"/>
          <w:szCs w:val="22"/>
          <w:lang w:val="en-GB"/>
        </w:rPr>
        <w:object w:dxaOrig="16190" w:dyaOrig="3487">
          <v:shape id="_x0000_i1026" type="#_x0000_t75" style="width:462.75pt;height:100.5pt" o:ole="">
            <v:imagedata r:id="rId10" o:title=""/>
          </v:shape>
          <o:OLEObject Type="Embed" ProgID="Excel.Sheet.12" ShapeID="_x0000_i1026" DrawAspect="Content" ObjectID="_1584447019" r:id="rId11"/>
        </w:object>
      </w:r>
    </w:p>
    <w:p w:rsidR="00124FD8" w:rsidRPr="00124FD8" w:rsidRDefault="00124FD8" w:rsidP="00124FD8">
      <w:pPr>
        <w:rPr>
          <w:rFonts w:cs="Arial"/>
          <w:szCs w:val="22"/>
          <w:lang w:val="en-GB"/>
        </w:rPr>
      </w:pPr>
      <w:r w:rsidRPr="00124FD8">
        <w:rPr>
          <w:rFonts w:cs="Arial"/>
          <w:szCs w:val="22"/>
          <w:lang w:val="en-GB"/>
        </w:rPr>
        <w:t xml:space="preserve">Figures for pupils in years S6 and S7 are the ones received from the AES. </w:t>
      </w:r>
    </w:p>
    <w:p w:rsidR="00124FD8" w:rsidRDefault="00124FD8" w:rsidP="00124FD8">
      <w:pPr>
        <w:rPr>
          <w:rFonts w:cs="Arial"/>
          <w:szCs w:val="22"/>
          <w:lang w:val="en-GB"/>
        </w:rPr>
      </w:pPr>
      <w:r w:rsidRPr="00124FD8">
        <w:rPr>
          <w:rFonts w:cs="Arial"/>
          <w:szCs w:val="22"/>
          <w:lang w:val="en-GB"/>
        </w:rPr>
        <w:t>The calculations have been produced merely to provide a sample illustration of the proposed method for apportioning the costs.</w:t>
      </w:r>
      <w:r>
        <w:rPr>
          <w:rFonts w:cs="Arial"/>
          <w:szCs w:val="22"/>
          <w:lang w:val="en-GB"/>
        </w:rPr>
        <w:t xml:space="preserve"> Different criteria could of course</w:t>
      </w:r>
      <w:r w:rsidR="00D43271">
        <w:rPr>
          <w:rFonts w:cs="Arial"/>
          <w:szCs w:val="22"/>
          <w:lang w:val="en-GB"/>
        </w:rPr>
        <w:t xml:space="preserve"> be followed</w:t>
      </w:r>
      <w:r>
        <w:rPr>
          <w:rFonts w:cs="Arial"/>
          <w:szCs w:val="22"/>
          <w:lang w:val="en-GB"/>
        </w:rPr>
        <w:t>, depending on the discussions and decisions of the Board of Governors.</w:t>
      </w:r>
    </w:p>
    <w:p w:rsidR="00124FD8" w:rsidRDefault="00124FD8" w:rsidP="00D43271">
      <w:pPr>
        <w:spacing w:after="360"/>
        <w:rPr>
          <w:rFonts w:cs="Arial"/>
          <w:szCs w:val="22"/>
          <w:lang w:val="en-GB"/>
        </w:rPr>
      </w:pPr>
      <w:r>
        <w:rPr>
          <w:rFonts w:cs="Arial"/>
          <w:szCs w:val="22"/>
          <w:lang w:val="en-GB"/>
        </w:rPr>
        <w:t xml:space="preserve">Following the discussions engaged in by the Budgetary Committee, alternative methods of apportioning the costs have been added in the </w:t>
      </w:r>
      <w:r>
        <w:rPr>
          <w:rFonts w:cs="Arial"/>
          <w:b/>
          <w:szCs w:val="22"/>
          <w:lang w:val="en-GB"/>
        </w:rPr>
        <w:t>annex</w:t>
      </w:r>
      <w:r>
        <w:rPr>
          <w:rFonts w:cs="Arial"/>
          <w:szCs w:val="22"/>
          <w:lang w:val="en-GB"/>
        </w:rPr>
        <w:t xml:space="preserve"> hereto.</w:t>
      </w:r>
    </w:p>
    <w:p w:rsidR="00124FD8" w:rsidRPr="00124FD8" w:rsidRDefault="00124FD8" w:rsidP="00124FD8">
      <w:pPr>
        <w:rPr>
          <w:rFonts w:cs="Arial"/>
          <w:b/>
          <w:i/>
          <w:szCs w:val="22"/>
          <w:lang w:val="en-GB"/>
        </w:rPr>
      </w:pPr>
      <w:r w:rsidRPr="00124FD8">
        <w:rPr>
          <w:rFonts w:cs="Arial"/>
          <w:b/>
          <w:i/>
          <w:szCs w:val="22"/>
          <w:lang w:val="en-GB"/>
        </w:rPr>
        <w:t>Implementation</w:t>
      </w:r>
    </w:p>
    <w:p w:rsidR="00124FD8" w:rsidRPr="00124FD8" w:rsidRDefault="00124FD8" w:rsidP="00124FD8">
      <w:pPr>
        <w:rPr>
          <w:rFonts w:cs="Arial"/>
          <w:szCs w:val="22"/>
          <w:lang w:val="en-GB"/>
        </w:rPr>
      </w:pPr>
      <w:r w:rsidRPr="00124FD8">
        <w:rPr>
          <w:rFonts w:cs="Arial"/>
          <w:szCs w:val="22"/>
          <w:lang w:val="en-GB"/>
        </w:rPr>
        <w:t>As regards a possible implementation process, bearing in mind that there is a three-year life cycle for the agreement, it would be possible to start applying the new charges gradually, so as to give the different Member States time to adapt to the new scenario.</w:t>
      </w:r>
    </w:p>
    <w:p w:rsidR="00124FD8" w:rsidRPr="00124FD8" w:rsidRDefault="00124FD8" w:rsidP="00124FD8">
      <w:pPr>
        <w:rPr>
          <w:rFonts w:cs="Arial"/>
          <w:szCs w:val="22"/>
          <w:lang w:val="en-GB"/>
        </w:rPr>
      </w:pPr>
      <w:r w:rsidRPr="00124FD8">
        <w:rPr>
          <w:rFonts w:cs="Arial"/>
          <w:szCs w:val="22"/>
          <w:lang w:val="en-GB"/>
        </w:rPr>
        <w:t>A first scenario might use the first three years after a decision taken by the Board of Governors to amend the content of the agreements signed with all existing and future AES.</w:t>
      </w:r>
    </w:p>
    <w:p w:rsidR="00124FD8" w:rsidRPr="00124FD8" w:rsidRDefault="00124FD8" w:rsidP="00124FD8">
      <w:pPr>
        <w:rPr>
          <w:rFonts w:cs="Arial"/>
          <w:szCs w:val="22"/>
          <w:lang w:val="en-GB"/>
        </w:rPr>
      </w:pPr>
      <w:r w:rsidRPr="00124FD8">
        <w:rPr>
          <w:rFonts w:cs="Arial"/>
          <w:szCs w:val="22"/>
          <w:lang w:val="en-GB"/>
        </w:rPr>
        <w:t>After those three years, there might be two further years of gradual implementation.</w:t>
      </w:r>
    </w:p>
    <w:p w:rsidR="00124FD8" w:rsidRPr="00124FD8" w:rsidRDefault="00124FD8" w:rsidP="00124FD8">
      <w:pPr>
        <w:numPr>
          <w:ilvl w:val="0"/>
          <w:numId w:val="38"/>
        </w:numPr>
        <w:rPr>
          <w:rFonts w:cs="Arial"/>
          <w:szCs w:val="22"/>
          <w:lang w:val="en-GB"/>
        </w:rPr>
      </w:pPr>
      <w:r w:rsidRPr="00124FD8">
        <w:rPr>
          <w:rFonts w:cs="Arial"/>
          <w:szCs w:val="22"/>
          <w:lang w:val="en-GB"/>
        </w:rPr>
        <w:t xml:space="preserve">In the first three years after the decision of the Board of Governors, all updated agreements would be signed, but the present arrangement would still be in use. </w:t>
      </w:r>
    </w:p>
    <w:p w:rsidR="00124FD8" w:rsidRPr="00124FD8" w:rsidRDefault="00124FD8" w:rsidP="00124FD8">
      <w:pPr>
        <w:numPr>
          <w:ilvl w:val="0"/>
          <w:numId w:val="38"/>
        </w:numPr>
        <w:rPr>
          <w:rFonts w:cs="Arial"/>
          <w:szCs w:val="22"/>
          <w:lang w:val="en-GB"/>
        </w:rPr>
      </w:pPr>
      <w:r w:rsidRPr="00124FD8">
        <w:rPr>
          <w:rFonts w:cs="Arial"/>
          <w:szCs w:val="22"/>
          <w:lang w:val="en-GB"/>
        </w:rPr>
        <w:t>In the fourth year 1/3 of the contribution would be requested.</w:t>
      </w:r>
    </w:p>
    <w:p w:rsidR="00124FD8" w:rsidRPr="00124FD8" w:rsidRDefault="00124FD8" w:rsidP="00124FD8">
      <w:pPr>
        <w:numPr>
          <w:ilvl w:val="0"/>
          <w:numId w:val="38"/>
        </w:numPr>
        <w:rPr>
          <w:rFonts w:cs="Arial"/>
          <w:szCs w:val="22"/>
          <w:lang w:val="en-GB"/>
        </w:rPr>
      </w:pPr>
      <w:r w:rsidRPr="00124FD8">
        <w:rPr>
          <w:rFonts w:cs="Arial"/>
          <w:szCs w:val="22"/>
          <w:lang w:val="en-GB"/>
        </w:rPr>
        <w:t>In the fifth year 2/3 of the contribution would be requested.</w:t>
      </w:r>
    </w:p>
    <w:p w:rsidR="00124FD8" w:rsidRPr="00124FD8" w:rsidRDefault="00124FD8" w:rsidP="00124FD8">
      <w:pPr>
        <w:numPr>
          <w:ilvl w:val="0"/>
          <w:numId w:val="38"/>
        </w:numPr>
        <w:rPr>
          <w:rFonts w:cs="Arial"/>
          <w:szCs w:val="22"/>
          <w:lang w:val="en-GB"/>
        </w:rPr>
      </w:pPr>
      <w:r w:rsidRPr="00124FD8">
        <w:rPr>
          <w:rFonts w:cs="Arial"/>
          <w:szCs w:val="22"/>
          <w:lang w:val="en-GB"/>
        </w:rPr>
        <w:t>From the sixth year onwards, the full contribution would be requested of all existing and future AES.</w:t>
      </w:r>
    </w:p>
    <w:p w:rsidR="00124FD8" w:rsidRPr="00124FD8" w:rsidRDefault="00124FD8" w:rsidP="00124FD8">
      <w:pPr>
        <w:rPr>
          <w:rFonts w:cs="Arial"/>
          <w:szCs w:val="22"/>
          <w:lang w:val="en-GB"/>
        </w:rPr>
      </w:pPr>
      <w:r w:rsidRPr="00124FD8">
        <w:rPr>
          <w:rFonts w:cs="Arial"/>
          <w:szCs w:val="22"/>
          <w:lang w:val="en-GB"/>
        </w:rPr>
        <w:t>The contribution would need to be recalculated every year.</w:t>
      </w:r>
    </w:p>
    <w:p w:rsidR="00124FD8" w:rsidRPr="00124FD8" w:rsidRDefault="00124FD8" w:rsidP="00124FD8">
      <w:pPr>
        <w:rPr>
          <w:rFonts w:cs="Arial"/>
          <w:szCs w:val="22"/>
          <w:lang w:val="en-GB"/>
        </w:rPr>
      </w:pPr>
      <w:r w:rsidRPr="00124FD8">
        <w:rPr>
          <w:rFonts w:cs="Arial"/>
          <w:szCs w:val="22"/>
          <w:lang w:val="en-GB"/>
        </w:rPr>
        <w:t>It should be made clear that from the fourth year onwards, payment of the contribution would lead to waiving of any other costs borne by AES: contribution for the Baccala</w:t>
      </w:r>
      <w:r w:rsidR="007E4807">
        <w:rPr>
          <w:rFonts w:cs="Arial"/>
          <w:szCs w:val="22"/>
          <w:lang w:val="en-GB"/>
        </w:rPr>
        <w:t>ureate exams, reimbursement of inspectors’ mission expenses</w:t>
      </w:r>
      <w:r w:rsidRPr="00124FD8">
        <w:rPr>
          <w:rFonts w:cs="Arial"/>
          <w:szCs w:val="22"/>
          <w:lang w:val="en-GB"/>
        </w:rPr>
        <w:t>, etc. The rationale being that the contribution already covers those costs and would fully cover the extra work generated for the Office.</w:t>
      </w:r>
    </w:p>
    <w:p w:rsidR="00394E6B" w:rsidRPr="00870D72" w:rsidRDefault="00394E6B" w:rsidP="00F90203">
      <w:pPr>
        <w:tabs>
          <w:tab w:val="left" w:pos="360"/>
          <w:tab w:val="left" w:pos="1440"/>
          <w:tab w:val="left" w:pos="4320"/>
          <w:tab w:val="left" w:pos="6652"/>
          <w:tab w:val="left" w:pos="360"/>
          <w:tab w:val="left" w:pos="1440"/>
          <w:tab w:val="left" w:pos="360"/>
          <w:tab w:val="left" w:pos="1440"/>
          <w:tab w:val="left" w:pos="360"/>
          <w:tab w:val="left" w:pos="1440"/>
        </w:tabs>
        <w:rPr>
          <w:color w:val="000000"/>
          <w:lang w:val="en-GB"/>
        </w:rPr>
      </w:pPr>
    </w:p>
    <w:p w:rsidR="008200EE" w:rsidRPr="00870D72" w:rsidRDefault="008200EE" w:rsidP="008200EE">
      <w:pPr>
        <w:rPr>
          <w:b/>
          <w:lang w:val="en-GB"/>
        </w:rPr>
      </w:pPr>
      <w:r w:rsidRPr="00870D72">
        <w:rPr>
          <w:b/>
          <w:lang w:val="en-GB"/>
        </w:rPr>
        <w:t xml:space="preserve">PROPOSAL </w:t>
      </w:r>
    </w:p>
    <w:p w:rsidR="00763D78" w:rsidRPr="00870D72" w:rsidRDefault="008200EE" w:rsidP="008200EE">
      <w:pPr>
        <w:rPr>
          <w:lang w:val="en-GB"/>
        </w:rPr>
      </w:pPr>
      <w:r w:rsidRPr="00870D72">
        <w:rPr>
          <w:lang w:val="en-GB"/>
        </w:rPr>
        <w:t>The Board</w:t>
      </w:r>
      <w:r w:rsidR="00394E6B" w:rsidRPr="00870D72">
        <w:rPr>
          <w:lang w:val="en-GB"/>
        </w:rPr>
        <w:t xml:space="preserve"> of Governors is invited to</w:t>
      </w:r>
      <w:r w:rsidR="00763D78" w:rsidRPr="00870D72">
        <w:rPr>
          <w:lang w:val="en-GB"/>
        </w:rPr>
        <w:t>:</w:t>
      </w:r>
    </w:p>
    <w:p w:rsidR="00763D78" w:rsidRPr="00870D72" w:rsidRDefault="00394E6B" w:rsidP="0000048D">
      <w:pPr>
        <w:pStyle w:val="ListParagraph"/>
        <w:numPr>
          <w:ilvl w:val="0"/>
          <w:numId w:val="39"/>
        </w:numPr>
        <w:rPr>
          <w:lang w:val="en-GB"/>
        </w:rPr>
      </w:pPr>
      <w:r w:rsidRPr="00870D72">
        <w:rPr>
          <w:lang w:val="en-GB"/>
        </w:rPr>
        <w:t>express</w:t>
      </w:r>
      <w:r w:rsidR="008200EE" w:rsidRPr="00870D72">
        <w:rPr>
          <w:lang w:val="en-GB"/>
        </w:rPr>
        <w:t xml:space="preserve"> an opinion on this report from</w:t>
      </w:r>
      <w:r w:rsidRPr="00870D72">
        <w:rPr>
          <w:lang w:val="en-GB"/>
        </w:rPr>
        <w:t xml:space="preserve"> the ‘Accredited European Schools’</w:t>
      </w:r>
      <w:r w:rsidR="008200EE" w:rsidRPr="00870D72">
        <w:rPr>
          <w:lang w:val="en-GB"/>
        </w:rPr>
        <w:t xml:space="preserve"> Working Group</w:t>
      </w:r>
      <w:r w:rsidR="00DC5993" w:rsidRPr="00870D72">
        <w:rPr>
          <w:lang w:val="en-GB"/>
        </w:rPr>
        <w:t xml:space="preserve">, so </w:t>
      </w:r>
      <w:r w:rsidRPr="00870D72">
        <w:rPr>
          <w:lang w:val="en-GB"/>
        </w:rPr>
        <w:t xml:space="preserve">as </w:t>
      </w:r>
      <w:r w:rsidR="00DC5993" w:rsidRPr="00870D72">
        <w:rPr>
          <w:lang w:val="en-GB"/>
        </w:rPr>
        <w:t>to guide the future work</w:t>
      </w:r>
    </w:p>
    <w:p w:rsidR="008200EE" w:rsidRPr="00870D72" w:rsidRDefault="00124FD8" w:rsidP="0000048D">
      <w:pPr>
        <w:pStyle w:val="ListParagraph"/>
        <w:numPr>
          <w:ilvl w:val="0"/>
          <w:numId w:val="39"/>
        </w:numPr>
        <w:rPr>
          <w:rFonts w:ascii="Calibri" w:hAnsi="Calibri"/>
          <w:lang w:val="en-GB"/>
        </w:rPr>
      </w:pPr>
      <w:r>
        <w:rPr>
          <w:lang w:val="en-GB"/>
        </w:rPr>
        <w:t>e</w:t>
      </w:r>
      <w:r w:rsidR="00763D78" w:rsidRPr="00870D72">
        <w:rPr>
          <w:lang w:val="en-GB"/>
        </w:rPr>
        <w:t xml:space="preserve">xtend the mandate given to the Working Group, so </w:t>
      </w:r>
      <w:r w:rsidR="00D43271">
        <w:rPr>
          <w:lang w:val="en-GB"/>
        </w:rPr>
        <w:t xml:space="preserve">as </w:t>
      </w:r>
      <w:r w:rsidR="00763D78" w:rsidRPr="00870D72">
        <w:rPr>
          <w:lang w:val="en-GB"/>
        </w:rPr>
        <w:t>to complete the work along the lines indicated</w:t>
      </w:r>
      <w:r w:rsidR="00D43271">
        <w:rPr>
          <w:lang w:val="en-GB"/>
        </w:rPr>
        <w:t>.</w:t>
      </w:r>
    </w:p>
    <w:p w:rsidR="008200EE" w:rsidRPr="00870D72" w:rsidRDefault="008200EE" w:rsidP="008200EE">
      <w:pPr>
        <w:rPr>
          <w:sz w:val="24"/>
          <w:szCs w:val="24"/>
          <w:lang w:val="en-GB"/>
        </w:rPr>
      </w:pPr>
    </w:p>
    <w:p w:rsidR="00CE3528" w:rsidRPr="00870D72" w:rsidRDefault="00CE3528">
      <w:pPr>
        <w:spacing w:before="0" w:after="0"/>
        <w:jc w:val="left"/>
        <w:rPr>
          <w:sz w:val="24"/>
          <w:szCs w:val="24"/>
          <w:lang w:val="en-GB"/>
        </w:rPr>
      </w:pPr>
      <w:r w:rsidRPr="00870D72">
        <w:rPr>
          <w:sz w:val="24"/>
          <w:szCs w:val="24"/>
          <w:lang w:val="en-GB"/>
        </w:rPr>
        <w:br w:type="page"/>
      </w:r>
    </w:p>
    <w:p w:rsidR="00CE3528" w:rsidRPr="00870D72" w:rsidRDefault="00CE3528" w:rsidP="00CE3528">
      <w:pPr>
        <w:spacing w:before="0" w:after="160" w:line="259" w:lineRule="auto"/>
        <w:jc w:val="left"/>
        <w:rPr>
          <w:rFonts w:asciiTheme="minorHAnsi" w:eastAsiaTheme="minorHAnsi" w:hAnsiTheme="minorHAnsi" w:cstheme="minorBidi"/>
          <w:b/>
          <w:szCs w:val="22"/>
          <w:u w:val="single"/>
          <w:lang w:val="en-GB" w:eastAsia="en-US"/>
        </w:rPr>
      </w:pPr>
      <w:r w:rsidRPr="00870D72">
        <w:rPr>
          <w:rFonts w:asciiTheme="minorHAnsi" w:eastAsiaTheme="minorHAnsi" w:hAnsiTheme="minorHAnsi" w:cstheme="minorBidi"/>
          <w:b/>
          <w:szCs w:val="22"/>
          <w:u w:val="single"/>
          <w:lang w:val="en-GB" w:eastAsia="en-US"/>
        </w:rPr>
        <w:t xml:space="preserve">ANNEX </w:t>
      </w:r>
    </w:p>
    <w:p w:rsidR="00CE3528" w:rsidRPr="00870D72" w:rsidRDefault="00DC3CC3" w:rsidP="00CE3528">
      <w:pPr>
        <w:spacing w:before="0" w:after="160" w:line="259" w:lineRule="auto"/>
        <w:jc w:val="left"/>
        <w:rPr>
          <w:rFonts w:asciiTheme="minorHAnsi" w:eastAsiaTheme="minorHAnsi" w:hAnsiTheme="minorHAnsi" w:cstheme="minorBidi"/>
          <w:b/>
          <w:szCs w:val="22"/>
          <w:lang w:val="en-GB" w:eastAsia="en-US"/>
        </w:rPr>
      </w:pPr>
      <w:r>
        <w:rPr>
          <w:rFonts w:asciiTheme="minorHAnsi" w:eastAsiaTheme="minorHAnsi" w:hAnsiTheme="minorHAnsi" w:cstheme="minorBidi"/>
          <w:b/>
          <w:szCs w:val="22"/>
          <w:lang w:val="en-GB" w:eastAsia="en-US"/>
        </w:rPr>
        <w:t xml:space="preserve">Alternative apportionment of costs </w:t>
      </w:r>
      <w:r w:rsidR="00CE3528" w:rsidRPr="00870D72">
        <w:rPr>
          <w:rFonts w:asciiTheme="minorHAnsi" w:eastAsiaTheme="minorHAnsi" w:hAnsiTheme="minorHAnsi" w:cstheme="minorBidi"/>
          <w:b/>
          <w:szCs w:val="22"/>
          <w:lang w:val="en-GB" w:eastAsia="en-US"/>
        </w:rPr>
        <w:t>among</w:t>
      </w:r>
      <w:r>
        <w:rPr>
          <w:rFonts w:asciiTheme="minorHAnsi" w:eastAsiaTheme="minorHAnsi" w:hAnsiTheme="minorHAnsi" w:cstheme="minorBidi"/>
          <w:b/>
          <w:szCs w:val="22"/>
          <w:lang w:val="en-GB" w:eastAsia="en-US"/>
        </w:rPr>
        <w:t>st AES</w:t>
      </w:r>
    </w:p>
    <w:p w:rsidR="00CE3528" w:rsidRPr="00870D72" w:rsidRDefault="00DC3CC3" w:rsidP="00CE3528">
      <w:pPr>
        <w:spacing w:before="0" w:after="160" w:line="259" w:lineRule="auto"/>
        <w:jc w:val="left"/>
        <w:rPr>
          <w:rFonts w:asciiTheme="minorHAnsi" w:eastAsiaTheme="minorHAnsi" w:hAnsiTheme="minorHAnsi" w:cstheme="minorBidi"/>
          <w:szCs w:val="22"/>
          <w:lang w:val="en-GB" w:eastAsia="en-US"/>
        </w:rPr>
      </w:pPr>
      <w:r>
        <w:rPr>
          <w:rFonts w:asciiTheme="minorHAnsi" w:eastAsiaTheme="minorHAnsi" w:hAnsiTheme="minorHAnsi" w:cstheme="minorBidi"/>
          <w:szCs w:val="22"/>
          <w:lang w:val="en-GB" w:eastAsia="en-US"/>
        </w:rPr>
        <w:t>(P</w:t>
      </w:r>
      <w:r w:rsidR="00CE3528" w:rsidRPr="00870D72">
        <w:rPr>
          <w:rFonts w:asciiTheme="minorHAnsi" w:eastAsiaTheme="minorHAnsi" w:hAnsiTheme="minorHAnsi" w:cstheme="minorBidi"/>
          <w:szCs w:val="22"/>
          <w:lang w:val="en-GB" w:eastAsia="en-US"/>
        </w:rPr>
        <w:t>artial</w:t>
      </w:r>
      <w:r>
        <w:rPr>
          <w:rFonts w:asciiTheme="minorHAnsi" w:eastAsiaTheme="minorHAnsi" w:hAnsiTheme="minorHAnsi" w:cstheme="minorBidi"/>
          <w:szCs w:val="22"/>
          <w:lang w:val="en-GB" w:eastAsia="en-US"/>
        </w:rPr>
        <w:t xml:space="preserve"> follow-up on</w:t>
      </w:r>
      <w:r w:rsidR="00CE3528" w:rsidRPr="00870D72">
        <w:rPr>
          <w:rFonts w:asciiTheme="minorHAnsi" w:eastAsiaTheme="minorHAnsi" w:hAnsiTheme="minorHAnsi" w:cstheme="minorBidi"/>
          <w:szCs w:val="22"/>
          <w:lang w:val="en-GB" w:eastAsia="en-US"/>
        </w:rPr>
        <w:t xml:space="preserve"> the Budgetary Committee discussions)</w:t>
      </w:r>
    </w:p>
    <w:p w:rsidR="00CE3528" w:rsidRPr="00870D72" w:rsidRDefault="00CE3528" w:rsidP="00CE3528">
      <w:pPr>
        <w:spacing w:before="0" w:after="160" w:line="259" w:lineRule="auto"/>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 xml:space="preserve">First scenario: </w:t>
      </w:r>
    </w:p>
    <w:p w:rsidR="00CE3528" w:rsidRPr="00870D72" w:rsidRDefault="00CE3528" w:rsidP="00CE3528">
      <w:pPr>
        <w:numPr>
          <w:ilvl w:val="0"/>
          <w:numId w:val="40"/>
        </w:numPr>
        <w:spacing w:before="0" w:after="160" w:line="259" w:lineRule="auto"/>
        <w:contextualSpacing/>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1/5 in proportion to the number of schools</w:t>
      </w:r>
    </w:p>
    <w:p w:rsidR="00CE3528" w:rsidRPr="00870D72" w:rsidRDefault="00CE3528" w:rsidP="00CE3528">
      <w:pPr>
        <w:numPr>
          <w:ilvl w:val="0"/>
          <w:numId w:val="40"/>
        </w:numPr>
        <w:spacing w:before="0" w:after="160" w:line="259" w:lineRule="auto"/>
        <w:contextualSpacing/>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2/5 in proportion to the overall population</w:t>
      </w:r>
    </w:p>
    <w:p w:rsidR="00CE3528" w:rsidRPr="00870D72" w:rsidRDefault="00CE3528" w:rsidP="00CE3528">
      <w:pPr>
        <w:numPr>
          <w:ilvl w:val="0"/>
          <w:numId w:val="40"/>
        </w:numPr>
        <w:spacing w:before="0" w:after="160" w:line="259" w:lineRule="auto"/>
        <w:contextualSpacing/>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2/5 in proportion to the number of pupils in years S6-7</w:t>
      </w:r>
    </w:p>
    <w:p w:rsidR="00CE3528" w:rsidRPr="00870D72" w:rsidRDefault="00DC3CC3" w:rsidP="00CE3528">
      <w:pPr>
        <w:spacing w:before="0" w:after="160" w:line="259" w:lineRule="auto"/>
        <w:rPr>
          <w:rFonts w:ascii="Calibri" w:hAnsi="Calibri" w:cs="Calibri"/>
          <w:color w:val="000000"/>
          <w:szCs w:val="22"/>
          <w:lang w:val="en-GB" w:eastAsia="en-GB"/>
        </w:rPr>
      </w:pPr>
      <w:r>
        <w:rPr>
          <w:rFonts w:ascii="Calibri" w:hAnsi="Calibri" w:cs="Calibri"/>
          <w:color w:val="000000"/>
          <w:szCs w:val="22"/>
          <w:lang w:val="en-GB" w:eastAsia="en-GB"/>
        </w:rPr>
        <w:t>Apportionment partially</w:t>
      </w:r>
      <w:r w:rsidR="00CE3528" w:rsidRPr="00870D72">
        <w:rPr>
          <w:rFonts w:ascii="Calibri" w:hAnsi="Calibri" w:cs="Calibri"/>
          <w:color w:val="000000"/>
          <w:szCs w:val="22"/>
          <w:lang w:val="en-GB" w:eastAsia="en-GB"/>
        </w:rPr>
        <w:t xml:space="preserve"> (1/5) proportional to </w:t>
      </w:r>
      <w:r>
        <w:rPr>
          <w:rFonts w:ascii="Calibri" w:hAnsi="Calibri" w:cs="Calibri"/>
          <w:color w:val="000000"/>
          <w:szCs w:val="22"/>
          <w:lang w:val="en-GB" w:eastAsia="en-GB"/>
        </w:rPr>
        <w:t>the total number of schools (considering that some work has to be done ‘irrespective’, so to speak, of the number of pupils), partially</w:t>
      </w:r>
      <w:r w:rsidR="00CE3528" w:rsidRPr="00870D72">
        <w:rPr>
          <w:rFonts w:ascii="Calibri" w:hAnsi="Calibri" w:cs="Calibri"/>
          <w:color w:val="000000"/>
          <w:szCs w:val="22"/>
          <w:lang w:val="en-GB" w:eastAsia="en-GB"/>
        </w:rPr>
        <w:t xml:space="preserve"> (2/5) to the t</w:t>
      </w:r>
      <w:r>
        <w:rPr>
          <w:rFonts w:ascii="Calibri" w:hAnsi="Calibri" w:cs="Calibri"/>
          <w:color w:val="000000"/>
          <w:szCs w:val="22"/>
          <w:lang w:val="en-GB" w:eastAsia="en-GB"/>
        </w:rPr>
        <w:t>otal number of pupils and partially</w:t>
      </w:r>
      <w:r w:rsidR="00CE3528" w:rsidRPr="00870D72">
        <w:rPr>
          <w:rFonts w:ascii="Calibri" w:hAnsi="Calibri" w:cs="Calibri"/>
          <w:color w:val="000000"/>
          <w:szCs w:val="22"/>
          <w:lang w:val="en-GB" w:eastAsia="en-GB"/>
        </w:rPr>
        <w:t xml:space="preserve"> (2/5) to the pupils en</w:t>
      </w:r>
      <w:r>
        <w:rPr>
          <w:rFonts w:ascii="Calibri" w:hAnsi="Calibri" w:cs="Calibri"/>
          <w:color w:val="000000"/>
          <w:szCs w:val="22"/>
          <w:lang w:val="en-GB" w:eastAsia="en-GB"/>
        </w:rPr>
        <w:t>rolled in</w:t>
      </w:r>
      <w:r w:rsidR="00D43271">
        <w:rPr>
          <w:rFonts w:ascii="Calibri" w:hAnsi="Calibri" w:cs="Calibri"/>
          <w:color w:val="000000"/>
          <w:szCs w:val="22"/>
          <w:lang w:val="en-GB" w:eastAsia="en-GB"/>
        </w:rPr>
        <w:t xml:space="preserve"> the last two years was the preferred option</w:t>
      </w:r>
      <w:r>
        <w:rPr>
          <w:rFonts w:ascii="Calibri" w:hAnsi="Calibri" w:cs="Calibri"/>
          <w:color w:val="000000"/>
          <w:szCs w:val="22"/>
          <w:lang w:val="en-GB" w:eastAsia="en-GB"/>
        </w:rPr>
        <w:t xml:space="preserve"> in </w:t>
      </w:r>
      <w:r w:rsidR="007E4807">
        <w:rPr>
          <w:rFonts w:ascii="Calibri" w:hAnsi="Calibri" w:cs="Calibri"/>
          <w:color w:val="000000"/>
          <w:szCs w:val="22"/>
          <w:lang w:val="en-GB" w:eastAsia="en-GB"/>
        </w:rPr>
        <w:t>the W</w:t>
      </w:r>
      <w:r w:rsidR="00CE3528" w:rsidRPr="00870D72">
        <w:rPr>
          <w:rFonts w:ascii="Calibri" w:hAnsi="Calibri" w:cs="Calibri"/>
          <w:color w:val="000000"/>
          <w:szCs w:val="22"/>
          <w:lang w:val="en-GB" w:eastAsia="en-GB"/>
        </w:rPr>
        <w:t xml:space="preserve">orking </w:t>
      </w:r>
      <w:r w:rsidR="007E4807">
        <w:rPr>
          <w:rFonts w:ascii="Calibri" w:hAnsi="Calibri" w:cs="Calibri"/>
          <w:color w:val="000000"/>
          <w:szCs w:val="22"/>
          <w:lang w:val="en-GB" w:eastAsia="en-GB"/>
        </w:rPr>
        <w:t>G</w:t>
      </w:r>
      <w:r w:rsidR="003B01E7" w:rsidRPr="00870D72">
        <w:rPr>
          <w:rFonts w:ascii="Calibri" w:hAnsi="Calibri" w:cs="Calibri"/>
          <w:color w:val="000000"/>
          <w:szCs w:val="22"/>
          <w:lang w:val="en-GB" w:eastAsia="en-GB"/>
        </w:rPr>
        <w:t>roup</w:t>
      </w:r>
      <w:r w:rsidR="003B01E7">
        <w:rPr>
          <w:rFonts w:ascii="Calibri" w:hAnsi="Calibri" w:cs="Calibri"/>
          <w:color w:val="000000"/>
          <w:szCs w:val="22"/>
          <w:lang w:val="en-GB" w:eastAsia="en-GB"/>
        </w:rPr>
        <w:t>’s</w:t>
      </w:r>
      <w:r w:rsidR="00CE3528" w:rsidRPr="00870D72">
        <w:rPr>
          <w:rFonts w:ascii="Calibri" w:hAnsi="Calibri" w:cs="Calibri"/>
          <w:color w:val="000000"/>
          <w:szCs w:val="22"/>
          <w:lang w:val="en-GB" w:eastAsia="en-GB"/>
        </w:rPr>
        <w:t xml:space="preserve"> discussions:</w:t>
      </w:r>
    </w:p>
    <w:p w:rsidR="00D43271" w:rsidRDefault="00CE3528" w:rsidP="00D43271">
      <w:pPr>
        <w:spacing w:before="0" w:after="240" w:line="259" w:lineRule="auto"/>
        <w:rPr>
          <w:rFonts w:ascii="Calibri" w:hAnsi="Calibri" w:cs="Calibri"/>
          <w:color w:val="000000"/>
          <w:szCs w:val="22"/>
          <w:lang w:val="en-GB" w:eastAsia="en-GB"/>
        </w:rPr>
      </w:pPr>
      <w:r w:rsidRPr="00870D72">
        <w:rPr>
          <w:rFonts w:ascii="Calibri" w:hAnsi="Calibri" w:cs="Calibri"/>
          <w:color w:val="000000"/>
          <w:szCs w:val="22"/>
          <w:lang w:val="en-GB" w:eastAsia="en-GB"/>
        </w:rPr>
        <w:object w:dxaOrig="15761" w:dyaOrig="3344">
          <v:shape id="_x0000_i1027" type="#_x0000_t75" style="width:468pt;height:136.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12" ShapeID="_x0000_i1027" DrawAspect="Content" ObjectID="_1584447020" r:id="rId13"/>
        </w:object>
      </w:r>
    </w:p>
    <w:p w:rsidR="00CE3528" w:rsidRPr="00870D72" w:rsidRDefault="009C78E6" w:rsidP="00D43271">
      <w:pPr>
        <w:spacing w:before="0" w:after="240" w:line="259" w:lineRule="auto"/>
        <w:rPr>
          <w:rFonts w:asciiTheme="minorHAnsi" w:eastAsiaTheme="minorHAnsi" w:hAnsiTheme="minorHAnsi" w:cstheme="minorBidi"/>
          <w:szCs w:val="22"/>
          <w:lang w:val="en-GB" w:eastAsia="en-US"/>
        </w:rPr>
      </w:pPr>
      <w:r>
        <w:rPr>
          <w:rFonts w:asciiTheme="minorHAnsi" w:eastAsiaTheme="minorHAnsi" w:hAnsiTheme="minorHAnsi" w:cstheme="minorBidi"/>
          <w:szCs w:val="22"/>
          <w:lang w:val="en-GB" w:eastAsia="en-US"/>
        </w:rPr>
        <w:t>S</w:t>
      </w:r>
      <w:r w:rsidR="00CE3528" w:rsidRPr="00870D72">
        <w:rPr>
          <w:rFonts w:asciiTheme="minorHAnsi" w:eastAsiaTheme="minorHAnsi" w:hAnsiTheme="minorHAnsi" w:cstheme="minorBidi"/>
          <w:szCs w:val="22"/>
          <w:lang w:val="en-GB" w:eastAsia="en-US"/>
        </w:rPr>
        <w:t xml:space="preserve">econd scenario: </w:t>
      </w:r>
    </w:p>
    <w:p w:rsidR="00CE3528" w:rsidRPr="00870D72" w:rsidRDefault="00CE3528" w:rsidP="00CE3528">
      <w:pPr>
        <w:numPr>
          <w:ilvl w:val="0"/>
          <w:numId w:val="40"/>
        </w:numPr>
        <w:spacing w:before="0" w:after="160" w:line="259" w:lineRule="auto"/>
        <w:contextualSpacing/>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1/2 in proportion to the overall population</w:t>
      </w:r>
    </w:p>
    <w:p w:rsidR="00CE3528" w:rsidRPr="00870D72" w:rsidRDefault="00CE3528" w:rsidP="00CE3528">
      <w:pPr>
        <w:numPr>
          <w:ilvl w:val="0"/>
          <w:numId w:val="40"/>
        </w:numPr>
        <w:spacing w:before="0" w:after="160" w:line="259" w:lineRule="auto"/>
        <w:contextualSpacing/>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1/2 in proportion to the number of pupils in years S6-7</w:t>
      </w:r>
    </w:p>
    <w:p w:rsidR="00CE3528" w:rsidRPr="00870D72" w:rsidRDefault="003B01E7" w:rsidP="00CE3528">
      <w:pPr>
        <w:spacing w:before="0" w:after="160" w:line="259" w:lineRule="auto"/>
        <w:rPr>
          <w:rFonts w:ascii="Calibri" w:hAnsi="Calibri" w:cs="Calibri"/>
          <w:color w:val="000000"/>
          <w:szCs w:val="22"/>
          <w:lang w:val="en-GB" w:eastAsia="en-GB"/>
        </w:rPr>
      </w:pPr>
      <w:r>
        <w:rPr>
          <w:rFonts w:ascii="Calibri" w:hAnsi="Calibri" w:cs="Calibri"/>
          <w:color w:val="000000"/>
          <w:szCs w:val="22"/>
          <w:lang w:val="en-GB" w:eastAsia="en-GB"/>
        </w:rPr>
        <w:t>The idea of a</w:t>
      </w:r>
      <w:r w:rsidR="00DC3CC3">
        <w:rPr>
          <w:rFonts w:ascii="Calibri" w:hAnsi="Calibri" w:cs="Calibri"/>
          <w:color w:val="000000"/>
          <w:szCs w:val="22"/>
          <w:lang w:val="en-GB" w:eastAsia="en-GB"/>
        </w:rPr>
        <w:t>pportionment</w:t>
      </w:r>
      <w:r w:rsidR="00CE3528" w:rsidRPr="00870D72">
        <w:rPr>
          <w:rFonts w:ascii="Calibri" w:hAnsi="Calibri" w:cs="Calibri"/>
          <w:color w:val="000000"/>
          <w:szCs w:val="22"/>
          <w:lang w:val="en-GB" w:eastAsia="en-GB"/>
        </w:rPr>
        <w:t xml:space="preserve"> </w:t>
      </w:r>
      <w:r w:rsidR="00DC3CC3">
        <w:rPr>
          <w:rFonts w:ascii="Calibri" w:hAnsi="Calibri" w:cs="Calibri"/>
          <w:color w:val="000000"/>
          <w:szCs w:val="22"/>
          <w:lang w:val="en-GB" w:eastAsia="en-GB"/>
        </w:rPr>
        <w:t xml:space="preserve">partially </w:t>
      </w:r>
      <w:r w:rsidR="00CE3528" w:rsidRPr="00870D72">
        <w:rPr>
          <w:rFonts w:ascii="Calibri" w:hAnsi="Calibri" w:cs="Calibri"/>
          <w:color w:val="000000"/>
          <w:szCs w:val="22"/>
          <w:lang w:val="en-GB" w:eastAsia="en-GB"/>
        </w:rPr>
        <w:t xml:space="preserve">proportional (1/2) to the total number of pupils and </w:t>
      </w:r>
      <w:r w:rsidR="00DC3CC3">
        <w:rPr>
          <w:rFonts w:ascii="Calibri" w:hAnsi="Calibri" w:cs="Calibri"/>
          <w:color w:val="000000"/>
          <w:szCs w:val="22"/>
          <w:lang w:val="en-GB" w:eastAsia="en-GB"/>
        </w:rPr>
        <w:t xml:space="preserve">partially </w:t>
      </w:r>
      <w:r w:rsidR="00CE3528" w:rsidRPr="00870D72">
        <w:rPr>
          <w:rFonts w:ascii="Calibri" w:hAnsi="Calibri" w:cs="Calibri"/>
          <w:color w:val="000000"/>
          <w:szCs w:val="22"/>
          <w:lang w:val="en-GB" w:eastAsia="en-GB"/>
        </w:rPr>
        <w:t>(1/2) to the pupils enrolled in th</w:t>
      </w:r>
      <w:r w:rsidR="00DC3CC3">
        <w:rPr>
          <w:rFonts w:ascii="Calibri" w:hAnsi="Calibri" w:cs="Calibri"/>
          <w:color w:val="000000"/>
          <w:szCs w:val="22"/>
          <w:lang w:val="en-GB" w:eastAsia="en-GB"/>
        </w:rPr>
        <w:t xml:space="preserve">e last two years </w:t>
      </w:r>
      <w:r>
        <w:rPr>
          <w:rFonts w:ascii="Calibri" w:hAnsi="Calibri" w:cs="Calibri"/>
          <w:color w:val="000000"/>
          <w:szCs w:val="22"/>
          <w:lang w:val="en-GB" w:eastAsia="en-GB"/>
        </w:rPr>
        <w:t>was mooted</w:t>
      </w:r>
      <w:r w:rsidR="00DC3CC3">
        <w:rPr>
          <w:rFonts w:ascii="Calibri" w:hAnsi="Calibri" w:cs="Calibri"/>
          <w:color w:val="000000"/>
          <w:szCs w:val="22"/>
          <w:lang w:val="en-GB" w:eastAsia="en-GB"/>
        </w:rPr>
        <w:t xml:space="preserve"> at</w:t>
      </w:r>
      <w:r w:rsidR="00CE3528" w:rsidRPr="00870D72">
        <w:rPr>
          <w:rFonts w:ascii="Calibri" w:hAnsi="Calibri" w:cs="Calibri"/>
          <w:color w:val="000000"/>
          <w:szCs w:val="22"/>
          <w:lang w:val="en-GB" w:eastAsia="en-GB"/>
        </w:rPr>
        <w:t xml:space="preserve"> the Budgetary Com</w:t>
      </w:r>
      <w:r>
        <w:rPr>
          <w:rFonts w:ascii="Calibri" w:hAnsi="Calibri" w:cs="Calibri"/>
          <w:color w:val="000000"/>
          <w:szCs w:val="22"/>
          <w:lang w:val="en-GB" w:eastAsia="en-GB"/>
        </w:rPr>
        <w:t>mittee meeting, which would produce</w:t>
      </w:r>
      <w:r w:rsidR="00CE3528" w:rsidRPr="00870D72">
        <w:rPr>
          <w:rFonts w:ascii="Calibri" w:hAnsi="Calibri" w:cs="Calibri"/>
          <w:color w:val="000000"/>
          <w:szCs w:val="22"/>
          <w:lang w:val="en-GB" w:eastAsia="en-GB"/>
        </w:rPr>
        <w:t xml:space="preserve"> the following result:</w:t>
      </w:r>
    </w:p>
    <w:p w:rsidR="00D43271" w:rsidRDefault="00CE3528" w:rsidP="00D43271">
      <w:pPr>
        <w:spacing w:before="0" w:after="0" w:line="259" w:lineRule="auto"/>
        <w:rPr>
          <w:rFonts w:ascii="Calibri" w:hAnsi="Calibri" w:cs="Calibri"/>
          <w:color w:val="000000"/>
          <w:szCs w:val="22"/>
          <w:lang w:val="en-GB" w:eastAsia="en-GB"/>
        </w:rPr>
      </w:pPr>
      <w:r w:rsidRPr="00870D72">
        <w:rPr>
          <w:rFonts w:ascii="Calibri" w:hAnsi="Calibri" w:cs="Calibri"/>
          <w:color w:val="000000"/>
          <w:szCs w:val="22"/>
          <w:lang w:val="en-GB" w:eastAsia="en-GB"/>
        </w:rPr>
        <w:object w:dxaOrig="16071" w:dyaOrig="2881">
          <v:shape id="_x0000_i1028" type="#_x0000_t75" style="width:464.25pt;height:98.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12" ShapeID="_x0000_i1028" DrawAspect="Content" ObjectID="_1584447021" r:id="rId15"/>
        </w:object>
      </w:r>
    </w:p>
    <w:p w:rsidR="00CE3528" w:rsidRPr="00870D72" w:rsidRDefault="00CE3528" w:rsidP="00D43271">
      <w:pPr>
        <w:spacing w:before="0" w:after="360" w:line="259" w:lineRule="auto"/>
        <w:rPr>
          <w:rFonts w:ascii="Calibri" w:hAnsi="Calibri" w:cs="Calibri"/>
          <w:color w:val="000000"/>
          <w:szCs w:val="22"/>
          <w:lang w:val="en-GB" w:eastAsia="en-GB"/>
        </w:rPr>
      </w:pPr>
      <w:r w:rsidRPr="00870D72">
        <w:rPr>
          <w:rFonts w:ascii="Calibri" w:hAnsi="Calibri" w:cs="Calibri"/>
          <w:color w:val="000000"/>
          <w:szCs w:val="22"/>
          <w:lang w:val="en-GB" w:eastAsia="en-GB"/>
        </w:rPr>
        <w:t>This scenario decreases the difference</w:t>
      </w:r>
      <w:r w:rsidR="00DC3CC3">
        <w:rPr>
          <w:rFonts w:ascii="Calibri" w:hAnsi="Calibri" w:cs="Calibri"/>
          <w:color w:val="000000"/>
          <w:szCs w:val="22"/>
          <w:lang w:val="en-GB" w:eastAsia="en-GB"/>
        </w:rPr>
        <w:t>s in the cost per pupil across</w:t>
      </w:r>
      <w:r w:rsidRPr="00870D72">
        <w:rPr>
          <w:rFonts w:ascii="Calibri" w:hAnsi="Calibri" w:cs="Calibri"/>
          <w:color w:val="000000"/>
          <w:szCs w:val="22"/>
          <w:lang w:val="en-GB" w:eastAsia="en-GB"/>
        </w:rPr>
        <w:t xml:space="preserve"> the different AES.</w:t>
      </w:r>
    </w:p>
    <w:p w:rsidR="00CE3528" w:rsidRPr="00870D72" w:rsidRDefault="00CE3528" w:rsidP="00CE3528">
      <w:pPr>
        <w:spacing w:before="0" w:after="160" w:line="259" w:lineRule="auto"/>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 xml:space="preserve">Third scenario: </w:t>
      </w:r>
    </w:p>
    <w:p w:rsidR="00CE3528" w:rsidRPr="00870D72" w:rsidRDefault="00CE3528" w:rsidP="00CE3528">
      <w:pPr>
        <w:numPr>
          <w:ilvl w:val="0"/>
          <w:numId w:val="40"/>
        </w:numPr>
        <w:spacing w:before="0" w:after="160" w:line="259" w:lineRule="auto"/>
        <w:contextualSpacing/>
        <w:jc w:val="left"/>
        <w:rPr>
          <w:rFonts w:asciiTheme="minorHAnsi" w:eastAsiaTheme="minorHAnsi" w:hAnsiTheme="minorHAnsi" w:cstheme="minorBidi"/>
          <w:szCs w:val="22"/>
          <w:lang w:val="en-GB" w:eastAsia="en-US"/>
        </w:rPr>
      </w:pPr>
      <w:r w:rsidRPr="00870D72">
        <w:rPr>
          <w:rFonts w:asciiTheme="minorHAnsi" w:eastAsiaTheme="minorHAnsi" w:hAnsiTheme="minorHAnsi" w:cstheme="minorBidi"/>
          <w:szCs w:val="22"/>
          <w:lang w:val="en-GB" w:eastAsia="en-US"/>
        </w:rPr>
        <w:t>in proportion to the overall population</w:t>
      </w:r>
    </w:p>
    <w:p w:rsidR="00CE3528" w:rsidRPr="00870D72" w:rsidRDefault="003B01E7" w:rsidP="00CE3528">
      <w:pPr>
        <w:spacing w:before="0" w:after="160" w:line="259" w:lineRule="auto"/>
        <w:rPr>
          <w:rFonts w:ascii="Calibri" w:hAnsi="Calibri" w:cs="Calibri"/>
          <w:color w:val="000000"/>
          <w:szCs w:val="22"/>
          <w:lang w:val="en-GB" w:eastAsia="en-GB"/>
        </w:rPr>
      </w:pPr>
      <w:r>
        <w:rPr>
          <w:rFonts w:ascii="Calibri" w:hAnsi="Calibri" w:cs="Calibri"/>
          <w:color w:val="000000"/>
          <w:szCs w:val="22"/>
          <w:lang w:val="en-GB" w:eastAsia="en-GB"/>
        </w:rPr>
        <w:t>The idea of a</w:t>
      </w:r>
      <w:r w:rsidR="00DC3CC3">
        <w:rPr>
          <w:rFonts w:ascii="Calibri" w:hAnsi="Calibri" w:cs="Calibri"/>
          <w:color w:val="000000"/>
          <w:szCs w:val="22"/>
          <w:lang w:val="en-GB" w:eastAsia="en-GB"/>
        </w:rPr>
        <w:t>pportionment</w:t>
      </w:r>
      <w:r w:rsidR="00CE3528" w:rsidRPr="00870D72">
        <w:rPr>
          <w:rFonts w:ascii="Calibri" w:hAnsi="Calibri" w:cs="Calibri"/>
          <w:color w:val="000000"/>
          <w:szCs w:val="22"/>
          <w:lang w:val="en-GB" w:eastAsia="en-GB"/>
        </w:rPr>
        <w:t xml:space="preserve"> proportional t</w:t>
      </w:r>
      <w:r w:rsidR="00DC3CC3">
        <w:rPr>
          <w:rFonts w:ascii="Calibri" w:hAnsi="Calibri" w:cs="Calibri"/>
          <w:color w:val="000000"/>
          <w:szCs w:val="22"/>
          <w:lang w:val="en-GB" w:eastAsia="en-GB"/>
        </w:rPr>
        <w:t>o the total number of pupils was</w:t>
      </w:r>
      <w:r>
        <w:rPr>
          <w:rFonts w:ascii="Calibri" w:hAnsi="Calibri" w:cs="Calibri"/>
          <w:color w:val="000000"/>
          <w:szCs w:val="22"/>
          <w:lang w:val="en-GB" w:eastAsia="en-GB"/>
        </w:rPr>
        <w:t xml:space="preserve"> also mooted at</w:t>
      </w:r>
      <w:r w:rsidR="00CE3528" w:rsidRPr="00870D72">
        <w:rPr>
          <w:rFonts w:ascii="Calibri" w:hAnsi="Calibri" w:cs="Calibri"/>
          <w:color w:val="000000"/>
          <w:szCs w:val="22"/>
          <w:lang w:val="en-GB" w:eastAsia="en-GB"/>
        </w:rPr>
        <w:t xml:space="preserve"> t</w:t>
      </w:r>
      <w:r>
        <w:rPr>
          <w:rFonts w:ascii="Calibri" w:hAnsi="Calibri" w:cs="Calibri"/>
          <w:color w:val="000000"/>
          <w:szCs w:val="22"/>
          <w:lang w:val="en-GB" w:eastAsia="en-GB"/>
        </w:rPr>
        <w:t>he Budgetary Committee meeting, which would result in</w:t>
      </w:r>
      <w:r w:rsidR="00CE3528" w:rsidRPr="00870D72">
        <w:rPr>
          <w:rFonts w:ascii="Calibri" w:hAnsi="Calibri" w:cs="Calibri"/>
          <w:color w:val="000000"/>
          <w:szCs w:val="22"/>
          <w:lang w:val="en-GB" w:eastAsia="en-GB"/>
        </w:rPr>
        <w:t xml:space="preserve"> the same cost per pupil in all schools:</w:t>
      </w:r>
    </w:p>
    <w:p w:rsidR="00CE3528" w:rsidRPr="00870D72" w:rsidRDefault="00CE3528" w:rsidP="00CE3528">
      <w:pPr>
        <w:spacing w:before="0" w:after="160" w:line="259" w:lineRule="auto"/>
        <w:rPr>
          <w:rFonts w:ascii="Calibri" w:hAnsi="Calibri" w:cs="Calibri"/>
          <w:color w:val="000000"/>
          <w:szCs w:val="22"/>
          <w:lang w:val="en-GB" w:eastAsia="en-GB"/>
        </w:rPr>
      </w:pPr>
    </w:p>
    <w:p w:rsidR="00CE3528" w:rsidRPr="00870D72" w:rsidRDefault="00B568D6" w:rsidP="00CE3528">
      <w:pPr>
        <w:spacing w:before="0" w:after="160" w:line="259" w:lineRule="auto"/>
        <w:rPr>
          <w:rFonts w:ascii="Calibri" w:hAnsi="Calibri" w:cs="Calibri"/>
          <w:color w:val="000000"/>
          <w:szCs w:val="22"/>
          <w:lang w:val="en-GB" w:eastAsia="en-GB"/>
        </w:rPr>
      </w:pPr>
      <w:r w:rsidRPr="00870D72">
        <w:rPr>
          <w:rFonts w:ascii="Calibri" w:hAnsi="Calibri" w:cs="Calibri"/>
          <w:color w:val="000000"/>
          <w:szCs w:val="22"/>
          <w:lang w:val="en-GB" w:eastAsia="en-GB"/>
        </w:rPr>
        <w:object w:dxaOrig="15330" w:dyaOrig="2190">
          <v:shape id="_x0000_i1029" type="#_x0000_t75" style="width:447pt;height:91.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12" ShapeID="_x0000_i1029" DrawAspect="Content" ObjectID="_1584447022" r:id="rId17"/>
        </w:object>
      </w:r>
    </w:p>
    <w:p w:rsidR="00CE3528" w:rsidRPr="00870D72" w:rsidRDefault="00D43271" w:rsidP="00CE3528">
      <w:pPr>
        <w:spacing w:before="0" w:after="160" w:line="259" w:lineRule="auto"/>
        <w:rPr>
          <w:rFonts w:ascii="Calibri" w:hAnsi="Calibri" w:cs="Calibri"/>
          <w:color w:val="000000"/>
          <w:szCs w:val="22"/>
          <w:lang w:val="en-GB" w:eastAsia="en-GB"/>
        </w:rPr>
      </w:pPr>
      <w:r>
        <w:rPr>
          <w:rFonts w:ascii="Calibri" w:hAnsi="Calibri" w:cs="Calibri"/>
          <w:color w:val="000000"/>
          <w:szCs w:val="22"/>
          <w:lang w:val="en-GB" w:eastAsia="en-GB"/>
        </w:rPr>
        <w:t>This scenario equalises</w:t>
      </w:r>
      <w:r w:rsidR="00CE3528" w:rsidRPr="00870D72">
        <w:rPr>
          <w:rFonts w:ascii="Calibri" w:hAnsi="Calibri" w:cs="Calibri"/>
          <w:color w:val="000000"/>
          <w:szCs w:val="22"/>
          <w:lang w:val="en-GB" w:eastAsia="en-GB"/>
        </w:rPr>
        <w:t xml:space="preserve"> the difference</w:t>
      </w:r>
      <w:r w:rsidR="003B01E7">
        <w:rPr>
          <w:rFonts w:ascii="Calibri" w:hAnsi="Calibri" w:cs="Calibri"/>
          <w:color w:val="000000"/>
          <w:szCs w:val="22"/>
          <w:lang w:val="en-GB" w:eastAsia="en-GB"/>
        </w:rPr>
        <w:t>s in the cost per pupil across the different AES</w:t>
      </w:r>
      <w:r w:rsidR="00CE3528" w:rsidRPr="00870D72">
        <w:rPr>
          <w:rFonts w:ascii="Calibri" w:hAnsi="Calibri" w:cs="Calibri"/>
          <w:color w:val="000000"/>
          <w:szCs w:val="22"/>
          <w:lang w:val="en-GB" w:eastAsia="en-GB"/>
        </w:rPr>
        <w:t>. It should be noted that</w:t>
      </w:r>
      <w:r w:rsidR="003B01E7">
        <w:rPr>
          <w:rFonts w:ascii="Calibri" w:hAnsi="Calibri" w:cs="Calibri"/>
          <w:color w:val="000000"/>
          <w:szCs w:val="22"/>
          <w:lang w:val="en-GB" w:eastAsia="en-GB"/>
        </w:rPr>
        <w:t xml:space="preserve"> organisation of th</w:t>
      </w:r>
      <w:r>
        <w:rPr>
          <w:rFonts w:ascii="Calibri" w:hAnsi="Calibri" w:cs="Calibri"/>
          <w:color w:val="000000"/>
          <w:szCs w:val="22"/>
          <w:lang w:val="en-GB" w:eastAsia="en-GB"/>
        </w:rPr>
        <w:t>e European Baccalaureate involves work which</w:t>
      </w:r>
      <w:r w:rsidR="003B01E7">
        <w:rPr>
          <w:rFonts w:ascii="Calibri" w:hAnsi="Calibri" w:cs="Calibri"/>
          <w:color w:val="000000"/>
          <w:szCs w:val="22"/>
          <w:lang w:val="en-GB" w:eastAsia="en-GB"/>
        </w:rPr>
        <w:t xml:space="preserve"> has</w:t>
      </w:r>
      <w:r w:rsidR="00CE3528" w:rsidRPr="00870D72">
        <w:rPr>
          <w:rFonts w:ascii="Calibri" w:hAnsi="Calibri" w:cs="Calibri"/>
          <w:color w:val="000000"/>
          <w:szCs w:val="22"/>
          <w:lang w:val="en-GB" w:eastAsia="en-GB"/>
        </w:rPr>
        <w:t xml:space="preserve"> the heaviest impact on the </w:t>
      </w:r>
      <w:r w:rsidR="003B01E7">
        <w:rPr>
          <w:rFonts w:ascii="Calibri" w:hAnsi="Calibri" w:cs="Calibri"/>
          <w:color w:val="000000"/>
          <w:szCs w:val="22"/>
          <w:lang w:val="en-GB" w:eastAsia="en-GB"/>
        </w:rPr>
        <w:t>Office’s staff. In that</w:t>
      </w:r>
      <w:r w:rsidR="00CE3528" w:rsidRPr="00870D72">
        <w:rPr>
          <w:rFonts w:ascii="Calibri" w:hAnsi="Calibri" w:cs="Calibri"/>
          <w:color w:val="000000"/>
          <w:szCs w:val="22"/>
          <w:lang w:val="en-GB" w:eastAsia="en-GB"/>
        </w:rPr>
        <w:t xml:space="preserve"> re</w:t>
      </w:r>
      <w:r w:rsidR="003B01E7">
        <w:rPr>
          <w:rFonts w:ascii="Calibri" w:hAnsi="Calibri" w:cs="Calibri"/>
          <w:color w:val="000000"/>
          <w:szCs w:val="22"/>
          <w:lang w:val="en-GB" w:eastAsia="en-GB"/>
        </w:rPr>
        <w:t>spect, whilst</w:t>
      </w:r>
      <w:r w:rsidR="00CE3528" w:rsidRPr="00870D72">
        <w:rPr>
          <w:rFonts w:ascii="Calibri" w:hAnsi="Calibri" w:cs="Calibri"/>
          <w:color w:val="000000"/>
          <w:szCs w:val="22"/>
          <w:lang w:val="en-GB" w:eastAsia="en-GB"/>
        </w:rPr>
        <w:t xml:space="preserve"> a</w:t>
      </w:r>
      <w:r w:rsidR="003B01E7">
        <w:rPr>
          <w:rFonts w:ascii="Calibri" w:hAnsi="Calibri" w:cs="Calibri"/>
          <w:color w:val="000000"/>
          <w:szCs w:val="22"/>
          <w:lang w:val="en-GB" w:eastAsia="en-GB"/>
        </w:rPr>
        <w:t>n</w:t>
      </w:r>
      <w:r w:rsidR="00CE3528" w:rsidRPr="00870D72">
        <w:rPr>
          <w:rFonts w:ascii="Calibri" w:hAnsi="Calibri" w:cs="Calibri"/>
          <w:color w:val="000000"/>
          <w:szCs w:val="22"/>
          <w:lang w:val="en-GB" w:eastAsia="en-GB"/>
        </w:rPr>
        <w:t xml:space="preserve"> </w:t>
      </w:r>
      <w:r w:rsidR="003B01E7">
        <w:rPr>
          <w:rFonts w:ascii="Calibri" w:hAnsi="Calibri" w:cs="Calibri"/>
          <w:color w:val="000000"/>
          <w:szCs w:val="22"/>
          <w:lang w:val="en-GB" w:eastAsia="en-GB"/>
        </w:rPr>
        <w:t>equal cost per pupil across all AES</w:t>
      </w:r>
      <w:r w:rsidR="00CE3528" w:rsidRPr="00870D72">
        <w:rPr>
          <w:rFonts w:ascii="Calibri" w:hAnsi="Calibri" w:cs="Calibri"/>
          <w:color w:val="000000"/>
          <w:szCs w:val="22"/>
          <w:lang w:val="en-GB" w:eastAsia="en-GB"/>
        </w:rPr>
        <w:t xml:space="preserve"> might be </w:t>
      </w:r>
      <w:r w:rsidR="003B01E7">
        <w:rPr>
          <w:rFonts w:ascii="Calibri" w:hAnsi="Calibri" w:cs="Calibri"/>
          <w:color w:val="000000"/>
          <w:szCs w:val="22"/>
          <w:lang w:val="en-GB" w:eastAsia="en-GB"/>
        </w:rPr>
        <w:t xml:space="preserve">welcome </w:t>
      </w:r>
      <w:r w:rsidR="00CE3528" w:rsidRPr="00870D72">
        <w:rPr>
          <w:rFonts w:ascii="Calibri" w:hAnsi="Calibri" w:cs="Calibri"/>
          <w:color w:val="000000"/>
          <w:szCs w:val="22"/>
          <w:lang w:val="en-GB" w:eastAsia="en-GB"/>
        </w:rPr>
        <w:t>for some reasons</w:t>
      </w:r>
      <w:r w:rsidR="003B01E7">
        <w:rPr>
          <w:rFonts w:ascii="Calibri" w:hAnsi="Calibri" w:cs="Calibri"/>
          <w:color w:val="000000"/>
          <w:szCs w:val="22"/>
          <w:lang w:val="en-GB" w:eastAsia="en-GB"/>
        </w:rPr>
        <w:t>, such an</w:t>
      </w:r>
      <w:r w:rsidR="00CE3528" w:rsidRPr="00870D72">
        <w:rPr>
          <w:rFonts w:ascii="Calibri" w:hAnsi="Calibri" w:cs="Calibri"/>
          <w:color w:val="000000"/>
          <w:szCs w:val="22"/>
          <w:lang w:val="en-GB" w:eastAsia="en-GB"/>
        </w:rPr>
        <w:t xml:space="preserve"> equa</w:t>
      </w:r>
      <w:r w:rsidR="003B01E7">
        <w:rPr>
          <w:rFonts w:ascii="Calibri" w:hAnsi="Calibri" w:cs="Calibri"/>
          <w:color w:val="000000"/>
          <w:szCs w:val="22"/>
          <w:lang w:val="en-GB" w:eastAsia="en-GB"/>
        </w:rPr>
        <w:t>l cost would not fairly reflect</w:t>
      </w:r>
      <w:r w:rsidR="00CE3528" w:rsidRPr="00870D72">
        <w:rPr>
          <w:rFonts w:ascii="Calibri" w:hAnsi="Calibri" w:cs="Calibri"/>
          <w:color w:val="000000"/>
          <w:szCs w:val="22"/>
          <w:lang w:val="en-GB" w:eastAsia="en-GB"/>
        </w:rPr>
        <w:t xml:space="preserve"> the different load</w:t>
      </w:r>
      <w:r w:rsidR="003B01E7">
        <w:rPr>
          <w:rFonts w:ascii="Calibri" w:hAnsi="Calibri" w:cs="Calibri"/>
          <w:color w:val="000000"/>
          <w:szCs w:val="22"/>
          <w:lang w:val="en-GB" w:eastAsia="en-GB"/>
        </w:rPr>
        <w:t xml:space="preserve"> that the different schools place</w:t>
      </w:r>
      <w:r w:rsidR="00CE3528" w:rsidRPr="00870D72">
        <w:rPr>
          <w:rFonts w:ascii="Calibri" w:hAnsi="Calibri" w:cs="Calibri"/>
          <w:color w:val="000000"/>
          <w:szCs w:val="22"/>
          <w:lang w:val="en-GB" w:eastAsia="en-GB"/>
        </w:rPr>
        <w:t xml:space="preserve"> on the work</w:t>
      </w:r>
      <w:r w:rsidR="003B01E7">
        <w:rPr>
          <w:rFonts w:ascii="Calibri" w:hAnsi="Calibri" w:cs="Calibri"/>
          <w:color w:val="000000"/>
          <w:szCs w:val="22"/>
          <w:lang w:val="en-GB" w:eastAsia="en-GB"/>
        </w:rPr>
        <w:t xml:space="preserve"> of the Office of the Secretary-</w:t>
      </w:r>
      <w:r w:rsidR="00CE3528" w:rsidRPr="00870D72">
        <w:rPr>
          <w:rFonts w:ascii="Calibri" w:hAnsi="Calibri" w:cs="Calibri"/>
          <w:color w:val="000000"/>
          <w:szCs w:val="22"/>
          <w:lang w:val="en-GB" w:eastAsia="en-GB"/>
        </w:rPr>
        <w:t>General.</w:t>
      </w:r>
    </w:p>
    <w:p w:rsidR="00CE3528" w:rsidRPr="00870D72" w:rsidRDefault="00CE3528" w:rsidP="00CE3528">
      <w:pPr>
        <w:spacing w:before="0" w:after="160" w:line="259" w:lineRule="auto"/>
        <w:rPr>
          <w:rFonts w:ascii="Calibri" w:hAnsi="Calibri" w:cs="Calibri"/>
          <w:color w:val="000000"/>
          <w:szCs w:val="22"/>
          <w:lang w:val="en-GB" w:eastAsia="en-GB"/>
        </w:rPr>
      </w:pPr>
    </w:p>
    <w:p w:rsidR="00CE3528" w:rsidRPr="00870D72" w:rsidRDefault="00CE3528" w:rsidP="00CE3528">
      <w:pPr>
        <w:spacing w:before="0" w:after="160" w:line="259" w:lineRule="auto"/>
        <w:rPr>
          <w:rFonts w:ascii="Calibri" w:hAnsi="Calibri" w:cs="Calibri"/>
          <w:color w:val="000000"/>
          <w:szCs w:val="22"/>
          <w:lang w:val="en-GB" w:eastAsia="en-GB"/>
        </w:rPr>
      </w:pPr>
    </w:p>
    <w:p w:rsidR="00CE3528" w:rsidRPr="00870D72" w:rsidRDefault="00CE3528" w:rsidP="00CE3528">
      <w:pPr>
        <w:spacing w:before="0" w:after="160" w:line="259" w:lineRule="auto"/>
        <w:rPr>
          <w:rFonts w:ascii="Calibri" w:hAnsi="Calibri" w:cs="Calibri"/>
          <w:color w:val="000000"/>
          <w:szCs w:val="22"/>
          <w:lang w:val="en-GB" w:eastAsia="en-GB"/>
        </w:rPr>
      </w:pPr>
    </w:p>
    <w:p w:rsidR="00CE3528" w:rsidRPr="00870D72" w:rsidRDefault="00CE3528" w:rsidP="00CE3528">
      <w:pPr>
        <w:spacing w:before="0" w:after="160" w:line="259" w:lineRule="auto"/>
        <w:jc w:val="left"/>
        <w:rPr>
          <w:rFonts w:asciiTheme="minorHAnsi" w:eastAsiaTheme="minorHAnsi" w:hAnsiTheme="minorHAnsi" w:cstheme="minorBidi"/>
          <w:szCs w:val="22"/>
          <w:lang w:val="en-GB" w:eastAsia="en-US"/>
        </w:rPr>
      </w:pPr>
    </w:p>
    <w:p w:rsidR="00CE3528" w:rsidRPr="00870D72" w:rsidRDefault="00CE3528" w:rsidP="00CE3528">
      <w:pPr>
        <w:spacing w:before="0" w:after="160" w:line="259" w:lineRule="auto"/>
        <w:jc w:val="left"/>
        <w:rPr>
          <w:rFonts w:asciiTheme="minorHAnsi" w:eastAsiaTheme="minorHAnsi" w:hAnsiTheme="minorHAnsi" w:cstheme="minorBidi"/>
          <w:szCs w:val="22"/>
          <w:lang w:val="en-GB" w:eastAsia="en-US"/>
        </w:rPr>
      </w:pPr>
    </w:p>
    <w:p w:rsidR="008200EE" w:rsidRPr="00870D72" w:rsidRDefault="008200EE" w:rsidP="008200EE">
      <w:pPr>
        <w:rPr>
          <w:sz w:val="24"/>
          <w:szCs w:val="24"/>
          <w:lang w:val="en-GB"/>
        </w:rPr>
      </w:pPr>
    </w:p>
    <w:sectPr w:rsidR="008200EE" w:rsidRPr="00870D72" w:rsidSect="0000048D">
      <w:headerReference w:type="default" r:id="rId18"/>
      <w:footerReference w:type="default" r:id="rId19"/>
      <w:pgSz w:w="11906" w:h="16838"/>
      <w:pgMar w:top="1020" w:right="1466" w:bottom="1020" w:left="1587"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35" w:rsidRDefault="00574935">
      <w:r>
        <w:separator/>
      </w:r>
    </w:p>
  </w:endnote>
  <w:endnote w:type="continuationSeparator" w:id="0">
    <w:p w:rsidR="00574935" w:rsidRDefault="005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91" w:rsidRDefault="00BA6291" w:rsidP="00A7556C">
    <w:pPr>
      <w:pStyle w:val="Footer"/>
      <w:pBdr>
        <w:top w:val="single" w:sz="4" w:space="1" w:color="auto"/>
      </w:pBdr>
      <w:tabs>
        <w:tab w:val="left" w:pos="8460"/>
      </w:tabs>
      <w:ind w:right="-29"/>
    </w:pPr>
    <w:r>
      <w:rPr>
        <w:lang w:val="en-GB"/>
      </w:rPr>
      <w:t>2018-03-D-30-en-1</w:t>
    </w:r>
    <w:r>
      <w:tab/>
    </w:r>
    <w:r w:rsidR="003A583A">
      <w:rPr>
        <w:rStyle w:val="PageNumber"/>
      </w:rPr>
      <w:fldChar w:fldCharType="begin"/>
    </w:r>
    <w:r>
      <w:rPr>
        <w:rStyle w:val="PageNumber"/>
      </w:rPr>
      <w:instrText xml:space="preserve"> PAGE </w:instrText>
    </w:r>
    <w:r w:rsidR="003A583A">
      <w:rPr>
        <w:rStyle w:val="PageNumber"/>
      </w:rPr>
      <w:fldChar w:fldCharType="separate"/>
    </w:r>
    <w:r w:rsidR="005F7BED">
      <w:rPr>
        <w:rStyle w:val="PageNumber"/>
        <w:noProof/>
      </w:rPr>
      <w:t>2</w:t>
    </w:r>
    <w:r w:rsidR="003A583A">
      <w:rPr>
        <w:rStyle w:val="PageNumber"/>
      </w:rPr>
      <w:fldChar w:fldCharType="end"/>
    </w:r>
    <w:r>
      <w:rPr>
        <w:rStyle w:val="PageNumber"/>
      </w:rPr>
      <w:t>/</w:t>
    </w:r>
    <w:r w:rsidR="003A583A">
      <w:rPr>
        <w:rStyle w:val="PageNumber"/>
      </w:rPr>
      <w:fldChar w:fldCharType="begin"/>
    </w:r>
    <w:r>
      <w:rPr>
        <w:rStyle w:val="PageNumber"/>
      </w:rPr>
      <w:instrText xml:space="preserve"> NUMPAGES </w:instrText>
    </w:r>
    <w:r w:rsidR="003A583A">
      <w:rPr>
        <w:rStyle w:val="PageNumber"/>
      </w:rPr>
      <w:fldChar w:fldCharType="separate"/>
    </w:r>
    <w:r w:rsidR="005F7BED">
      <w:rPr>
        <w:rStyle w:val="PageNumber"/>
        <w:noProof/>
      </w:rPr>
      <w:t>12</w:t>
    </w:r>
    <w:r w:rsidR="003A58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35" w:rsidRDefault="00574935">
      <w:r>
        <w:separator/>
      </w:r>
    </w:p>
  </w:footnote>
  <w:footnote w:type="continuationSeparator" w:id="0">
    <w:p w:rsidR="00574935" w:rsidRDefault="00574935">
      <w:r>
        <w:continuationSeparator/>
      </w:r>
    </w:p>
  </w:footnote>
  <w:footnote w:id="1">
    <w:p w:rsidR="00BA6291" w:rsidRPr="00E36420" w:rsidRDefault="00BA6291" w:rsidP="00A6072E">
      <w:pPr>
        <w:pStyle w:val="FootnoteText"/>
        <w:rPr>
          <w:lang w:val="en-US"/>
        </w:rPr>
      </w:pPr>
      <w:r>
        <w:rPr>
          <w:rStyle w:val="FootnoteReference"/>
        </w:rPr>
        <w:footnoteRef/>
      </w:r>
      <w:r w:rsidRPr="00E36420">
        <w:rPr>
          <w:lang w:val="en-US"/>
        </w:rPr>
        <w:t xml:space="preserve"> </w:t>
      </w:r>
      <w:r>
        <w:rPr>
          <w:lang w:val="en-US"/>
        </w:rPr>
        <w:t>(“clear infringement of one or more of the conditions laid down in the Dossier of Conformity”)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91" w:rsidRPr="0000048D" w:rsidRDefault="00BA6291" w:rsidP="0000048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6D46FE"/>
    <w:multiLevelType w:val="hybridMultilevel"/>
    <w:tmpl w:val="38CAE6EE"/>
    <w:lvl w:ilvl="0" w:tplc="478AEC2A">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D32AA1"/>
    <w:multiLevelType w:val="hybridMultilevel"/>
    <w:tmpl w:val="05F0442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86125E3"/>
    <w:multiLevelType w:val="hybridMultilevel"/>
    <w:tmpl w:val="6360DBB4"/>
    <w:lvl w:ilvl="0" w:tplc="CD4ED44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B056BEF"/>
    <w:multiLevelType w:val="hybridMultilevel"/>
    <w:tmpl w:val="F5F42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15:restartNumberingAfterBreak="0">
    <w:nsid w:val="171F444B"/>
    <w:multiLevelType w:val="hybridMultilevel"/>
    <w:tmpl w:val="EDA4683E"/>
    <w:lvl w:ilvl="0" w:tplc="F58EFE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53F12"/>
    <w:multiLevelType w:val="hybridMultilevel"/>
    <w:tmpl w:val="5DB6ADC6"/>
    <w:lvl w:ilvl="0" w:tplc="34C4AAFE">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4E238D3"/>
    <w:multiLevelType w:val="hybridMultilevel"/>
    <w:tmpl w:val="92C05FE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6DA25B4"/>
    <w:multiLevelType w:val="hybridMultilevel"/>
    <w:tmpl w:val="65CCC3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26FC4702"/>
    <w:multiLevelType w:val="hybridMultilevel"/>
    <w:tmpl w:val="F69ECFB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BCE7F28"/>
    <w:multiLevelType w:val="hybridMultilevel"/>
    <w:tmpl w:val="25C69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F7354"/>
    <w:multiLevelType w:val="hybridMultilevel"/>
    <w:tmpl w:val="3AA2B4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5" w15:restartNumberingAfterBreak="0">
    <w:nsid w:val="48437299"/>
    <w:multiLevelType w:val="hybridMultilevel"/>
    <w:tmpl w:val="38CAE6EE"/>
    <w:lvl w:ilvl="0" w:tplc="478AEC2A">
      <w:start w:val="1"/>
      <w:numFmt w:val="decimal"/>
      <w:lvlText w:val="%1."/>
      <w:lvlJc w:val="left"/>
      <w:pPr>
        <w:ind w:left="108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FD1FBB"/>
    <w:multiLevelType w:val="hybridMultilevel"/>
    <w:tmpl w:val="6D862A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1A43EDD"/>
    <w:multiLevelType w:val="hybridMultilevel"/>
    <w:tmpl w:val="70A849A2"/>
    <w:lvl w:ilvl="0" w:tplc="7532954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24A9A"/>
    <w:multiLevelType w:val="hybridMultilevel"/>
    <w:tmpl w:val="FDC63E80"/>
    <w:lvl w:ilvl="0" w:tplc="1CD69F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6E829FE"/>
    <w:multiLevelType w:val="hybridMultilevel"/>
    <w:tmpl w:val="6D700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6" w15:restartNumberingAfterBreak="0">
    <w:nsid w:val="6B1E2722"/>
    <w:multiLevelType w:val="hybridMultilevel"/>
    <w:tmpl w:val="175EE866"/>
    <w:lvl w:ilvl="0" w:tplc="CA0815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8EB18E8"/>
    <w:multiLevelType w:val="hybridMultilevel"/>
    <w:tmpl w:val="8AECF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153FD"/>
    <w:multiLevelType w:val="hybridMultilevel"/>
    <w:tmpl w:val="AAB211B6"/>
    <w:lvl w:ilvl="0" w:tplc="353216B0">
      <w:start w:val="15"/>
      <w:numFmt w:val="bullet"/>
      <w:lvlText w:val="-"/>
      <w:lvlJc w:val="left"/>
      <w:pPr>
        <w:tabs>
          <w:tab w:val="num" w:pos="540"/>
        </w:tabs>
        <w:ind w:left="540" w:hanging="360"/>
      </w:pPr>
      <w:rPr>
        <w:rFonts w:ascii="Arial" w:eastAsia="Times New Roman" w:hAnsi="Arial"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34"/>
  </w:num>
  <w:num w:numId="2">
    <w:abstractNumId w:val="1"/>
  </w:num>
  <w:num w:numId="3">
    <w:abstractNumId w:val="0"/>
  </w:num>
  <w:num w:numId="4">
    <w:abstractNumId w:val="18"/>
  </w:num>
  <w:num w:numId="5">
    <w:abstractNumId w:val="10"/>
  </w:num>
  <w:num w:numId="6">
    <w:abstractNumId w:val="9"/>
  </w:num>
  <w:num w:numId="7">
    <w:abstractNumId w:val="31"/>
  </w:num>
  <w:num w:numId="8">
    <w:abstractNumId w:val="32"/>
  </w:num>
  <w:num w:numId="9">
    <w:abstractNumId w:val="37"/>
  </w:num>
  <w:num w:numId="10">
    <w:abstractNumId w:val="14"/>
  </w:num>
  <w:num w:numId="11">
    <w:abstractNumId w:val="21"/>
  </w:num>
  <w:num w:numId="12">
    <w:abstractNumId w:val="23"/>
  </w:num>
  <w:num w:numId="13">
    <w:abstractNumId w:val="22"/>
  </w:num>
  <w:num w:numId="14">
    <w:abstractNumId w:val="5"/>
  </w:num>
  <w:num w:numId="15">
    <w:abstractNumId w:val="26"/>
  </w:num>
  <w:num w:numId="16">
    <w:abstractNumId w:val="24"/>
  </w:num>
  <w:num w:numId="17">
    <w:abstractNumId w:val="13"/>
  </w:num>
  <w:num w:numId="18">
    <w:abstractNumId w:val="3"/>
  </w:num>
  <w:num w:numId="19">
    <w:abstractNumId w:val="2"/>
  </w:num>
  <w:num w:numId="20">
    <w:abstractNumId w:val="30"/>
  </w:num>
  <w:num w:numId="21">
    <w:abstractNumId w:val="35"/>
  </w:num>
  <w:num w:numId="22">
    <w:abstractNumId w:val="7"/>
  </w:num>
  <w:num w:numId="23">
    <w:abstractNumId w:val="17"/>
  </w:num>
  <w:num w:numId="24">
    <w:abstractNumId w:val="12"/>
  </w:num>
  <w:num w:numId="25">
    <w:abstractNumId w:val="39"/>
  </w:num>
  <w:num w:numId="26">
    <w:abstractNumId w:val="28"/>
  </w:num>
  <w:num w:numId="27">
    <w:abstractNumId w:val="6"/>
  </w:num>
  <w:num w:numId="28">
    <w:abstractNumId w:val="16"/>
  </w:num>
  <w:num w:numId="29">
    <w:abstractNumId w:val="33"/>
  </w:num>
  <w:num w:numId="30">
    <w:abstractNumId w:val="36"/>
  </w:num>
  <w:num w:numId="31">
    <w:abstractNumId w:val="8"/>
  </w:num>
  <w:num w:numId="32">
    <w:abstractNumId w:val="11"/>
  </w:num>
  <w:num w:numId="33">
    <w:abstractNumId w:val="38"/>
  </w:num>
  <w:num w:numId="34">
    <w:abstractNumId w:val="25"/>
  </w:num>
  <w:num w:numId="35">
    <w:abstractNumId w:val="15"/>
  </w:num>
  <w:num w:numId="36">
    <w:abstractNumId w:val="27"/>
  </w:num>
  <w:num w:numId="37">
    <w:abstractNumId w:val="4"/>
  </w:num>
  <w:num w:numId="38">
    <w:abstractNumId w:val="20"/>
  </w:num>
  <w:num w:numId="39">
    <w:abstractNumId w:val="1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12A"/>
    <w:rsid w:val="0000048D"/>
    <w:rsid w:val="000008FE"/>
    <w:rsid w:val="00000A76"/>
    <w:rsid w:val="00003BDF"/>
    <w:rsid w:val="00015C61"/>
    <w:rsid w:val="00015E00"/>
    <w:rsid w:val="000261E9"/>
    <w:rsid w:val="00032CE2"/>
    <w:rsid w:val="00033087"/>
    <w:rsid w:val="0003449D"/>
    <w:rsid w:val="00037ECC"/>
    <w:rsid w:val="00043414"/>
    <w:rsid w:val="00043737"/>
    <w:rsid w:val="0004507B"/>
    <w:rsid w:val="00050ECB"/>
    <w:rsid w:val="0005704E"/>
    <w:rsid w:val="00064677"/>
    <w:rsid w:val="00066337"/>
    <w:rsid w:val="00070422"/>
    <w:rsid w:val="00072A83"/>
    <w:rsid w:val="000740E0"/>
    <w:rsid w:val="000767DB"/>
    <w:rsid w:val="00081725"/>
    <w:rsid w:val="000829BC"/>
    <w:rsid w:val="00090BD2"/>
    <w:rsid w:val="00094336"/>
    <w:rsid w:val="0009495B"/>
    <w:rsid w:val="000A1369"/>
    <w:rsid w:val="000A2932"/>
    <w:rsid w:val="000A5772"/>
    <w:rsid w:val="000A5C94"/>
    <w:rsid w:val="000A7A18"/>
    <w:rsid w:val="000B1079"/>
    <w:rsid w:val="000B21A5"/>
    <w:rsid w:val="000B466D"/>
    <w:rsid w:val="000B54A5"/>
    <w:rsid w:val="000B5F59"/>
    <w:rsid w:val="000B6C7F"/>
    <w:rsid w:val="000B6F7E"/>
    <w:rsid w:val="000B7983"/>
    <w:rsid w:val="000B79DF"/>
    <w:rsid w:val="000B7B11"/>
    <w:rsid w:val="000C12A9"/>
    <w:rsid w:val="000C1479"/>
    <w:rsid w:val="000C2B24"/>
    <w:rsid w:val="000C4FAE"/>
    <w:rsid w:val="000C6FE6"/>
    <w:rsid w:val="000C7B71"/>
    <w:rsid w:val="000D059C"/>
    <w:rsid w:val="000D25AB"/>
    <w:rsid w:val="000D37B0"/>
    <w:rsid w:val="000D532E"/>
    <w:rsid w:val="000D646F"/>
    <w:rsid w:val="000E543E"/>
    <w:rsid w:val="000E57C5"/>
    <w:rsid w:val="000F1472"/>
    <w:rsid w:val="000F4074"/>
    <w:rsid w:val="000F7699"/>
    <w:rsid w:val="00101652"/>
    <w:rsid w:val="00105986"/>
    <w:rsid w:val="00105B38"/>
    <w:rsid w:val="0010614F"/>
    <w:rsid w:val="00107454"/>
    <w:rsid w:val="00110D16"/>
    <w:rsid w:val="00111227"/>
    <w:rsid w:val="00113AA9"/>
    <w:rsid w:val="00115F4F"/>
    <w:rsid w:val="00117DA4"/>
    <w:rsid w:val="00117E9F"/>
    <w:rsid w:val="001224AD"/>
    <w:rsid w:val="00122C51"/>
    <w:rsid w:val="00124783"/>
    <w:rsid w:val="0012497B"/>
    <w:rsid w:val="00124FD8"/>
    <w:rsid w:val="0012565D"/>
    <w:rsid w:val="00125BB6"/>
    <w:rsid w:val="0012666B"/>
    <w:rsid w:val="001328FA"/>
    <w:rsid w:val="0013548B"/>
    <w:rsid w:val="00135BA7"/>
    <w:rsid w:val="00142B96"/>
    <w:rsid w:val="001448BD"/>
    <w:rsid w:val="00147603"/>
    <w:rsid w:val="001550A4"/>
    <w:rsid w:val="00164A9B"/>
    <w:rsid w:val="00164E9D"/>
    <w:rsid w:val="00172175"/>
    <w:rsid w:val="00174A7D"/>
    <w:rsid w:val="00176F42"/>
    <w:rsid w:val="001774D9"/>
    <w:rsid w:val="001843D1"/>
    <w:rsid w:val="00184DCF"/>
    <w:rsid w:val="00197587"/>
    <w:rsid w:val="001977FF"/>
    <w:rsid w:val="001A0CA5"/>
    <w:rsid w:val="001A0D7D"/>
    <w:rsid w:val="001A18B0"/>
    <w:rsid w:val="001A3594"/>
    <w:rsid w:val="001A694E"/>
    <w:rsid w:val="001A74F3"/>
    <w:rsid w:val="001A78D8"/>
    <w:rsid w:val="001B590E"/>
    <w:rsid w:val="001B5E00"/>
    <w:rsid w:val="001C1BE6"/>
    <w:rsid w:val="001C5928"/>
    <w:rsid w:val="001D39C1"/>
    <w:rsid w:val="001D6D3F"/>
    <w:rsid w:val="001E7F7D"/>
    <w:rsid w:val="001F0F37"/>
    <w:rsid w:val="001F74B8"/>
    <w:rsid w:val="002011B3"/>
    <w:rsid w:val="002012C2"/>
    <w:rsid w:val="00201D84"/>
    <w:rsid w:val="00210781"/>
    <w:rsid w:val="00214381"/>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5165"/>
    <w:rsid w:val="00245FB4"/>
    <w:rsid w:val="0024647C"/>
    <w:rsid w:val="00254795"/>
    <w:rsid w:val="002650A2"/>
    <w:rsid w:val="0028132F"/>
    <w:rsid w:val="00287E9C"/>
    <w:rsid w:val="00290D81"/>
    <w:rsid w:val="00290E36"/>
    <w:rsid w:val="00292453"/>
    <w:rsid w:val="00297DE2"/>
    <w:rsid w:val="002A40EF"/>
    <w:rsid w:val="002A4D5F"/>
    <w:rsid w:val="002A5795"/>
    <w:rsid w:val="002A6EFA"/>
    <w:rsid w:val="002B6323"/>
    <w:rsid w:val="002B6FB9"/>
    <w:rsid w:val="002C575D"/>
    <w:rsid w:val="002D0495"/>
    <w:rsid w:val="002D1E17"/>
    <w:rsid w:val="002D2D92"/>
    <w:rsid w:val="002D4CD2"/>
    <w:rsid w:val="002D61B3"/>
    <w:rsid w:val="002E277E"/>
    <w:rsid w:val="002E5688"/>
    <w:rsid w:val="002E6846"/>
    <w:rsid w:val="002F278E"/>
    <w:rsid w:val="002F42CE"/>
    <w:rsid w:val="002F4399"/>
    <w:rsid w:val="002F6595"/>
    <w:rsid w:val="002F6F42"/>
    <w:rsid w:val="002F708B"/>
    <w:rsid w:val="002F7EF7"/>
    <w:rsid w:val="0030217B"/>
    <w:rsid w:val="003050B8"/>
    <w:rsid w:val="0030704B"/>
    <w:rsid w:val="0031067B"/>
    <w:rsid w:val="003109BC"/>
    <w:rsid w:val="00312A41"/>
    <w:rsid w:val="00313BD7"/>
    <w:rsid w:val="00315134"/>
    <w:rsid w:val="00316081"/>
    <w:rsid w:val="0031785E"/>
    <w:rsid w:val="00317C93"/>
    <w:rsid w:val="00317EB2"/>
    <w:rsid w:val="00320EFE"/>
    <w:rsid w:val="00321BF4"/>
    <w:rsid w:val="003265A8"/>
    <w:rsid w:val="00331742"/>
    <w:rsid w:val="003345D2"/>
    <w:rsid w:val="0033572E"/>
    <w:rsid w:val="003446A4"/>
    <w:rsid w:val="003447FC"/>
    <w:rsid w:val="00346923"/>
    <w:rsid w:val="00347348"/>
    <w:rsid w:val="00347BBB"/>
    <w:rsid w:val="00351516"/>
    <w:rsid w:val="0035364B"/>
    <w:rsid w:val="003536F4"/>
    <w:rsid w:val="0035471D"/>
    <w:rsid w:val="00355F3F"/>
    <w:rsid w:val="00356207"/>
    <w:rsid w:val="003608CD"/>
    <w:rsid w:val="003626D8"/>
    <w:rsid w:val="003637FE"/>
    <w:rsid w:val="0036548F"/>
    <w:rsid w:val="0037026C"/>
    <w:rsid w:val="003702AD"/>
    <w:rsid w:val="00373671"/>
    <w:rsid w:val="0037682B"/>
    <w:rsid w:val="00381786"/>
    <w:rsid w:val="003850D8"/>
    <w:rsid w:val="0038558C"/>
    <w:rsid w:val="003856CC"/>
    <w:rsid w:val="00386111"/>
    <w:rsid w:val="0038733E"/>
    <w:rsid w:val="00390A44"/>
    <w:rsid w:val="0039279F"/>
    <w:rsid w:val="00392B82"/>
    <w:rsid w:val="003934AA"/>
    <w:rsid w:val="00393BA9"/>
    <w:rsid w:val="00394E6B"/>
    <w:rsid w:val="00395B48"/>
    <w:rsid w:val="003A2384"/>
    <w:rsid w:val="003A3F0E"/>
    <w:rsid w:val="003A4D77"/>
    <w:rsid w:val="003A553C"/>
    <w:rsid w:val="003A583A"/>
    <w:rsid w:val="003A788A"/>
    <w:rsid w:val="003A7AD1"/>
    <w:rsid w:val="003B01E7"/>
    <w:rsid w:val="003B06CB"/>
    <w:rsid w:val="003B5398"/>
    <w:rsid w:val="003B68D7"/>
    <w:rsid w:val="003C058B"/>
    <w:rsid w:val="003C0A3E"/>
    <w:rsid w:val="003C2958"/>
    <w:rsid w:val="003C4743"/>
    <w:rsid w:val="003C56FC"/>
    <w:rsid w:val="003C67C9"/>
    <w:rsid w:val="003D50E7"/>
    <w:rsid w:val="003D6ABC"/>
    <w:rsid w:val="003D778F"/>
    <w:rsid w:val="003E0D42"/>
    <w:rsid w:val="003E1082"/>
    <w:rsid w:val="003E481A"/>
    <w:rsid w:val="003E792C"/>
    <w:rsid w:val="003F1926"/>
    <w:rsid w:val="003F34D7"/>
    <w:rsid w:val="003F49F3"/>
    <w:rsid w:val="003F5C42"/>
    <w:rsid w:val="003F7071"/>
    <w:rsid w:val="00401EDE"/>
    <w:rsid w:val="00402817"/>
    <w:rsid w:val="004068F3"/>
    <w:rsid w:val="00406E40"/>
    <w:rsid w:val="0041143D"/>
    <w:rsid w:val="00416219"/>
    <w:rsid w:val="0041787F"/>
    <w:rsid w:val="004211F1"/>
    <w:rsid w:val="004214C8"/>
    <w:rsid w:val="0042250E"/>
    <w:rsid w:val="00425E25"/>
    <w:rsid w:val="004270BD"/>
    <w:rsid w:val="00436680"/>
    <w:rsid w:val="00440F93"/>
    <w:rsid w:val="0044101C"/>
    <w:rsid w:val="00441967"/>
    <w:rsid w:val="0044196F"/>
    <w:rsid w:val="0044360A"/>
    <w:rsid w:val="0044505C"/>
    <w:rsid w:val="00450B35"/>
    <w:rsid w:val="004514B8"/>
    <w:rsid w:val="004534DA"/>
    <w:rsid w:val="00455DF4"/>
    <w:rsid w:val="00461AE1"/>
    <w:rsid w:val="00464120"/>
    <w:rsid w:val="00465704"/>
    <w:rsid w:val="004666D8"/>
    <w:rsid w:val="00466999"/>
    <w:rsid w:val="0046797F"/>
    <w:rsid w:val="00472274"/>
    <w:rsid w:val="00472F93"/>
    <w:rsid w:val="00474DE0"/>
    <w:rsid w:val="004767A0"/>
    <w:rsid w:val="00480A44"/>
    <w:rsid w:val="0048137B"/>
    <w:rsid w:val="00484B3D"/>
    <w:rsid w:val="00490A33"/>
    <w:rsid w:val="00490F00"/>
    <w:rsid w:val="0049364D"/>
    <w:rsid w:val="00493839"/>
    <w:rsid w:val="004A1DC1"/>
    <w:rsid w:val="004A27A5"/>
    <w:rsid w:val="004A29C9"/>
    <w:rsid w:val="004A442B"/>
    <w:rsid w:val="004B04A0"/>
    <w:rsid w:val="004B5EFB"/>
    <w:rsid w:val="004B78DD"/>
    <w:rsid w:val="004C3B3B"/>
    <w:rsid w:val="004C4D10"/>
    <w:rsid w:val="004C67C7"/>
    <w:rsid w:val="004C6B97"/>
    <w:rsid w:val="004D169C"/>
    <w:rsid w:val="004D37B3"/>
    <w:rsid w:val="004D51D7"/>
    <w:rsid w:val="004D7ED4"/>
    <w:rsid w:val="004E074C"/>
    <w:rsid w:val="004E3204"/>
    <w:rsid w:val="004E345C"/>
    <w:rsid w:val="004E3BD0"/>
    <w:rsid w:val="004E467D"/>
    <w:rsid w:val="004E4845"/>
    <w:rsid w:val="004E778E"/>
    <w:rsid w:val="004F3DAF"/>
    <w:rsid w:val="004F6DEF"/>
    <w:rsid w:val="004F6F3A"/>
    <w:rsid w:val="00500828"/>
    <w:rsid w:val="0050212C"/>
    <w:rsid w:val="00511BAC"/>
    <w:rsid w:val="0051333C"/>
    <w:rsid w:val="00515F04"/>
    <w:rsid w:val="005167CF"/>
    <w:rsid w:val="005238A3"/>
    <w:rsid w:val="00531C1A"/>
    <w:rsid w:val="005323EF"/>
    <w:rsid w:val="0053268A"/>
    <w:rsid w:val="00543075"/>
    <w:rsid w:val="00544267"/>
    <w:rsid w:val="00545A88"/>
    <w:rsid w:val="00546E9A"/>
    <w:rsid w:val="00552759"/>
    <w:rsid w:val="005534A3"/>
    <w:rsid w:val="00554465"/>
    <w:rsid w:val="005574D6"/>
    <w:rsid w:val="00566A30"/>
    <w:rsid w:val="00572049"/>
    <w:rsid w:val="00574935"/>
    <w:rsid w:val="00576AE2"/>
    <w:rsid w:val="00576EDE"/>
    <w:rsid w:val="00580BC1"/>
    <w:rsid w:val="00582A26"/>
    <w:rsid w:val="0058488C"/>
    <w:rsid w:val="00585730"/>
    <w:rsid w:val="00585DF9"/>
    <w:rsid w:val="00586E80"/>
    <w:rsid w:val="00587099"/>
    <w:rsid w:val="005932A9"/>
    <w:rsid w:val="00593588"/>
    <w:rsid w:val="00596429"/>
    <w:rsid w:val="005969F1"/>
    <w:rsid w:val="00596EB8"/>
    <w:rsid w:val="0059738D"/>
    <w:rsid w:val="005A0E65"/>
    <w:rsid w:val="005A5174"/>
    <w:rsid w:val="005B1EF6"/>
    <w:rsid w:val="005B6071"/>
    <w:rsid w:val="005C10F3"/>
    <w:rsid w:val="005C14BD"/>
    <w:rsid w:val="005C4671"/>
    <w:rsid w:val="005C571F"/>
    <w:rsid w:val="005C6A2B"/>
    <w:rsid w:val="005C6F3B"/>
    <w:rsid w:val="005C76C7"/>
    <w:rsid w:val="005D1753"/>
    <w:rsid w:val="005D1D8C"/>
    <w:rsid w:val="005D44F6"/>
    <w:rsid w:val="005E0DBE"/>
    <w:rsid w:val="005E2811"/>
    <w:rsid w:val="005E2BD1"/>
    <w:rsid w:val="005E5007"/>
    <w:rsid w:val="005F0D02"/>
    <w:rsid w:val="005F11A0"/>
    <w:rsid w:val="005F1931"/>
    <w:rsid w:val="005F2749"/>
    <w:rsid w:val="005F3095"/>
    <w:rsid w:val="005F3E01"/>
    <w:rsid w:val="005F507D"/>
    <w:rsid w:val="005F7BED"/>
    <w:rsid w:val="0060077B"/>
    <w:rsid w:val="00605C22"/>
    <w:rsid w:val="00611371"/>
    <w:rsid w:val="00611E4D"/>
    <w:rsid w:val="00616244"/>
    <w:rsid w:val="00622425"/>
    <w:rsid w:val="00623B8A"/>
    <w:rsid w:val="00627081"/>
    <w:rsid w:val="006279E7"/>
    <w:rsid w:val="0063310D"/>
    <w:rsid w:val="006352CC"/>
    <w:rsid w:val="006365A4"/>
    <w:rsid w:val="00636802"/>
    <w:rsid w:val="0063684F"/>
    <w:rsid w:val="006405D0"/>
    <w:rsid w:val="00641C55"/>
    <w:rsid w:val="0064293E"/>
    <w:rsid w:val="00642BEA"/>
    <w:rsid w:val="00643BE6"/>
    <w:rsid w:val="006462A1"/>
    <w:rsid w:val="00651B25"/>
    <w:rsid w:val="00652122"/>
    <w:rsid w:val="00652C47"/>
    <w:rsid w:val="006577AD"/>
    <w:rsid w:val="00661EFD"/>
    <w:rsid w:val="00662F77"/>
    <w:rsid w:val="0066423E"/>
    <w:rsid w:val="00665162"/>
    <w:rsid w:val="006652AE"/>
    <w:rsid w:val="00666407"/>
    <w:rsid w:val="0067421F"/>
    <w:rsid w:val="00680269"/>
    <w:rsid w:val="00680CB8"/>
    <w:rsid w:val="0068187E"/>
    <w:rsid w:val="00682D28"/>
    <w:rsid w:val="00685B73"/>
    <w:rsid w:val="006865A0"/>
    <w:rsid w:val="006B3C12"/>
    <w:rsid w:val="006B49F3"/>
    <w:rsid w:val="006B4F50"/>
    <w:rsid w:val="006B573B"/>
    <w:rsid w:val="006B7AC0"/>
    <w:rsid w:val="006C07DC"/>
    <w:rsid w:val="006C0DB0"/>
    <w:rsid w:val="006C1EAF"/>
    <w:rsid w:val="006C3B17"/>
    <w:rsid w:val="006C52EB"/>
    <w:rsid w:val="006C6AC8"/>
    <w:rsid w:val="006D3633"/>
    <w:rsid w:val="006D5C31"/>
    <w:rsid w:val="006D6D90"/>
    <w:rsid w:val="006D7A42"/>
    <w:rsid w:val="006E16F2"/>
    <w:rsid w:val="006E32F8"/>
    <w:rsid w:val="006E4F1D"/>
    <w:rsid w:val="006E569C"/>
    <w:rsid w:val="006E6403"/>
    <w:rsid w:val="006E64B4"/>
    <w:rsid w:val="006F27F5"/>
    <w:rsid w:val="006F3869"/>
    <w:rsid w:val="006F670A"/>
    <w:rsid w:val="007038ED"/>
    <w:rsid w:val="00705FBB"/>
    <w:rsid w:val="00706ACB"/>
    <w:rsid w:val="0071171F"/>
    <w:rsid w:val="00722590"/>
    <w:rsid w:val="0072318E"/>
    <w:rsid w:val="00726769"/>
    <w:rsid w:val="00730DF1"/>
    <w:rsid w:val="007358BB"/>
    <w:rsid w:val="007434C0"/>
    <w:rsid w:val="007453EA"/>
    <w:rsid w:val="007466D9"/>
    <w:rsid w:val="007468B6"/>
    <w:rsid w:val="00747A4A"/>
    <w:rsid w:val="00747D0B"/>
    <w:rsid w:val="00747E50"/>
    <w:rsid w:val="00750526"/>
    <w:rsid w:val="00751820"/>
    <w:rsid w:val="00752EFB"/>
    <w:rsid w:val="007552E1"/>
    <w:rsid w:val="0075712A"/>
    <w:rsid w:val="00763D78"/>
    <w:rsid w:val="00765281"/>
    <w:rsid w:val="00766909"/>
    <w:rsid w:val="00766954"/>
    <w:rsid w:val="00771280"/>
    <w:rsid w:val="00771D9E"/>
    <w:rsid w:val="0077221D"/>
    <w:rsid w:val="00774369"/>
    <w:rsid w:val="007768AD"/>
    <w:rsid w:val="00776CD2"/>
    <w:rsid w:val="007831C3"/>
    <w:rsid w:val="0079534F"/>
    <w:rsid w:val="007A04FD"/>
    <w:rsid w:val="007A65FB"/>
    <w:rsid w:val="007A6B84"/>
    <w:rsid w:val="007A742A"/>
    <w:rsid w:val="007A748F"/>
    <w:rsid w:val="007B0181"/>
    <w:rsid w:val="007B165B"/>
    <w:rsid w:val="007B1ACF"/>
    <w:rsid w:val="007B5531"/>
    <w:rsid w:val="007C1F2D"/>
    <w:rsid w:val="007D3358"/>
    <w:rsid w:val="007D7F2D"/>
    <w:rsid w:val="007E0BF9"/>
    <w:rsid w:val="007E2E6E"/>
    <w:rsid w:val="007E44E6"/>
    <w:rsid w:val="007E4807"/>
    <w:rsid w:val="007E5229"/>
    <w:rsid w:val="007E5CDA"/>
    <w:rsid w:val="007E6885"/>
    <w:rsid w:val="007E6D72"/>
    <w:rsid w:val="007F3115"/>
    <w:rsid w:val="007F4D34"/>
    <w:rsid w:val="007F60B0"/>
    <w:rsid w:val="0080001C"/>
    <w:rsid w:val="00801BBB"/>
    <w:rsid w:val="00805F69"/>
    <w:rsid w:val="00807392"/>
    <w:rsid w:val="008110FA"/>
    <w:rsid w:val="00815185"/>
    <w:rsid w:val="00816F86"/>
    <w:rsid w:val="008200EE"/>
    <w:rsid w:val="00820C2A"/>
    <w:rsid w:val="00821DF8"/>
    <w:rsid w:val="00835451"/>
    <w:rsid w:val="00836C08"/>
    <w:rsid w:val="00837F26"/>
    <w:rsid w:val="00845681"/>
    <w:rsid w:val="0084570F"/>
    <w:rsid w:val="00845D1D"/>
    <w:rsid w:val="0084695B"/>
    <w:rsid w:val="0084696E"/>
    <w:rsid w:val="00851CA9"/>
    <w:rsid w:val="00856377"/>
    <w:rsid w:val="00856AEF"/>
    <w:rsid w:val="00861004"/>
    <w:rsid w:val="00861846"/>
    <w:rsid w:val="008627B3"/>
    <w:rsid w:val="00865494"/>
    <w:rsid w:val="00866767"/>
    <w:rsid w:val="00870D72"/>
    <w:rsid w:val="00871B10"/>
    <w:rsid w:val="0087311A"/>
    <w:rsid w:val="00876972"/>
    <w:rsid w:val="00876BEA"/>
    <w:rsid w:val="008825B2"/>
    <w:rsid w:val="00882DEF"/>
    <w:rsid w:val="008831A6"/>
    <w:rsid w:val="00885BEC"/>
    <w:rsid w:val="0088693C"/>
    <w:rsid w:val="00887377"/>
    <w:rsid w:val="00887D35"/>
    <w:rsid w:val="00891FEE"/>
    <w:rsid w:val="00895F38"/>
    <w:rsid w:val="008962BB"/>
    <w:rsid w:val="00896E37"/>
    <w:rsid w:val="008A0744"/>
    <w:rsid w:val="008A0D47"/>
    <w:rsid w:val="008A1885"/>
    <w:rsid w:val="008A28EB"/>
    <w:rsid w:val="008A484F"/>
    <w:rsid w:val="008A5806"/>
    <w:rsid w:val="008B105B"/>
    <w:rsid w:val="008B1921"/>
    <w:rsid w:val="008B24DF"/>
    <w:rsid w:val="008B3459"/>
    <w:rsid w:val="008B60F2"/>
    <w:rsid w:val="008B6A67"/>
    <w:rsid w:val="008B7934"/>
    <w:rsid w:val="008B7F1B"/>
    <w:rsid w:val="008C5FB3"/>
    <w:rsid w:val="008C61B1"/>
    <w:rsid w:val="008C7B4B"/>
    <w:rsid w:val="008D247B"/>
    <w:rsid w:val="008E18E8"/>
    <w:rsid w:val="008F071A"/>
    <w:rsid w:val="008F2667"/>
    <w:rsid w:val="008F28FB"/>
    <w:rsid w:val="008F31A3"/>
    <w:rsid w:val="008F4003"/>
    <w:rsid w:val="008F5694"/>
    <w:rsid w:val="008F7FF0"/>
    <w:rsid w:val="00900783"/>
    <w:rsid w:val="00902A85"/>
    <w:rsid w:val="00911731"/>
    <w:rsid w:val="00912317"/>
    <w:rsid w:val="00912CCF"/>
    <w:rsid w:val="00913FB7"/>
    <w:rsid w:val="009169B3"/>
    <w:rsid w:val="00924512"/>
    <w:rsid w:val="009304CF"/>
    <w:rsid w:val="00933FF8"/>
    <w:rsid w:val="00935D10"/>
    <w:rsid w:val="009369D8"/>
    <w:rsid w:val="00940B41"/>
    <w:rsid w:val="00942CDA"/>
    <w:rsid w:val="009430EE"/>
    <w:rsid w:val="00945F85"/>
    <w:rsid w:val="00946CE3"/>
    <w:rsid w:val="00950946"/>
    <w:rsid w:val="00955390"/>
    <w:rsid w:val="0096245A"/>
    <w:rsid w:val="0096398C"/>
    <w:rsid w:val="00964D1B"/>
    <w:rsid w:val="00965A23"/>
    <w:rsid w:val="00966E5D"/>
    <w:rsid w:val="00967DEC"/>
    <w:rsid w:val="00970132"/>
    <w:rsid w:val="00970431"/>
    <w:rsid w:val="00972068"/>
    <w:rsid w:val="0097439C"/>
    <w:rsid w:val="00974571"/>
    <w:rsid w:val="009772BA"/>
    <w:rsid w:val="0097790C"/>
    <w:rsid w:val="00980811"/>
    <w:rsid w:val="009858EF"/>
    <w:rsid w:val="009860F5"/>
    <w:rsid w:val="00986EF4"/>
    <w:rsid w:val="0099243A"/>
    <w:rsid w:val="00992EBF"/>
    <w:rsid w:val="00992F12"/>
    <w:rsid w:val="00996821"/>
    <w:rsid w:val="009A504D"/>
    <w:rsid w:val="009A50AB"/>
    <w:rsid w:val="009A6495"/>
    <w:rsid w:val="009A772D"/>
    <w:rsid w:val="009B0A82"/>
    <w:rsid w:val="009B3B22"/>
    <w:rsid w:val="009B4153"/>
    <w:rsid w:val="009B4C6B"/>
    <w:rsid w:val="009B5D7B"/>
    <w:rsid w:val="009B73E0"/>
    <w:rsid w:val="009C2331"/>
    <w:rsid w:val="009C58F5"/>
    <w:rsid w:val="009C659F"/>
    <w:rsid w:val="009C78E6"/>
    <w:rsid w:val="009C7E6F"/>
    <w:rsid w:val="009D0909"/>
    <w:rsid w:val="009D2C26"/>
    <w:rsid w:val="009D2DC9"/>
    <w:rsid w:val="009D39F4"/>
    <w:rsid w:val="009D460A"/>
    <w:rsid w:val="009D71D7"/>
    <w:rsid w:val="009E4CDD"/>
    <w:rsid w:val="009F1313"/>
    <w:rsid w:val="009F1445"/>
    <w:rsid w:val="009F20E7"/>
    <w:rsid w:val="009F38A6"/>
    <w:rsid w:val="009F4CD5"/>
    <w:rsid w:val="00A00789"/>
    <w:rsid w:val="00A00861"/>
    <w:rsid w:val="00A0481B"/>
    <w:rsid w:val="00A07927"/>
    <w:rsid w:val="00A125C8"/>
    <w:rsid w:val="00A131B0"/>
    <w:rsid w:val="00A17188"/>
    <w:rsid w:val="00A200C8"/>
    <w:rsid w:val="00A20806"/>
    <w:rsid w:val="00A21233"/>
    <w:rsid w:val="00A23288"/>
    <w:rsid w:val="00A31CD8"/>
    <w:rsid w:val="00A35A6C"/>
    <w:rsid w:val="00A35EA6"/>
    <w:rsid w:val="00A37D93"/>
    <w:rsid w:val="00A42F48"/>
    <w:rsid w:val="00A46EE0"/>
    <w:rsid w:val="00A47B0F"/>
    <w:rsid w:val="00A51C43"/>
    <w:rsid w:val="00A55C39"/>
    <w:rsid w:val="00A573F4"/>
    <w:rsid w:val="00A6072E"/>
    <w:rsid w:val="00A6106C"/>
    <w:rsid w:val="00A61EC1"/>
    <w:rsid w:val="00A705FD"/>
    <w:rsid w:val="00A706A0"/>
    <w:rsid w:val="00A740C6"/>
    <w:rsid w:val="00A74C7E"/>
    <w:rsid w:val="00A7556C"/>
    <w:rsid w:val="00A75AFB"/>
    <w:rsid w:val="00A81995"/>
    <w:rsid w:val="00A83210"/>
    <w:rsid w:val="00A83736"/>
    <w:rsid w:val="00A837BE"/>
    <w:rsid w:val="00A8699B"/>
    <w:rsid w:val="00A90DF7"/>
    <w:rsid w:val="00AA55CA"/>
    <w:rsid w:val="00AB0AFB"/>
    <w:rsid w:val="00AB4639"/>
    <w:rsid w:val="00AB56D0"/>
    <w:rsid w:val="00AB665B"/>
    <w:rsid w:val="00AB68B6"/>
    <w:rsid w:val="00AC5ADC"/>
    <w:rsid w:val="00AC734E"/>
    <w:rsid w:val="00AD25E8"/>
    <w:rsid w:val="00AD2ACE"/>
    <w:rsid w:val="00AE01C3"/>
    <w:rsid w:val="00AE25B4"/>
    <w:rsid w:val="00AE263A"/>
    <w:rsid w:val="00AE61F2"/>
    <w:rsid w:val="00AF30B1"/>
    <w:rsid w:val="00AF3299"/>
    <w:rsid w:val="00AF448B"/>
    <w:rsid w:val="00AF4F05"/>
    <w:rsid w:val="00AF5E33"/>
    <w:rsid w:val="00B0040E"/>
    <w:rsid w:val="00B0076B"/>
    <w:rsid w:val="00B067DA"/>
    <w:rsid w:val="00B07F6F"/>
    <w:rsid w:val="00B10F8B"/>
    <w:rsid w:val="00B208F2"/>
    <w:rsid w:val="00B20B63"/>
    <w:rsid w:val="00B23285"/>
    <w:rsid w:val="00B25CA4"/>
    <w:rsid w:val="00B33990"/>
    <w:rsid w:val="00B41B5E"/>
    <w:rsid w:val="00B44D3C"/>
    <w:rsid w:val="00B4510C"/>
    <w:rsid w:val="00B5072C"/>
    <w:rsid w:val="00B5344F"/>
    <w:rsid w:val="00B568D6"/>
    <w:rsid w:val="00B5777B"/>
    <w:rsid w:val="00B57ED5"/>
    <w:rsid w:val="00B65926"/>
    <w:rsid w:val="00B76ACC"/>
    <w:rsid w:val="00B779D2"/>
    <w:rsid w:val="00B80B15"/>
    <w:rsid w:val="00B84650"/>
    <w:rsid w:val="00B85B03"/>
    <w:rsid w:val="00B87880"/>
    <w:rsid w:val="00B9283B"/>
    <w:rsid w:val="00B92B10"/>
    <w:rsid w:val="00B94F69"/>
    <w:rsid w:val="00B97ED2"/>
    <w:rsid w:val="00BA0DA2"/>
    <w:rsid w:val="00BA289C"/>
    <w:rsid w:val="00BA3D99"/>
    <w:rsid w:val="00BA4B2D"/>
    <w:rsid w:val="00BA6291"/>
    <w:rsid w:val="00BA72BF"/>
    <w:rsid w:val="00BA7977"/>
    <w:rsid w:val="00BA7C4B"/>
    <w:rsid w:val="00BB3793"/>
    <w:rsid w:val="00BB49DA"/>
    <w:rsid w:val="00BB5C21"/>
    <w:rsid w:val="00BB7DF1"/>
    <w:rsid w:val="00BC4713"/>
    <w:rsid w:val="00BC6989"/>
    <w:rsid w:val="00BC7D18"/>
    <w:rsid w:val="00BC7E63"/>
    <w:rsid w:val="00BC7EC0"/>
    <w:rsid w:val="00BD0895"/>
    <w:rsid w:val="00BD15A1"/>
    <w:rsid w:val="00BD24E3"/>
    <w:rsid w:val="00BD4B5A"/>
    <w:rsid w:val="00BD6168"/>
    <w:rsid w:val="00BD7AB2"/>
    <w:rsid w:val="00BD7AC6"/>
    <w:rsid w:val="00BE41A5"/>
    <w:rsid w:val="00BE4D1F"/>
    <w:rsid w:val="00BE4FE9"/>
    <w:rsid w:val="00BE7D45"/>
    <w:rsid w:val="00BF2929"/>
    <w:rsid w:val="00BF5DEC"/>
    <w:rsid w:val="00BF74AC"/>
    <w:rsid w:val="00C001E3"/>
    <w:rsid w:val="00C003E3"/>
    <w:rsid w:val="00C006C2"/>
    <w:rsid w:val="00C01BDA"/>
    <w:rsid w:val="00C038A7"/>
    <w:rsid w:val="00C10D29"/>
    <w:rsid w:val="00C13E5A"/>
    <w:rsid w:val="00C140A2"/>
    <w:rsid w:val="00C16831"/>
    <w:rsid w:val="00C32823"/>
    <w:rsid w:val="00C40D2C"/>
    <w:rsid w:val="00C4173B"/>
    <w:rsid w:val="00C41BA7"/>
    <w:rsid w:val="00C42908"/>
    <w:rsid w:val="00C44ACF"/>
    <w:rsid w:val="00C46ABB"/>
    <w:rsid w:val="00C52940"/>
    <w:rsid w:val="00C556A2"/>
    <w:rsid w:val="00C57151"/>
    <w:rsid w:val="00C57789"/>
    <w:rsid w:val="00C611C2"/>
    <w:rsid w:val="00C634F5"/>
    <w:rsid w:val="00C63CBF"/>
    <w:rsid w:val="00C646D6"/>
    <w:rsid w:val="00C660DF"/>
    <w:rsid w:val="00C67BD5"/>
    <w:rsid w:val="00C724DA"/>
    <w:rsid w:val="00C7377B"/>
    <w:rsid w:val="00C75060"/>
    <w:rsid w:val="00C800E3"/>
    <w:rsid w:val="00C80B16"/>
    <w:rsid w:val="00C84D1C"/>
    <w:rsid w:val="00C8773F"/>
    <w:rsid w:val="00C87ADA"/>
    <w:rsid w:val="00C87E60"/>
    <w:rsid w:val="00C913B8"/>
    <w:rsid w:val="00C942AB"/>
    <w:rsid w:val="00C94F2D"/>
    <w:rsid w:val="00C95213"/>
    <w:rsid w:val="00C956C2"/>
    <w:rsid w:val="00C9639E"/>
    <w:rsid w:val="00CA0AC8"/>
    <w:rsid w:val="00CA0C90"/>
    <w:rsid w:val="00CA0DA5"/>
    <w:rsid w:val="00CA4CE7"/>
    <w:rsid w:val="00CA7894"/>
    <w:rsid w:val="00CB12FE"/>
    <w:rsid w:val="00CB23E1"/>
    <w:rsid w:val="00CB3D39"/>
    <w:rsid w:val="00CB6BC6"/>
    <w:rsid w:val="00CB74E7"/>
    <w:rsid w:val="00CC0DF6"/>
    <w:rsid w:val="00CC1682"/>
    <w:rsid w:val="00CC22BB"/>
    <w:rsid w:val="00CC247A"/>
    <w:rsid w:val="00CC2B48"/>
    <w:rsid w:val="00CC7DDE"/>
    <w:rsid w:val="00CD475C"/>
    <w:rsid w:val="00CD5998"/>
    <w:rsid w:val="00CD6D0A"/>
    <w:rsid w:val="00CD729E"/>
    <w:rsid w:val="00CE01B8"/>
    <w:rsid w:val="00CE1AD4"/>
    <w:rsid w:val="00CE3528"/>
    <w:rsid w:val="00CE46D1"/>
    <w:rsid w:val="00CE5E5F"/>
    <w:rsid w:val="00CE6153"/>
    <w:rsid w:val="00CE756C"/>
    <w:rsid w:val="00CE7AAF"/>
    <w:rsid w:val="00CF662B"/>
    <w:rsid w:val="00D015B9"/>
    <w:rsid w:val="00D10377"/>
    <w:rsid w:val="00D155D5"/>
    <w:rsid w:val="00D156DB"/>
    <w:rsid w:val="00D16718"/>
    <w:rsid w:val="00D177F4"/>
    <w:rsid w:val="00D17F05"/>
    <w:rsid w:val="00D2155E"/>
    <w:rsid w:val="00D32547"/>
    <w:rsid w:val="00D32581"/>
    <w:rsid w:val="00D32ADF"/>
    <w:rsid w:val="00D33045"/>
    <w:rsid w:val="00D339B0"/>
    <w:rsid w:val="00D35424"/>
    <w:rsid w:val="00D36411"/>
    <w:rsid w:val="00D40298"/>
    <w:rsid w:val="00D42CF5"/>
    <w:rsid w:val="00D43271"/>
    <w:rsid w:val="00D45ECA"/>
    <w:rsid w:val="00D464DA"/>
    <w:rsid w:val="00D4796F"/>
    <w:rsid w:val="00D5001A"/>
    <w:rsid w:val="00D503B4"/>
    <w:rsid w:val="00D53A2C"/>
    <w:rsid w:val="00D55FC7"/>
    <w:rsid w:val="00D5607D"/>
    <w:rsid w:val="00D56C6F"/>
    <w:rsid w:val="00D57437"/>
    <w:rsid w:val="00D61714"/>
    <w:rsid w:val="00D71A50"/>
    <w:rsid w:val="00D727A8"/>
    <w:rsid w:val="00D72A27"/>
    <w:rsid w:val="00D73C73"/>
    <w:rsid w:val="00D756B3"/>
    <w:rsid w:val="00D75F57"/>
    <w:rsid w:val="00D8631A"/>
    <w:rsid w:val="00D869BC"/>
    <w:rsid w:val="00D87831"/>
    <w:rsid w:val="00D87DF6"/>
    <w:rsid w:val="00D90B65"/>
    <w:rsid w:val="00D94E67"/>
    <w:rsid w:val="00D964FA"/>
    <w:rsid w:val="00D9729C"/>
    <w:rsid w:val="00DA0220"/>
    <w:rsid w:val="00DA2164"/>
    <w:rsid w:val="00DA380A"/>
    <w:rsid w:val="00DA5DC2"/>
    <w:rsid w:val="00DA7BF3"/>
    <w:rsid w:val="00DB07FC"/>
    <w:rsid w:val="00DB1B92"/>
    <w:rsid w:val="00DC0BC3"/>
    <w:rsid w:val="00DC3CC3"/>
    <w:rsid w:val="00DC4019"/>
    <w:rsid w:val="00DC5936"/>
    <w:rsid w:val="00DC5993"/>
    <w:rsid w:val="00DD0A07"/>
    <w:rsid w:val="00DD3E5C"/>
    <w:rsid w:val="00DD4456"/>
    <w:rsid w:val="00DE0AF8"/>
    <w:rsid w:val="00DF09A0"/>
    <w:rsid w:val="00DF6F24"/>
    <w:rsid w:val="00E026B4"/>
    <w:rsid w:val="00E10BA3"/>
    <w:rsid w:val="00E14F4F"/>
    <w:rsid w:val="00E23B46"/>
    <w:rsid w:val="00E24B42"/>
    <w:rsid w:val="00E24F7D"/>
    <w:rsid w:val="00E25C53"/>
    <w:rsid w:val="00E269DA"/>
    <w:rsid w:val="00E3646A"/>
    <w:rsid w:val="00E3773A"/>
    <w:rsid w:val="00E41F00"/>
    <w:rsid w:val="00E510C9"/>
    <w:rsid w:val="00E54815"/>
    <w:rsid w:val="00E57F01"/>
    <w:rsid w:val="00E676EA"/>
    <w:rsid w:val="00E700E1"/>
    <w:rsid w:val="00E71330"/>
    <w:rsid w:val="00E72776"/>
    <w:rsid w:val="00E72A80"/>
    <w:rsid w:val="00E7519C"/>
    <w:rsid w:val="00E83865"/>
    <w:rsid w:val="00E84D65"/>
    <w:rsid w:val="00E86344"/>
    <w:rsid w:val="00E91C12"/>
    <w:rsid w:val="00E97FA2"/>
    <w:rsid w:val="00EA0F59"/>
    <w:rsid w:val="00EA20FE"/>
    <w:rsid w:val="00EA289A"/>
    <w:rsid w:val="00EA7769"/>
    <w:rsid w:val="00EB78FF"/>
    <w:rsid w:val="00EC0FAA"/>
    <w:rsid w:val="00EC12BA"/>
    <w:rsid w:val="00EC397F"/>
    <w:rsid w:val="00EC3ACE"/>
    <w:rsid w:val="00EC55D0"/>
    <w:rsid w:val="00ED20E9"/>
    <w:rsid w:val="00ED42D7"/>
    <w:rsid w:val="00EE1732"/>
    <w:rsid w:val="00EE448D"/>
    <w:rsid w:val="00EF14C3"/>
    <w:rsid w:val="00EF1694"/>
    <w:rsid w:val="00EF1F4B"/>
    <w:rsid w:val="00EF2BC9"/>
    <w:rsid w:val="00EF5443"/>
    <w:rsid w:val="00EF62B2"/>
    <w:rsid w:val="00EF6A9F"/>
    <w:rsid w:val="00F037F2"/>
    <w:rsid w:val="00F12FFB"/>
    <w:rsid w:val="00F175B1"/>
    <w:rsid w:val="00F17B5F"/>
    <w:rsid w:val="00F20675"/>
    <w:rsid w:val="00F22475"/>
    <w:rsid w:val="00F23528"/>
    <w:rsid w:val="00F23E40"/>
    <w:rsid w:val="00F24293"/>
    <w:rsid w:val="00F26E41"/>
    <w:rsid w:val="00F304FB"/>
    <w:rsid w:val="00F33B0F"/>
    <w:rsid w:val="00F34730"/>
    <w:rsid w:val="00F36096"/>
    <w:rsid w:val="00F36188"/>
    <w:rsid w:val="00F377B8"/>
    <w:rsid w:val="00F377BF"/>
    <w:rsid w:val="00F44573"/>
    <w:rsid w:val="00F4567F"/>
    <w:rsid w:val="00F47490"/>
    <w:rsid w:val="00F5632A"/>
    <w:rsid w:val="00F576FD"/>
    <w:rsid w:val="00F6194B"/>
    <w:rsid w:val="00F637CF"/>
    <w:rsid w:val="00F719EE"/>
    <w:rsid w:val="00F74BAE"/>
    <w:rsid w:val="00F7558C"/>
    <w:rsid w:val="00F7583F"/>
    <w:rsid w:val="00F77AC0"/>
    <w:rsid w:val="00F80013"/>
    <w:rsid w:val="00F8066D"/>
    <w:rsid w:val="00F807C3"/>
    <w:rsid w:val="00F814DA"/>
    <w:rsid w:val="00F81AE0"/>
    <w:rsid w:val="00F82411"/>
    <w:rsid w:val="00F832FE"/>
    <w:rsid w:val="00F856F7"/>
    <w:rsid w:val="00F860F8"/>
    <w:rsid w:val="00F86A61"/>
    <w:rsid w:val="00F8729C"/>
    <w:rsid w:val="00F87955"/>
    <w:rsid w:val="00F90203"/>
    <w:rsid w:val="00F93AD0"/>
    <w:rsid w:val="00F9736E"/>
    <w:rsid w:val="00FA1864"/>
    <w:rsid w:val="00FA1EA8"/>
    <w:rsid w:val="00FA32B9"/>
    <w:rsid w:val="00FA3371"/>
    <w:rsid w:val="00FA7986"/>
    <w:rsid w:val="00FB3AAC"/>
    <w:rsid w:val="00FB4F15"/>
    <w:rsid w:val="00FB550E"/>
    <w:rsid w:val="00FB5BA1"/>
    <w:rsid w:val="00FC292F"/>
    <w:rsid w:val="00FC46E4"/>
    <w:rsid w:val="00FC514D"/>
    <w:rsid w:val="00FC5730"/>
    <w:rsid w:val="00FC5A22"/>
    <w:rsid w:val="00FD1041"/>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7B67CA77-AF0C-44FC-8775-72484850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811019495">
      <w:bodyDiv w:val="1"/>
      <w:marLeft w:val="0"/>
      <w:marRight w:val="0"/>
      <w:marTop w:val="0"/>
      <w:marBottom w:val="0"/>
      <w:divBdr>
        <w:top w:val="none" w:sz="0" w:space="0" w:color="auto"/>
        <w:left w:val="none" w:sz="0" w:space="0" w:color="auto"/>
        <w:bottom w:val="none" w:sz="0" w:space="0" w:color="auto"/>
        <w:right w:val="none" w:sz="0" w:space="0" w:color="auto"/>
      </w:divBdr>
    </w:div>
    <w:div w:id="867840434">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06048-691B-4599-9E73-6A1C5F0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4073</Words>
  <Characters>23222</Characters>
  <Application>Microsoft Office Word</Application>
  <DocSecurity>4</DocSecurity>
  <Lines>193</Lines>
  <Paragraphs>54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Schools</Company>
  <LinksUpToDate>false</LinksUpToDate>
  <CharactersWithSpaces>27241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Jacqueline.Guillick</dc:creator>
  <cp:lastModifiedBy>DAFOS Wayra (OSG)</cp:lastModifiedBy>
  <cp:revision>2</cp:revision>
  <cp:lastPrinted>2018-04-03T15:32:00Z</cp:lastPrinted>
  <dcterms:created xsi:type="dcterms:W3CDTF">2018-04-05T13:23:00Z</dcterms:created>
  <dcterms:modified xsi:type="dcterms:W3CDTF">2018-04-05T13:23:00Z</dcterms:modified>
</cp:coreProperties>
</file>