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366"/>
      </w:tblGrid>
      <w:tr w:rsidR="00147603" w:rsidRPr="0077635F">
        <w:trPr>
          <w:trHeight w:val="14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7603" w:rsidRPr="0077635F" w:rsidRDefault="007F2374" w:rsidP="00147603">
            <w:pPr>
              <w:jc w:val="left"/>
              <w:rPr>
                <w:lang w:val="en-GB"/>
              </w:rPr>
            </w:pPr>
            <w:r>
              <w:rPr>
                <w:noProof/>
                <w:sz w:val="20"/>
                <w:lang w:val="en-US" w:eastAsia="en-US"/>
              </w:rPr>
              <w:drawing>
                <wp:inline distT="0" distB="0" distL="0" distR="0">
                  <wp:extent cx="2381250" cy="1028700"/>
                  <wp:effectExtent l="0" t="0" r="0" b="0"/>
                  <wp:docPr id="1" name="Picture 1" descr="Logo Schola Europaea - pour docu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chola Europaea - pour docu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6B307F" w:rsidRDefault="006B307F" w:rsidP="00147603">
            <w:pPr>
              <w:pStyle w:val="ZCom"/>
              <w:rPr>
                <w:color w:val="233E90"/>
                <w:lang w:val="en-GB"/>
              </w:rPr>
            </w:pPr>
          </w:p>
          <w:p w:rsidR="00147603" w:rsidRPr="006B307F" w:rsidRDefault="00147603" w:rsidP="00147603">
            <w:pPr>
              <w:pStyle w:val="ZCom"/>
              <w:rPr>
                <w:b/>
                <w:color w:val="233E90"/>
                <w:lang w:val="en-GB"/>
              </w:rPr>
            </w:pPr>
            <w:proofErr w:type="spellStart"/>
            <w:r w:rsidRPr="006B307F">
              <w:rPr>
                <w:b/>
                <w:color w:val="233E90"/>
                <w:lang w:val="en-GB"/>
              </w:rPr>
              <w:t>Schola</w:t>
            </w:r>
            <w:proofErr w:type="spellEnd"/>
            <w:r w:rsidRPr="006B307F">
              <w:rPr>
                <w:b/>
                <w:color w:val="233E90"/>
                <w:lang w:val="en-GB"/>
              </w:rPr>
              <w:t xml:space="preserve"> </w:t>
            </w:r>
            <w:proofErr w:type="spellStart"/>
            <w:r w:rsidRPr="006B307F">
              <w:rPr>
                <w:b/>
                <w:color w:val="233E90"/>
                <w:lang w:val="en-GB"/>
              </w:rPr>
              <w:t>Europaea</w:t>
            </w:r>
            <w:proofErr w:type="spellEnd"/>
          </w:p>
          <w:p w:rsidR="00147603" w:rsidRPr="00FD535A" w:rsidRDefault="00147603" w:rsidP="00147603">
            <w:pPr>
              <w:rPr>
                <w:color w:val="233E90"/>
                <w:lang w:val="en-GB" w:eastAsia="en-US"/>
              </w:rPr>
            </w:pPr>
          </w:p>
          <w:p w:rsidR="00147603" w:rsidRPr="00FD535A" w:rsidRDefault="00E3757A" w:rsidP="00147603">
            <w:pPr>
              <w:pStyle w:val="ZDGName"/>
              <w:rPr>
                <w:color w:val="233E90"/>
                <w:lang w:val="en-GB"/>
              </w:rPr>
            </w:pPr>
            <w:r w:rsidRPr="00FD535A">
              <w:rPr>
                <w:color w:val="233E90"/>
                <w:lang w:val="en-GB"/>
              </w:rPr>
              <w:t>Office of the Secretary-General</w:t>
            </w:r>
          </w:p>
          <w:p w:rsidR="00147603" w:rsidRPr="00FD535A" w:rsidRDefault="00147603" w:rsidP="00147603">
            <w:pPr>
              <w:pStyle w:val="ZDGName"/>
              <w:rPr>
                <w:color w:val="233E90"/>
                <w:lang w:val="en-GB"/>
              </w:rPr>
            </w:pPr>
          </w:p>
          <w:p w:rsidR="00147603" w:rsidRPr="00FD535A" w:rsidRDefault="00E3757A" w:rsidP="00147603">
            <w:pPr>
              <w:pStyle w:val="ZDGName"/>
              <w:rPr>
                <w:color w:val="233E90"/>
                <w:lang w:val="en-GB"/>
              </w:rPr>
            </w:pPr>
            <w:r w:rsidRPr="00FD535A">
              <w:rPr>
                <w:color w:val="233E90"/>
                <w:lang w:val="en-GB"/>
              </w:rPr>
              <w:t>General Secretariat</w:t>
            </w:r>
          </w:p>
          <w:p w:rsidR="00147603" w:rsidRPr="0077635F" w:rsidRDefault="00147603" w:rsidP="00147603">
            <w:pPr>
              <w:pStyle w:val="ZDGName"/>
              <w:widowControl/>
              <w:rPr>
                <w:lang w:val="en-GB"/>
              </w:rPr>
            </w:pPr>
          </w:p>
        </w:tc>
      </w:tr>
    </w:tbl>
    <w:p w:rsidR="00147603" w:rsidRDefault="00E3757A" w:rsidP="00147603">
      <w:pPr>
        <w:pStyle w:val="References"/>
        <w:rPr>
          <w:lang w:val="en-GB"/>
        </w:rPr>
      </w:pPr>
      <w:r w:rsidRPr="0077635F">
        <w:rPr>
          <w:lang w:val="en-GB"/>
        </w:rPr>
        <w:t>Ref.</w:t>
      </w:r>
      <w:r w:rsidR="00826E9B">
        <w:rPr>
          <w:lang w:val="en-GB"/>
        </w:rPr>
        <w:t xml:space="preserve">: </w:t>
      </w:r>
      <w:r w:rsidR="007F2374" w:rsidRPr="007F2374">
        <w:rPr>
          <w:lang w:val="en-US"/>
        </w:rPr>
        <w:t>2017-</w:t>
      </w:r>
      <w:r w:rsidR="00042C76">
        <w:rPr>
          <w:lang w:val="en-US"/>
        </w:rPr>
        <w:t>10-</w:t>
      </w:r>
      <w:r w:rsidR="007F2374" w:rsidRPr="007F2374">
        <w:rPr>
          <w:lang w:val="en-US"/>
        </w:rPr>
        <w:t>D-</w:t>
      </w:r>
      <w:r w:rsidR="00042C76">
        <w:rPr>
          <w:lang w:val="en-US"/>
        </w:rPr>
        <w:t>34</w:t>
      </w:r>
      <w:r w:rsidR="007F2374" w:rsidRPr="007F2374">
        <w:rPr>
          <w:lang w:val="en-US"/>
        </w:rPr>
        <w:t>-en-</w:t>
      </w:r>
      <w:r w:rsidR="00A842A0">
        <w:rPr>
          <w:lang w:val="en-US"/>
        </w:rPr>
        <w:t>2</w:t>
      </w:r>
    </w:p>
    <w:p w:rsidR="00E77770" w:rsidRPr="0077635F" w:rsidRDefault="00E77770" w:rsidP="00147603">
      <w:pPr>
        <w:pStyle w:val="References"/>
        <w:rPr>
          <w:lang w:val="en-GB"/>
        </w:rPr>
      </w:pPr>
      <w:r w:rsidRPr="00DF5D8B">
        <w:rPr>
          <w:lang w:val="en-GB"/>
        </w:rPr>
        <w:t>Orig.:</w:t>
      </w:r>
      <w:r w:rsidR="007F2374">
        <w:rPr>
          <w:lang w:val="en-GB"/>
        </w:rPr>
        <w:t xml:space="preserve"> EN</w:t>
      </w:r>
    </w:p>
    <w:p w:rsidR="007F2374" w:rsidRDefault="007F2374" w:rsidP="007F2374">
      <w:pPr>
        <w:pBdr>
          <w:bottom w:val="single" w:sz="4" w:space="1" w:color="auto"/>
        </w:pBdr>
        <w:spacing w:after="0"/>
        <w:rPr>
          <w:lang w:val="en-GB"/>
        </w:rPr>
      </w:pPr>
    </w:p>
    <w:p w:rsidR="007F2374" w:rsidRDefault="007F2374" w:rsidP="007F2374">
      <w:pPr>
        <w:pBdr>
          <w:bottom w:val="single" w:sz="4" w:space="1" w:color="auto"/>
        </w:pBdr>
        <w:spacing w:after="0"/>
        <w:rPr>
          <w:lang w:val="en-GB"/>
        </w:rPr>
      </w:pPr>
    </w:p>
    <w:p w:rsidR="007F2374" w:rsidRDefault="007F2374" w:rsidP="007F2374">
      <w:pPr>
        <w:pBdr>
          <w:bottom w:val="single" w:sz="4" w:space="1" w:color="auto"/>
        </w:pBdr>
        <w:spacing w:after="0"/>
        <w:rPr>
          <w:lang w:val="en-GB"/>
        </w:rPr>
      </w:pPr>
    </w:p>
    <w:p w:rsidR="007F2374" w:rsidRDefault="007F2374" w:rsidP="007F2374">
      <w:pPr>
        <w:pBdr>
          <w:bottom w:val="single" w:sz="4" w:space="1" w:color="auto"/>
        </w:pBdr>
        <w:spacing w:after="0"/>
        <w:rPr>
          <w:lang w:val="en-GB"/>
        </w:rPr>
      </w:pPr>
    </w:p>
    <w:p w:rsidR="007F2374" w:rsidRDefault="007F2374" w:rsidP="007F2374">
      <w:pPr>
        <w:pBdr>
          <w:bottom w:val="single" w:sz="4" w:space="1" w:color="auto"/>
        </w:pBdr>
        <w:spacing w:after="0"/>
        <w:rPr>
          <w:lang w:val="en-GB"/>
        </w:rPr>
      </w:pPr>
    </w:p>
    <w:p w:rsidR="007F2374" w:rsidRDefault="007F2374" w:rsidP="007F2374">
      <w:pPr>
        <w:pBdr>
          <w:bottom w:val="single" w:sz="4" w:space="1" w:color="auto"/>
        </w:pBdr>
        <w:spacing w:after="0"/>
        <w:rPr>
          <w:lang w:val="en-GB"/>
        </w:rPr>
      </w:pPr>
    </w:p>
    <w:p w:rsidR="007F2374" w:rsidRDefault="007F2374" w:rsidP="007F2374">
      <w:pPr>
        <w:pBdr>
          <w:bottom w:val="single" w:sz="4" w:space="1" w:color="auto"/>
        </w:pBdr>
        <w:spacing w:after="0"/>
        <w:rPr>
          <w:lang w:val="en-GB"/>
        </w:rPr>
      </w:pPr>
    </w:p>
    <w:p w:rsidR="007F2374" w:rsidRDefault="007F2374" w:rsidP="007F2374">
      <w:pPr>
        <w:pBdr>
          <w:bottom w:val="single" w:sz="4" w:space="1" w:color="auto"/>
        </w:pBdr>
        <w:spacing w:after="0"/>
        <w:rPr>
          <w:lang w:val="en-GB"/>
        </w:rPr>
      </w:pPr>
    </w:p>
    <w:p w:rsidR="00147603" w:rsidRPr="007F2374" w:rsidRDefault="0005228C" w:rsidP="007F2374">
      <w:pPr>
        <w:pBdr>
          <w:bottom w:val="single" w:sz="4" w:space="1" w:color="auto"/>
        </w:pBdr>
        <w:spacing w:after="0"/>
        <w:rPr>
          <w:lang w:val="en-GB"/>
        </w:rPr>
      </w:pPr>
      <w:r>
        <w:rPr>
          <w:rFonts w:cs="Arial"/>
          <w:b/>
          <w:bCs/>
          <w:color w:val="000000"/>
          <w:sz w:val="32"/>
          <w:szCs w:val="32"/>
          <w:lang w:val="en-GB" w:eastAsia="en-GB"/>
        </w:rPr>
        <w:t>Risk Management in the European Schools</w:t>
      </w:r>
    </w:p>
    <w:p w:rsidR="00147603" w:rsidRPr="007F2374" w:rsidRDefault="00A842A0" w:rsidP="00147603">
      <w:pPr>
        <w:pStyle w:val="SubTitle1"/>
        <w:rPr>
          <w:szCs w:val="22"/>
          <w:lang w:val="en-GB"/>
        </w:rPr>
      </w:pPr>
      <w:r>
        <w:rPr>
          <w:rFonts w:cs="Arial"/>
          <w:bCs/>
          <w:lang w:val="en-GB"/>
        </w:rPr>
        <w:t>BOARD OF GOVERNORS</w:t>
      </w:r>
      <w:r>
        <w:rPr>
          <w:szCs w:val="22"/>
          <w:lang w:val="en-GB"/>
        </w:rPr>
        <w:t xml:space="preserve"> of the European Schools</w:t>
      </w:r>
      <w:r w:rsidR="00147603" w:rsidRPr="0077635F">
        <w:rPr>
          <w:lang w:val="en-GB"/>
        </w:rPr>
        <w:t xml:space="preserve"> </w:t>
      </w:r>
    </w:p>
    <w:p w:rsidR="00733AE2" w:rsidRPr="007F2374" w:rsidRDefault="007F2374" w:rsidP="007F2374">
      <w:pPr>
        <w:pStyle w:val="SubTitle2"/>
        <w:spacing w:after="120"/>
        <w:rPr>
          <w:szCs w:val="22"/>
          <w:lang w:val="en-GB"/>
        </w:rPr>
      </w:pPr>
      <w:r w:rsidRPr="000C106D">
        <w:rPr>
          <w:szCs w:val="22"/>
          <w:lang w:val="en-GB"/>
        </w:rPr>
        <w:t xml:space="preserve">Meeting on </w:t>
      </w:r>
      <w:r w:rsidR="00A842A0">
        <w:rPr>
          <w:szCs w:val="22"/>
          <w:lang w:val="en-GB"/>
        </w:rPr>
        <w:t>5</w:t>
      </w:r>
      <w:r>
        <w:rPr>
          <w:szCs w:val="22"/>
          <w:lang w:val="en-GB"/>
        </w:rPr>
        <w:t xml:space="preserve"> </w:t>
      </w:r>
      <w:r w:rsidR="00A842A0">
        <w:rPr>
          <w:szCs w:val="22"/>
          <w:lang w:val="en-GB"/>
        </w:rPr>
        <w:t>- 7</w:t>
      </w:r>
      <w:r>
        <w:rPr>
          <w:szCs w:val="22"/>
          <w:lang w:val="en-GB"/>
        </w:rPr>
        <w:t xml:space="preserve"> </w:t>
      </w:r>
      <w:r w:rsidR="00A842A0">
        <w:rPr>
          <w:szCs w:val="22"/>
          <w:lang w:val="en-GB"/>
        </w:rPr>
        <w:t>December</w:t>
      </w:r>
      <w:r>
        <w:rPr>
          <w:szCs w:val="22"/>
          <w:lang w:val="en-GB"/>
        </w:rPr>
        <w:t xml:space="preserve"> 2017 - Brussels</w:t>
      </w:r>
      <w:r w:rsidRPr="000C106D">
        <w:rPr>
          <w:szCs w:val="22"/>
          <w:lang w:val="en-GB"/>
        </w:rPr>
        <w:t xml:space="preserve"> </w:t>
      </w:r>
    </w:p>
    <w:p w:rsidR="00147603" w:rsidRPr="0077635F" w:rsidRDefault="00147603" w:rsidP="00147603">
      <w:pPr>
        <w:rPr>
          <w:lang w:val="en-GB"/>
        </w:rPr>
      </w:pPr>
    </w:p>
    <w:p w:rsidR="00147603" w:rsidRPr="0077635F" w:rsidRDefault="00147603" w:rsidP="00147603">
      <w:pPr>
        <w:rPr>
          <w:lang w:val="en-GB"/>
        </w:rPr>
      </w:pPr>
    </w:p>
    <w:p w:rsidR="00147603" w:rsidRPr="0077635F" w:rsidRDefault="00147603" w:rsidP="00147603">
      <w:pPr>
        <w:rPr>
          <w:lang w:val="en-GB"/>
        </w:rPr>
      </w:pPr>
    </w:p>
    <w:p w:rsidR="00147603" w:rsidRPr="0077635F" w:rsidRDefault="00147603" w:rsidP="00147603">
      <w:pPr>
        <w:rPr>
          <w:lang w:val="en-GB"/>
        </w:rPr>
      </w:pPr>
    </w:p>
    <w:p w:rsidR="00147603" w:rsidRPr="0077635F" w:rsidRDefault="00147603" w:rsidP="00147603">
      <w:pPr>
        <w:rPr>
          <w:lang w:val="en-GB"/>
        </w:rPr>
      </w:pPr>
    </w:p>
    <w:p w:rsidR="00147603" w:rsidRPr="0077635F" w:rsidRDefault="00147603" w:rsidP="00147603">
      <w:pPr>
        <w:rPr>
          <w:lang w:val="en-GB"/>
        </w:rPr>
      </w:pPr>
    </w:p>
    <w:p w:rsidR="00147603" w:rsidRPr="0077635F" w:rsidRDefault="00147603" w:rsidP="00147603">
      <w:pPr>
        <w:rPr>
          <w:lang w:val="en-GB"/>
        </w:rPr>
      </w:pPr>
      <w:bookmarkStart w:id="0" w:name="_GoBack"/>
      <w:bookmarkEnd w:id="0"/>
    </w:p>
    <w:p w:rsidR="00147603" w:rsidRPr="0077635F" w:rsidRDefault="00147603" w:rsidP="00147603">
      <w:pPr>
        <w:rPr>
          <w:lang w:val="en-GB"/>
        </w:rPr>
      </w:pPr>
    </w:p>
    <w:p w:rsidR="00147603" w:rsidRPr="0077635F" w:rsidRDefault="00147603" w:rsidP="00147603">
      <w:pPr>
        <w:rPr>
          <w:rFonts w:cs="Arial"/>
          <w:lang w:val="en-GB"/>
        </w:rPr>
      </w:pPr>
    </w:p>
    <w:p w:rsidR="00A573F4" w:rsidRDefault="00147603" w:rsidP="00826E9B">
      <w:pPr>
        <w:pStyle w:val="Normale"/>
        <w:rPr>
          <w:lang w:val="en-GB"/>
        </w:rPr>
      </w:pPr>
      <w:r w:rsidRPr="0077635F">
        <w:rPr>
          <w:lang w:val="en-GB"/>
        </w:rPr>
        <w:br w:type="page"/>
      </w:r>
    </w:p>
    <w:p w:rsidR="007F2374" w:rsidRPr="007F2374" w:rsidRDefault="007F2374" w:rsidP="007F2374">
      <w:pPr>
        <w:spacing w:before="240"/>
        <w:rPr>
          <w:rFonts w:ascii="Calibri" w:hAnsi="Calibri" w:cs="Calibri"/>
          <w:b/>
          <w:lang w:val="en-GB"/>
        </w:rPr>
      </w:pPr>
      <w:r w:rsidRPr="007F2374">
        <w:rPr>
          <w:rFonts w:ascii="Calibri" w:hAnsi="Calibri" w:cs="Calibri"/>
          <w:b/>
          <w:lang w:val="en-GB"/>
        </w:rPr>
        <w:lastRenderedPageBreak/>
        <w:t>Introduction</w:t>
      </w:r>
    </w:p>
    <w:p w:rsidR="0005228C" w:rsidRDefault="00315451" w:rsidP="007E1F70">
      <w:pPr>
        <w:spacing w:before="24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The European Schools </w:t>
      </w:r>
      <w:r w:rsidR="0005228C">
        <w:rPr>
          <w:rFonts w:ascii="Calibri" w:hAnsi="Calibri" w:cs="Calibri"/>
          <w:lang w:val="en-GB"/>
        </w:rPr>
        <w:t xml:space="preserve">have started </w:t>
      </w:r>
      <w:r w:rsidR="00042C76">
        <w:rPr>
          <w:rFonts w:ascii="Calibri" w:hAnsi="Calibri" w:cs="Calibri"/>
          <w:lang w:val="en-GB"/>
        </w:rPr>
        <w:t>in</w:t>
      </w:r>
      <w:r>
        <w:rPr>
          <w:rFonts w:ascii="Calibri" w:hAnsi="Calibri" w:cs="Calibri"/>
          <w:lang w:val="en-GB"/>
        </w:rPr>
        <w:t xml:space="preserve"> December 2015 a project </w:t>
      </w:r>
      <w:r w:rsidR="0005228C">
        <w:rPr>
          <w:rFonts w:ascii="Calibri" w:hAnsi="Calibri" w:cs="Calibri"/>
          <w:lang w:val="en-GB"/>
        </w:rPr>
        <w:t xml:space="preserve">to put in place a </w:t>
      </w:r>
      <w:r>
        <w:rPr>
          <w:rFonts w:ascii="Calibri" w:hAnsi="Calibri" w:cs="Calibri"/>
          <w:lang w:val="en-GB"/>
        </w:rPr>
        <w:t xml:space="preserve">formal </w:t>
      </w:r>
      <w:r w:rsidR="0005228C">
        <w:rPr>
          <w:rFonts w:ascii="Calibri" w:hAnsi="Calibri" w:cs="Calibri"/>
          <w:lang w:val="en-GB"/>
        </w:rPr>
        <w:t xml:space="preserve">risk management system and </w:t>
      </w:r>
      <w:r>
        <w:rPr>
          <w:rFonts w:ascii="Calibri" w:hAnsi="Calibri" w:cs="Calibri"/>
          <w:lang w:val="en-GB"/>
        </w:rPr>
        <w:t xml:space="preserve">since then </w:t>
      </w:r>
      <w:r w:rsidR="0005228C">
        <w:rPr>
          <w:rFonts w:ascii="Calibri" w:hAnsi="Calibri" w:cs="Calibri"/>
          <w:lang w:val="en-GB"/>
        </w:rPr>
        <w:t xml:space="preserve">report </w:t>
      </w:r>
      <w:r w:rsidR="00042C76">
        <w:rPr>
          <w:rFonts w:ascii="Calibri" w:hAnsi="Calibri" w:cs="Calibri"/>
          <w:lang w:val="en-GB"/>
        </w:rPr>
        <w:t>regularly about</w:t>
      </w:r>
      <w:r w:rsidR="0005228C">
        <w:rPr>
          <w:rFonts w:ascii="Calibri" w:hAnsi="Calibri" w:cs="Calibri"/>
          <w:lang w:val="en-GB"/>
        </w:rPr>
        <w:t xml:space="preserve"> the progress made in the </w:t>
      </w:r>
      <w:r>
        <w:rPr>
          <w:rFonts w:ascii="Calibri" w:hAnsi="Calibri" w:cs="Calibri"/>
          <w:lang w:val="en-GB"/>
        </w:rPr>
        <w:t>m</w:t>
      </w:r>
      <w:r w:rsidR="0005228C">
        <w:rPr>
          <w:rFonts w:ascii="Calibri" w:hAnsi="Calibri" w:cs="Calibri"/>
          <w:lang w:val="en-GB"/>
        </w:rPr>
        <w:t xml:space="preserve">eeting of the Budgetary Committee and Board of Governors. </w:t>
      </w:r>
    </w:p>
    <w:p w:rsidR="00315451" w:rsidRDefault="00315451" w:rsidP="007E1F70">
      <w:pPr>
        <w:spacing w:before="24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The aim of the project is to put in place a risk management system in the Schools and the Office of the Secretary-General </w:t>
      </w:r>
      <w:r w:rsidR="002523F7">
        <w:rPr>
          <w:rFonts w:ascii="Calibri" w:hAnsi="Calibri" w:cs="Calibri"/>
          <w:lang w:val="en-GB"/>
        </w:rPr>
        <w:t xml:space="preserve">(OSG) </w:t>
      </w:r>
      <w:r>
        <w:rPr>
          <w:rFonts w:ascii="Calibri" w:hAnsi="Calibri" w:cs="Calibri"/>
          <w:lang w:val="en-GB"/>
        </w:rPr>
        <w:t xml:space="preserve">that serves as management tool, is linked to objectives </w:t>
      </w:r>
      <w:r w:rsidR="00F0675C">
        <w:rPr>
          <w:rFonts w:ascii="Calibri" w:hAnsi="Calibri" w:cs="Calibri"/>
          <w:lang w:val="en-GB"/>
        </w:rPr>
        <w:t>and helps the Management Team to</w:t>
      </w:r>
      <w:r w:rsidR="00EB27DA">
        <w:rPr>
          <w:rFonts w:ascii="Calibri" w:hAnsi="Calibri" w:cs="Calibri"/>
          <w:lang w:val="en-GB"/>
        </w:rPr>
        <w:t xml:space="preserve"> monitor risks, </w:t>
      </w:r>
      <w:r w:rsidR="00F0675C">
        <w:rPr>
          <w:rFonts w:ascii="Calibri" w:hAnsi="Calibri" w:cs="Calibri"/>
          <w:lang w:val="en-GB"/>
        </w:rPr>
        <w:t xml:space="preserve">prioritize and follow up activities. </w:t>
      </w:r>
    </w:p>
    <w:p w:rsidR="00F0675C" w:rsidRDefault="00F0675C" w:rsidP="007E1F70">
      <w:pPr>
        <w:spacing w:before="24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The risk management system shall cover all activities of the Schools and the Offices – pedagogical and administrative ones. </w:t>
      </w:r>
    </w:p>
    <w:p w:rsidR="007F2374" w:rsidRPr="007F2374" w:rsidRDefault="00F0675C" w:rsidP="007E1F70">
      <w:pPr>
        <w:spacing w:before="240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Activities since </w:t>
      </w:r>
      <w:r w:rsidR="00A842A0">
        <w:rPr>
          <w:rFonts w:ascii="Calibri" w:hAnsi="Calibri" w:cs="Calibri"/>
          <w:b/>
          <w:lang w:val="en-GB"/>
        </w:rPr>
        <w:t>April</w:t>
      </w:r>
      <w:r w:rsidR="00042C76">
        <w:rPr>
          <w:rFonts w:ascii="Calibri" w:hAnsi="Calibri" w:cs="Calibri"/>
          <w:b/>
          <w:lang w:val="en-GB"/>
        </w:rPr>
        <w:t xml:space="preserve"> 2017</w:t>
      </w:r>
      <w:r w:rsidR="006E6611">
        <w:rPr>
          <w:rFonts w:ascii="Calibri" w:hAnsi="Calibri" w:cs="Calibri"/>
          <w:b/>
          <w:lang w:val="en-GB"/>
        </w:rPr>
        <w:t xml:space="preserve"> </w:t>
      </w:r>
    </w:p>
    <w:p w:rsidR="00CA6E70" w:rsidRDefault="00042C76" w:rsidP="00202693">
      <w:pPr>
        <w:spacing w:before="24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Based on the top 10 European School</w:t>
      </w:r>
      <w:r w:rsidR="00202693">
        <w:rPr>
          <w:rFonts w:ascii="Calibri" w:hAnsi="Calibri" w:cs="Calibri"/>
          <w:lang w:val="en-GB"/>
        </w:rPr>
        <w:t>s’</w:t>
      </w:r>
      <w:r>
        <w:rPr>
          <w:rFonts w:ascii="Calibri" w:hAnsi="Calibri" w:cs="Calibri"/>
          <w:lang w:val="en-GB"/>
        </w:rPr>
        <w:t xml:space="preserve"> risks a workshop was held in June with Directors and Administrators</w:t>
      </w:r>
      <w:r w:rsidR="00202693">
        <w:rPr>
          <w:rFonts w:ascii="Calibri" w:hAnsi="Calibri" w:cs="Calibri"/>
          <w:lang w:val="en-GB"/>
        </w:rPr>
        <w:t xml:space="preserve"> in order to jointly review the risk descriptions, to define an assessment guidance for each risk and to discuss about action plans on school and office level.</w:t>
      </w:r>
    </w:p>
    <w:p w:rsidR="00202693" w:rsidRDefault="00202693" w:rsidP="00202693">
      <w:pPr>
        <w:spacing w:before="24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For the Admin</w:t>
      </w:r>
      <w:r w:rsidR="00096E6D">
        <w:rPr>
          <w:rFonts w:ascii="Calibri" w:hAnsi="Calibri" w:cs="Calibri"/>
          <w:lang w:val="en-GB"/>
        </w:rPr>
        <w:t>istrative</w:t>
      </w:r>
      <w:r>
        <w:rPr>
          <w:rFonts w:ascii="Calibri" w:hAnsi="Calibri" w:cs="Calibri"/>
          <w:lang w:val="en-GB"/>
        </w:rPr>
        <w:t xml:space="preserve"> Boards </w:t>
      </w:r>
      <w:r w:rsidR="00DA71A7">
        <w:rPr>
          <w:rFonts w:ascii="Calibri" w:hAnsi="Calibri" w:cs="Calibri"/>
          <w:lang w:val="en-GB"/>
        </w:rPr>
        <w:t xml:space="preserve">in autumn </w:t>
      </w:r>
      <w:r>
        <w:rPr>
          <w:rFonts w:ascii="Calibri" w:hAnsi="Calibri" w:cs="Calibri"/>
          <w:lang w:val="en-GB"/>
        </w:rPr>
        <w:t xml:space="preserve">the Schools were asked to assess the importance of 5 </w:t>
      </w:r>
      <w:r w:rsidR="003B5A03">
        <w:rPr>
          <w:rFonts w:ascii="Calibri" w:hAnsi="Calibri" w:cs="Calibri"/>
          <w:lang w:val="en-GB"/>
        </w:rPr>
        <w:t xml:space="preserve">of the top 10 </w:t>
      </w:r>
      <w:r>
        <w:rPr>
          <w:rFonts w:ascii="Calibri" w:hAnsi="Calibri" w:cs="Calibri"/>
          <w:lang w:val="en-GB"/>
        </w:rPr>
        <w:t>risks</w:t>
      </w:r>
      <w:r w:rsidR="003B5A03">
        <w:rPr>
          <w:rFonts w:ascii="Calibri" w:hAnsi="Calibri" w:cs="Calibri"/>
          <w:lang w:val="en-GB"/>
        </w:rPr>
        <w:t xml:space="preserve"> and to add any school-specific risks</w:t>
      </w:r>
      <w:r>
        <w:rPr>
          <w:rFonts w:ascii="Calibri" w:hAnsi="Calibri" w:cs="Calibri"/>
          <w:lang w:val="en-GB"/>
        </w:rPr>
        <w:t xml:space="preserve"> related to pedagogy. The outcome is presented on the next page.</w:t>
      </w:r>
    </w:p>
    <w:p w:rsidR="00202693" w:rsidRDefault="003B5A03" w:rsidP="00202693">
      <w:pPr>
        <w:spacing w:before="24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12 out of 13 Schools performed this exercise. One of the 12 Schools has only presented school-specific risks.</w:t>
      </w:r>
    </w:p>
    <w:p w:rsidR="0003462B" w:rsidRDefault="0003462B" w:rsidP="00202693">
      <w:pPr>
        <w:spacing w:before="24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 risks were assessed</w:t>
      </w:r>
      <w:r w:rsidR="00DA71A7">
        <w:rPr>
          <w:rFonts w:ascii="Calibri" w:hAnsi="Calibri" w:cs="Calibri"/>
          <w:lang w:val="en-GB"/>
        </w:rPr>
        <w:t xml:space="preserve"> by their likelihood and impact;</w:t>
      </w:r>
      <w:r>
        <w:rPr>
          <w:rFonts w:ascii="Calibri" w:hAnsi="Calibri" w:cs="Calibri"/>
          <w:lang w:val="en-GB"/>
        </w:rPr>
        <w:t xml:space="preserve"> we </w:t>
      </w:r>
      <w:r w:rsidR="00DA71A7">
        <w:rPr>
          <w:rFonts w:ascii="Calibri" w:hAnsi="Calibri" w:cs="Calibri"/>
          <w:lang w:val="en-GB"/>
        </w:rPr>
        <w:t xml:space="preserve">then </w:t>
      </w:r>
      <w:r>
        <w:rPr>
          <w:rFonts w:ascii="Calibri" w:hAnsi="Calibri" w:cs="Calibri"/>
          <w:lang w:val="en-GB"/>
        </w:rPr>
        <w:t>took the average of all schools</w:t>
      </w:r>
      <w:r w:rsidR="007A2433">
        <w:rPr>
          <w:rFonts w:ascii="Calibri" w:hAnsi="Calibri" w:cs="Calibri"/>
          <w:lang w:val="en-GB"/>
        </w:rPr>
        <w:t xml:space="preserve"> for this presentation</w:t>
      </w:r>
      <w:r>
        <w:rPr>
          <w:rFonts w:ascii="Calibri" w:hAnsi="Calibri" w:cs="Calibri"/>
          <w:lang w:val="en-GB"/>
        </w:rPr>
        <w:t>.</w:t>
      </w:r>
    </w:p>
    <w:p w:rsidR="0003462B" w:rsidRDefault="0003462B" w:rsidP="00202693">
      <w:pPr>
        <w:spacing w:before="24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 most important risks are:</w:t>
      </w:r>
    </w:p>
    <w:p w:rsidR="0003462B" w:rsidRPr="007A2433" w:rsidRDefault="0003462B" w:rsidP="0003462B">
      <w:pPr>
        <w:pStyle w:val="ListParagraph"/>
        <w:numPr>
          <w:ilvl w:val="0"/>
          <w:numId w:val="44"/>
        </w:numPr>
        <w:spacing w:before="240"/>
        <w:rPr>
          <w:rFonts w:ascii="Calibri" w:hAnsi="Calibri" w:cs="Calibri"/>
          <w:lang w:val="en-GB"/>
        </w:rPr>
      </w:pPr>
      <w:r w:rsidRPr="0003462B">
        <w:rPr>
          <w:rFonts w:ascii="Calibri" w:hAnsi="Calibri" w:cs="Calibri"/>
          <w:lang w:val="en-GB"/>
        </w:rPr>
        <w:t xml:space="preserve">Development of pupil numbers (constant increase): This is a very important topic in three Brussels Schools (I, II and III) and a top priority in the office (see also </w:t>
      </w:r>
      <w:r w:rsidR="00E04620">
        <w:rPr>
          <w:rFonts w:ascii="Calibri" w:hAnsi="Calibri" w:cs="Calibri"/>
          <w:lang w:val="en-GB"/>
        </w:rPr>
        <w:t>agenda item</w:t>
      </w:r>
      <w:r w:rsidRPr="0003462B">
        <w:rPr>
          <w:rFonts w:ascii="Calibri" w:hAnsi="Calibri" w:cs="Calibri"/>
          <w:lang w:val="en-GB"/>
        </w:rPr>
        <w:t xml:space="preserve"> </w:t>
      </w:r>
      <w:r w:rsidR="00E04620">
        <w:rPr>
          <w:rFonts w:ascii="Calibri" w:hAnsi="Calibri" w:cs="Calibri"/>
          <w:lang w:val="en-GB"/>
        </w:rPr>
        <w:t>B.3. Situation of the Brussels European Schools)</w:t>
      </w:r>
      <w:r w:rsidR="007A2433" w:rsidRPr="007A2433">
        <w:rPr>
          <w:rFonts w:ascii="Calibri" w:hAnsi="Calibri" w:cs="Calibri"/>
          <w:lang w:val="en-GB"/>
        </w:rPr>
        <w:t>.</w:t>
      </w:r>
      <w:r w:rsidR="00052C0B" w:rsidRPr="007A2433">
        <w:rPr>
          <w:rFonts w:ascii="Calibri" w:hAnsi="Calibri" w:cs="Calibri"/>
          <w:lang w:val="en-GB"/>
        </w:rPr>
        <w:t xml:space="preserve"> </w:t>
      </w:r>
    </w:p>
    <w:p w:rsidR="0003462B" w:rsidRPr="0003462B" w:rsidRDefault="0003462B" w:rsidP="0003462B">
      <w:pPr>
        <w:pStyle w:val="ListParagraph"/>
        <w:numPr>
          <w:ilvl w:val="0"/>
          <w:numId w:val="44"/>
        </w:numPr>
        <w:spacing w:before="24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Difficulties in the recruitment of locally recruited teachers</w:t>
      </w:r>
      <w:r w:rsidR="00096E6D">
        <w:rPr>
          <w:rFonts w:ascii="Calibri" w:hAnsi="Calibri" w:cs="Calibri"/>
          <w:lang w:val="en-GB"/>
        </w:rPr>
        <w:t>: This is one of the most important risks in all Schools, assessed as very high in the Brussels Schools, Luxembourg and Karlsruhe.</w:t>
      </w:r>
    </w:p>
    <w:p w:rsidR="009B2589" w:rsidRDefault="00096E6D" w:rsidP="007E1F70">
      <w:pPr>
        <w:spacing w:before="240"/>
        <w:rPr>
          <w:rFonts w:ascii="Calibri" w:hAnsi="Calibri" w:cs="Calibri"/>
          <w:lang w:val="en-GB"/>
        </w:rPr>
        <w:sectPr w:rsidR="009B2589" w:rsidSect="00A7556C">
          <w:footerReference w:type="default" r:id="rId9"/>
          <w:footerReference w:type="first" r:id="rId10"/>
          <w:pgSz w:w="11906" w:h="16838"/>
          <w:pgMar w:top="1020" w:right="1466" w:bottom="1020" w:left="1587" w:header="601" w:footer="1077" w:gutter="0"/>
          <w:cols w:space="720"/>
          <w:titlePg/>
        </w:sectPr>
      </w:pPr>
      <w:r>
        <w:rPr>
          <w:rFonts w:ascii="Calibri" w:hAnsi="Calibri" w:cs="Calibri"/>
          <w:lang w:val="en-GB"/>
        </w:rPr>
        <w:t xml:space="preserve">For the Administrative Board meetings at the beginning of 2018 we will ask the Schools to present the remaining 5 top risks, which are related to finance, administration and security. This will give us then </w:t>
      </w:r>
      <w:r w:rsidR="00DA71A7">
        <w:rPr>
          <w:rFonts w:ascii="Calibri" w:hAnsi="Calibri" w:cs="Calibri"/>
          <w:lang w:val="en-GB"/>
        </w:rPr>
        <w:t>a full</w:t>
      </w:r>
      <w:r>
        <w:rPr>
          <w:rFonts w:ascii="Calibri" w:hAnsi="Calibri" w:cs="Calibri"/>
          <w:lang w:val="en-GB"/>
        </w:rPr>
        <w:t xml:space="preserve"> picture and we </w:t>
      </w:r>
      <w:r w:rsidR="002523F7">
        <w:rPr>
          <w:rFonts w:ascii="Calibri" w:hAnsi="Calibri" w:cs="Calibri"/>
          <w:lang w:val="en-GB"/>
        </w:rPr>
        <w:t xml:space="preserve">will </w:t>
      </w:r>
      <w:r>
        <w:rPr>
          <w:rFonts w:ascii="Calibri" w:hAnsi="Calibri" w:cs="Calibri"/>
          <w:lang w:val="en-GB"/>
        </w:rPr>
        <w:t xml:space="preserve">update </w:t>
      </w:r>
      <w:r w:rsidR="002523F7">
        <w:rPr>
          <w:rFonts w:ascii="Calibri" w:hAnsi="Calibri" w:cs="Calibri"/>
          <w:lang w:val="en-GB"/>
        </w:rPr>
        <w:t xml:space="preserve">the Budgetary Committee and Board of Governors </w:t>
      </w:r>
      <w:r>
        <w:rPr>
          <w:rFonts w:ascii="Calibri" w:hAnsi="Calibri" w:cs="Calibri"/>
          <w:lang w:val="en-GB"/>
        </w:rPr>
        <w:t xml:space="preserve">in March and April respectively about the </w:t>
      </w:r>
      <w:r w:rsidR="00F924E8">
        <w:rPr>
          <w:rFonts w:ascii="Calibri" w:hAnsi="Calibri" w:cs="Calibri"/>
          <w:lang w:val="en-GB"/>
        </w:rPr>
        <w:t>exercise</w:t>
      </w:r>
      <w:r w:rsidR="002523F7">
        <w:rPr>
          <w:rFonts w:ascii="Calibri" w:hAnsi="Calibri" w:cs="Calibri"/>
          <w:lang w:val="en-GB"/>
        </w:rPr>
        <w:t>.</w:t>
      </w:r>
    </w:p>
    <w:p w:rsidR="00EB27DA" w:rsidRPr="00B01C9C" w:rsidRDefault="00B01C9C" w:rsidP="007E1F70">
      <w:pPr>
        <w:spacing w:before="240"/>
        <w:rPr>
          <w:rFonts w:ascii="Calibri" w:hAnsi="Calibri" w:cs="Calibri"/>
          <w:b/>
          <w:sz w:val="24"/>
          <w:u w:val="single"/>
          <w:lang w:val="en-GB"/>
        </w:rPr>
      </w:pPr>
      <w:r w:rsidRPr="00B01C9C">
        <w:rPr>
          <w:rFonts w:ascii="Calibri" w:hAnsi="Calibri" w:cs="Calibri"/>
          <w:b/>
          <w:sz w:val="24"/>
          <w:u w:val="single"/>
          <w:lang w:val="en-GB"/>
        </w:rPr>
        <w:lastRenderedPageBreak/>
        <w:t>European Schools’</w:t>
      </w:r>
      <w:r w:rsidR="00337CCB">
        <w:rPr>
          <w:rFonts w:ascii="Calibri" w:hAnsi="Calibri" w:cs="Calibri"/>
          <w:b/>
          <w:sz w:val="24"/>
          <w:u w:val="single"/>
          <w:lang w:val="en-GB"/>
        </w:rPr>
        <w:t xml:space="preserve"> top risks - Ped</w:t>
      </w:r>
      <w:r w:rsidRPr="00B01C9C">
        <w:rPr>
          <w:rFonts w:ascii="Calibri" w:hAnsi="Calibri" w:cs="Calibri"/>
          <w:b/>
          <w:sz w:val="24"/>
          <w:u w:val="single"/>
          <w:lang w:val="en-GB"/>
        </w:rPr>
        <w:t>agogy</w:t>
      </w:r>
    </w:p>
    <w:p w:rsidR="00DA71A7" w:rsidRDefault="00C4072A">
      <w:pPr>
        <w:spacing w:before="0" w:after="0"/>
        <w:jc w:val="left"/>
        <w:rPr>
          <w:rFonts w:ascii="Times New Roman" w:hAnsi="Times New Roman"/>
          <w:sz w:val="20"/>
          <w:lang w:val="en-GB" w:eastAsia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LINK </w:instrText>
      </w:r>
      <w:r w:rsidR="001C2EC9">
        <w:rPr>
          <w:lang w:val="en-GB"/>
        </w:rPr>
        <w:instrText xml:space="preserve">Excel.Sheet.12 "\\\\eursc.eu\\shares\\OSG-Profiles\\spitzeli\\Homedrive\\Committee Meetings\\Budgetary Committee\\Risk Management\\Nov 2017\\ES top risks_Pedagogy_confidential_16102017.xlsx" "Details of top risks - Pedagogy!R3C1:R90C18" </w:instrText>
      </w:r>
      <w:r>
        <w:rPr>
          <w:lang w:val="en-GB"/>
        </w:rPr>
        <w:instrText xml:space="preserve">\a \f 4 \h </w:instrText>
      </w:r>
      <w:r>
        <w:rPr>
          <w:lang w:val="en-GB"/>
        </w:rPr>
        <w:fldChar w:fldCharType="separate"/>
      </w:r>
    </w:p>
    <w:tbl>
      <w:tblPr>
        <w:tblW w:w="16441" w:type="dxa"/>
        <w:tblLook w:val="04A0" w:firstRow="1" w:lastRow="0" w:firstColumn="1" w:lastColumn="0" w:noHBand="0" w:noVBand="1"/>
      </w:tblPr>
      <w:tblGrid>
        <w:gridCol w:w="1776"/>
        <w:gridCol w:w="1089"/>
        <w:gridCol w:w="1891"/>
        <w:gridCol w:w="4169"/>
        <w:gridCol w:w="1632"/>
        <w:gridCol w:w="4856"/>
        <w:gridCol w:w="266"/>
        <w:gridCol w:w="956"/>
      </w:tblGrid>
      <w:tr w:rsidR="00DA71A7" w:rsidRPr="00DA71A7" w:rsidTr="00DA71A7">
        <w:trPr>
          <w:divId w:val="296573208"/>
          <w:trHeight w:val="33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val="en-US" w:eastAsia="en-US"/>
              </w:rPr>
            </w:pPr>
            <w:r w:rsidRPr="00DA71A7">
              <w:rPr>
                <w:rFonts w:ascii="Calibri" w:hAnsi="Calibri" w:cs="Calibri"/>
                <w:b/>
                <w:bCs/>
                <w:color w:val="000000"/>
                <w:sz w:val="20"/>
                <w:lang w:val="en-US" w:eastAsia="en-US"/>
              </w:rPr>
              <w:t>Risk levels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val="en-US"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DA71A7" w:rsidRPr="00362E5B" w:rsidTr="00DA71A7">
        <w:trPr>
          <w:divId w:val="296573208"/>
          <w:trHeight w:val="33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1- 4</w:t>
            </w: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 xml:space="preserve">The risk is under control and represents no immediate threat or impact. 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DA71A7" w:rsidRPr="00362E5B" w:rsidTr="00DA71A7">
        <w:trPr>
          <w:divId w:val="296573208"/>
          <w:trHeight w:val="37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5-19</w:t>
            </w: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Medium risk, needs managing and monitoring but there is no immediate threat which would have a significant impact.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DA71A7" w:rsidRPr="00362E5B" w:rsidTr="00DA71A7">
        <w:trPr>
          <w:divId w:val="296573208"/>
          <w:trHeight w:val="30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20-25</w:t>
            </w: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High level risk, should be constantly monitored and managed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DA71A7" w:rsidRPr="00362E5B" w:rsidTr="00DA71A7">
        <w:trPr>
          <w:divId w:val="296573208"/>
          <w:trHeight w:val="315"/>
        </w:trPr>
        <w:tc>
          <w:tcPr>
            <w:tcW w:w="882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300"/>
        </w:trPr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  <w:t>Objectives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  <w:t>Risk Category</w:t>
            </w:r>
          </w:p>
        </w:tc>
        <w:tc>
          <w:tcPr>
            <w:tcW w:w="17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  <w:t>Risk Title</w:t>
            </w:r>
          </w:p>
        </w:tc>
        <w:tc>
          <w:tcPr>
            <w:tcW w:w="41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  <w:t>Risk Description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DDC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  <w:t>Risk Response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  <w:t>Action Plan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textDirection w:val="btLr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  <w:t>Average Assessment</w:t>
            </w:r>
          </w:p>
        </w:tc>
      </w:tr>
      <w:tr w:rsidR="00DA71A7" w:rsidRPr="00DA71A7" w:rsidTr="00DA71A7">
        <w:trPr>
          <w:divId w:val="296573208"/>
          <w:trHeight w:val="645"/>
        </w:trPr>
        <w:tc>
          <w:tcPr>
            <w:tcW w:w="17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48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Description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255"/>
        </w:trPr>
        <w:tc>
          <w:tcPr>
            <w:tcW w:w="17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1935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>Provision of multi-lingual, high quality education from early childhood to secondary school.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  <w:t>Pedagogical Risk</w:t>
            </w:r>
          </w:p>
        </w:tc>
        <w:tc>
          <w:tcPr>
            <w:tcW w:w="17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Lack of harmonization / coherence between sections</w:t>
            </w:r>
          </w:p>
        </w:tc>
        <w:tc>
          <w:tcPr>
            <w:tcW w:w="41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 xml:space="preserve">REASONS: 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 xml:space="preserve">Inconsistencies in teaching approaches, 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 xml:space="preserve">but also in the assessment and treatment of pupils. 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 xml:space="preserve">'CONSEQUENCES:  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Problems at all levels of the school, but particularly at the level of the Baccalaureate.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Complaints from parents, increased number of complaints to be dealt with by the Complaints Board.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Negative remarks from the Whole School Inspection.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-Negative effects for the reputation of the School and the European School System.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Reduce</w:t>
            </w:r>
          </w:p>
        </w:tc>
        <w:tc>
          <w:tcPr>
            <w:tcW w:w="4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School: 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 xml:space="preserve">- Management to insist on </w:t>
            </w:r>
            <w:r w:rsidR="008F67CD"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>harmonized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planning within subject and level groups. 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Sampling by management of '</w:t>
            </w:r>
            <w:r w:rsidR="008F67CD"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>harmonized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' record of work. 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 xml:space="preserve">- Subject and level meetings led by coordinators should always focus on </w:t>
            </w:r>
            <w:r w:rsidR="008F67CD"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>harmonization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issues.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 xml:space="preserve">- Schedule monthly meetings of subjects led by coordinators to discuss </w:t>
            </w:r>
            <w:r w:rsidR="008F67CD"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>harmonized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planning and assessment. Monthly meeting reports submitted to management. 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 Encourage S6 and S7 teachers to moderate each other's marking.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Share WSI action plan with whole school and management to review it regularly to ensure implementation.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 xml:space="preserve">- Produce, publish and </w:t>
            </w:r>
            <w:r w:rsidR="008F67CD"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>analyze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data. Implement interventions to improve student performance.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To be further discussed: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 xml:space="preserve">- In the BAC course, widen </w:t>
            </w:r>
            <w:r w:rsidR="008F67CD"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>harmonized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exams to S6.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</w:tr>
      <w:tr w:rsidR="00DA71A7" w:rsidRPr="00DA71A7" w:rsidTr="00DA71A7">
        <w:trPr>
          <w:divId w:val="296573208"/>
          <w:trHeight w:val="450"/>
        </w:trPr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585"/>
        </w:trPr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555"/>
        </w:trPr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345"/>
        </w:trPr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225"/>
        </w:trPr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135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DA71A7" w:rsidRPr="00DA71A7" w:rsidTr="00DA71A7">
        <w:trPr>
          <w:divId w:val="296573208"/>
          <w:trHeight w:val="3615"/>
        </w:trPr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24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 xml:space="preserve">- Assure pedagogical continuity 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 xml:space="preserve">- Reduction of hours not assured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  <w:t>Pedagogical Risk</w:t>
            </w:r>
          </w:p>
        </w:tc>
        <w:tc>
          <w:tcPr>
            <w:tcW w:w="17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>Number of teaching hours not assured has a negative impact on school life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=&gt; Risk relates to all types of absences (illness, working group, school trip), whenever a course/class is not given</w:t>
            </w:r>
          </w:p>
        </w:tc>
        <w:tc>
          <w:tcPr>
            <w:tcW w:w="41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CD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 xml:space="preserve">REASONS: 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 xml:space="preserve">On a yearly basis a number of teaching hours is lost due to absent teachers (for various reasons). 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</w:r>
          </w:p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 xml:space="preserve">CONSEQUENCES: 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Pupils miss important parts of their subjects content;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Negative impact on the learning attitude;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Learning process is affected due to the interruption in teaching.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Complaints and general dissatisfaction from parents and school community;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For the management of the school it is difficult to run the school on a day-to-day basis.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Reduce</w:t>
            </w:r>
          </w:p>
        </w:tc>
        <w:tc>
          <w:tcPr>
            <w:tcW w:w="4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School: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Monitor absences and reasons for absences strictly.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 xml:space="preserve">- Develop procedures for the </w:t>
            </w:r>
            <w:r w:rsidR="008F67CD"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>organization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of replacements at school level.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Inform inspectors about absence rate and ask them to take their responsibility.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</w:r>
            <w:r w:rsidRPr="00DA71A7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OSG and School: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Develop a harmonized template to record absences.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Compare national absence rates via Inspectors.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</w:tr>
      <w:tr w:rsidR="00DA71A7" w:rsidRPr="00DA71A7" w:rsidTr="00DA71A7">
        <w:trPr>
          <w:divId w:val="296573208"/>
          <w:trHeight w:val="15"/>
        </w:trPr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135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DA71A7" w:rsidRPr="00DA71A7" w:rsidTr="00DA71A7">
        <w:trPr>
          <w:divId w:val="296573208"/>
          <w:trHeight w:val="1755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Recruit, develop, assess, motivate and retain highly qualified staff.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  <w:t>Staff Risk</w:t>
            </w:r>
          </w:p>
        </w:tc>
        <w:tc>
          <w:tcPr>
            <w:tcW w:w="17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Difficulties in the recruitment of locally recruited teachers  </w:t>
            </w:r>
          </w:p>
        </w:tc>
        <w:tc>
          <w:tcPr>
            <w:tcW w:w="41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33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REASONS: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  <w:t>- Package (payment, duration of the contract, etc.) is not  attractive enough;</w:t>
            </w:r>
          </w:p>
          <w:p w:rsidR="007A2433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  <w:t xml:space="preserve">- Cost-sharing agreement does not set the minimum number of </w:t>
            </w:r>
            <w:proofErr w:type="spellStart"/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secondments</w:t>
            </w:r>
            <w:proofErr w:type="spellEnd"/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;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</w:r>
          </w:p>
          <w:p w:rsidR="007A2433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- the way posts are advertised.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</w:r>
          </w:p>
          <w:p w:rsidR="007A2433" w:rsidRDefault="007A2433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  <w:p w:rsidR="008F67CD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CONSEQUENCES</w:t>
            </w:r>
          </w:p>
          <w:p w:rsidR="007A2433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  <w:t>- lacking teachers for some lessons (particularly in EN, plus particular subjects in other languages);</w:t>
            </w:r>
          </w:p>
          <w:p w:rsidR="007A2433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  <w:t>- too many extra hours for the teachers in place;</w:t>
            </w:r>
          </w:p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  <w:t>- Impact on the  education provided by the school.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Reduce</w:t>
            </w:r>
          </w:p>
        </w:tc>
        <w:tc>
          <w:tcPr>
            <w:tcW w:w="4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CD" w:rsidRDefault="00DA71A7" w:rsidP="00DA71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School:</w:t>
            </w:r>
          </w:p>
          <w:p w:rsidR="008F67CD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  <w:t>- find new and more efficient ways to advertise posts.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</w:r>
          </w:p>
          <w:p w:rsidR="008F67CD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- have a list of alternative candidates and keep contact with them.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</w:r>
          </w:p>
          <w:p w:rsidR="008F67CD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- get a feeling on the risk that the "main" candidate might disappear.</w:t>
            </w:r>
          </w:p>
          <w:p w:rsidR="008F67CD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  <w:t>- test motivation for the job during interviews.</w:t>
            </w:r>
          </w:p>
          <w:p w:rsidR="008F67CD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  <w:t>- Limit "physiological" extra-hours.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</w:r>
          </w:p>
          <w:p w:rsidR="00926028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- dispose of enough replacement teachers in the most "difficult to fill" lessons.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</w:r>
          </w:p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- make use of non-native qualified teachers.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18</w:t>
            </w:r>
          </w:p>
        </w:tc>
      </w:tr>
      <w:tr w:rsidR="00DA71A7" w:rsidRPr="00DA71A7" w:rsidTr="00DA71A7">
        <w:trPr>
          <w:divId w:val="296573208"/>
          <w:trHeight w:val="975"/>
        </w:trPr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315"/>
        </w:trPr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135"/>
        </w:trPr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135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DA71A7" w:rsidRPr="00DA71A7" w:rsidTr="00DA71A7">
        <w:trPr>
          <w:divId w:val="296573208"/>
          <w:trHeight w:val="594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- Guarantee quality teaching and learning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Guarantee native speakers for L1 and L2 (minimum)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  <w:t>Strategic Risk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Consequences of BREXIT decision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REASONS: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UK informed European Council of the intention to leave the European Union by the end of March 2019.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 xml:space="preserve">CONSEQUENCES: 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 xml:space="preserve">- withdrawal of seconded UK teachers:  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=&gt; We currently assume that we won't have any seconded teachers from the UK after 31.08.2019;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=&gt; Possibly some may leave even before the end of their contract.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Necessity to find an increasing number of qualified, English-speaking locally recruited teachers;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 xml:space="preserve">- Potential serious financial consequences for the school: 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 xml:space="preserve">=&gt; reduction/stop of the contribution of the UK via the </w:t>
            </w:r>
            <w:proofErr w:type="spellStart"/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secondment</w:t>
            </w:r>
            <w:proofErr w:type="spellEnd"/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 xml:space="preserve"> of teachers and cost-sharing agreement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=&gt; increase of needed funds from EU COM due to an increase of LRT;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=&gt; decrease of EU budget due to loss of UK contribution;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Loss of English native speakers might affect the quality of teaching and learning (recruitment of non-native teachers for subjects taught in L2);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 xml:space="preserve"> - ES BAC might not be recognized in UK;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Decrease of school population due to British families moving back to the UK.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Reduce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School: 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 xml:space="preserve">- Identification of UK key personnel at risk to leave the school; 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Ensure business continuity by identifying back-ups/successors for key personnel;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Conduct interviews with UK teachers to find out about their readiness to return to the UK and any conditions that would  convince them to continue in the ES;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Build-up expertise to help students with career guidance in other countries;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Monitor the BREXIT negotiations and adjust the risk assessment accordingly in response to information from the OSG.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</w:r>
            <w:r w:rsidRPr="00DA71A7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OSG: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Lead BREXIT WG, regular information to schools about developments.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</w:tr>
      <w:tr w:rsidR="00DA71A7" w:rsidRPr="00DA71A7" w:rsidTr="00DA71A7">
        <w:trPr>
          <w:divId w:val="296573208"/>
          <w:trHeight w:val="135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DA71A7" w:rsidRPr="00DA71A7" w:rsidTr="00DA71A7">
        <w:trPr>
          <w:divId w:val="296573208"/>
          <w:trHeight w:val="930"/>
        </w:trPr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 xml:space="preserve">Guarantee a place for Cat I pupils. 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  <w:t xml:space="preserve">Guarantee the safety and wellbeing of the pupils. 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  <w:t>Guarantee quality teaching and learning.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  <w:t>Strategic Risk</w:t>
            </w:r>
          </w:p>
        </w:tc>
        <w:tc>
          <w:tcPr>
            <w:tcW w:w="17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>Development of pupil numbers (constant increase)</w:t>
            </w:r>
          </w:p>
        </w:tc>
        <w:tc>
          <w:tcPr>
            <w:tcW w:w="41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33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REASONS: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  <w:t xml:space="preserve">- The number of pupils exceeds the size of the school because cat. I pupils increase on a yearly basis. 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</w:r>
          </w:p>
          <w:p w:rsidR="007A2433" w:rsidRDefault="007A2433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  <w:p w:rsidR="007A2433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CONSEQUENCES:</w:t>
            </w:r>
          </w:p>
          <w:p w:rsidR="007A2433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  <w:t>- The teaching quality suffers;</w:t>
            </w:r>
          </w:p>
          <w:p w:rsidR="007A2433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  <w:t>- Safety of pupils is in danger: Accidents may increase. Problems with supervision;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</w:r>
          </w:p>
          <w:p w:rsidR="007A2433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- Problems of supervision may arise;</w:t>
            </w:r>
          </w:p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  <w:t>- Bulling between pupils increases.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Reduce</w:t>
            </w:r>
          </w:p>
        </w:tc>
        <w:tc>
          <w:tcPr>
            <w:tcW w:w="4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433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School: 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  <w:t>- Maximize the use of the existing space. Use rooms creatively. Involve the school community as a think tank.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  <w:t>- Contact local authorities for support. Negotiate. Seek assistance of the OSG.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</w:r>
            <w:r w:rsidR="007A2433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  <w:p w:rsidR="007A2433" w:rsidRDefault="007A2433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OSG and Brussels Schools: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 w:type="page"/>
              <w:t>- Lead working group of the future development of the Brussels Schools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23</w:t>
            </w:r>
          </w:p>
        </w:tc>
      </w:tr>
      <w:tr w:rsidR="00DA71A7" w:rsidRPr="00DA71A7" w:rsidTr="00DA71A7">
        <w:trPr>
          <w:divId w:val="296573208"/>
          <w:trHeight w:val="315"/>
        </w:trPr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480"/>
        </w:trPr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675"/>
        </w:trPr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225"/>
        </w:trPr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135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DA71A7" w:rsidRPr="00DA71A7" w:rsidTr="00DA71A7">
        <w:trPr>
          <w:divId w:val="296573208"/>
          <w:trHeight w:val="1935"/>
        </w:trPr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lastRenderedPageBreak/>
              <w:t>- Guarantee quality teaching and learning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Guarantee continuity of courses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 xml:space="preserve">- Guarantee efficient use of </w:t>
            </w:r>
            <w:proofErr w:type="spellStart"/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puplic</w:t>
            </w:r>
            <w:proofErr w:type="spellEnd"/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 xml:space="preserve"> money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  <w:t>Strategic Risk</w:t>
            </w:r>
          </w:p>
        </w:tc>
        <w:tc>
          <w:tcPr>
            <w:tcW w:w="17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Development of pupil numbers (decreasing/constantly low pupil numbers)</w:t>
            </w:r>
          </w:p>
        </w:tc>
        <w:tc>
          <w:tcPr>
            <w:tcW w:w="41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sz w:val="18"/>
                <w:szCs w:val="18"/>
                <w:u w:val="single"/>
                <w:lang w:val="en-US" w:eastAsia="en-US"/>
              </w:rPr>
              <w:t>REASONS: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The number of pupils decreases constantly or to a critical level because: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 xml:space="preserve">- the European </w:t>
            </w:r>
            <w:proofErr w:type="spellStart"/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>organisation</w:t>
            </w:r>
            <w:proofErr w:type="spellEnd"/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that was once the reason for creating the ES is downsized;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entitled staff does not send children to the ES;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 there are other high quality schools in the area.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 xml:space="preserve">CONSEQUENCES: 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Further parents may withdraw their children because they fear the closure of a section;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 xml:space="preserve">- No longer a guarantee for </w:t>
            </w:r>
            <w:proofErr w:type="spellStart"/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>secondment</w:t>
            </w:r>
            <w:proofErr w:type="spellEnd"/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of teachers;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Loss of attractiveness for teachers to join the school;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No full timetable for seconded teachers in secondary school;</w:t>
            </w:r>
            <w:r w:rsidRPr="00DA71A7">
              <w:rPr>
                <w:rFonts w:ascii="Calibri" w:hAnsi="Calibri" w:cs="Calibri"/>
                <w:sz w:val="18"/>
                <w:szCs w:val="18"/>
                <w:lang w:val="en-US" w:eastAsia="en-US"/>
              </w:rPr>
              <w:br/>
              <w:t>- Financial risk in that justifying and obtaining the budget for small sections becomes more difficult adding more pressure in these sections.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Reduce</w:t>
            </w:r>
          </w:p>
        </w:tc>
        <w:tc>
          <w:tcPr>
            <w:tcW w:w="4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A7" w:rsidRPr="00DA71A7" w:rsidRDefault="00DA71A7" w:rsidP="00DA71A7">
            <w:pPr>
              <w:spacing w:before="0" w:after="24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School: 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improved communication with the European organization/ JRC  that was the reason for creating the ES.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Promotion from within JRC to convince new and existing employees of quality and benefits for enrolment in EU schools.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Improve awareness for cat II and III in the region.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Make available informative sessions to explain the advantages of the EU Back compared to local schools.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Visit local companies to gain more CAT II.</w:t>
            </w: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br/>
              <w:t>- Close communication amongst school sharing the same risks.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</w:tr>
      <w:tr w:rsidR="00DA71A7" w:rsidRPr="00DA71A7" w:rsidTr="00DA71A7">
        <w:trPr>
          <w:divId w:val="296573208"/>
          <w:trHeight w:val="315"/>
        </w:trPr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675"/>
        </w:trPr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555"/>
        </w:trPr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420"/>
        </w:trPr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585"/>
        </w:trPr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150"/>
        </w:trPr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8"/>
                <w:szCs w:val="18"/>
                <w:lang w:val="en-US" w:eastAsia="en-US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A71A7" w:rsidRPr="00DA71A7" w:rsidTr="00DA71A7">
        <w:trPr>
          <w:divId w:val="296573208"/>
          <w:trHeight w:val="135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DA71A7" w:rsidRPr="00DA71A7" w:rsidRDefault="00DA71A7" w:rsidP="00DA71A7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A71A7" w:rsidRPr="00DA71A7" w:rsidRDefault="00DA71A7" w:rsidP="00DA71A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DA71A7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7F2374" w:rsidRPr="00DA71A7" w:rsidRDefault="00C4072A" w:rsidP="00B65FFD">
      <w:pPr>
        <w:spacing w:before="0" w:after="0"/>
        <w:jc w:val="left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fldChar w:fldCharType="end"/>
      </w:r>
    </w:p>
    <w:sectPr w:rsidR="007F2374" w:rsidRPr="00DA71A7" w:rsidSect="00B01C9C">
      <w:pgSz w:w="23811" w:h="16838" w:orient="landscape" w:code="8"/>
      <w:pgMar w:top="1440" w:right="1080" w:bottom="1440" w:left="1080" w:header="601" w:footer="10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39D" w:rsidRDefault="00CC139D">
      <w:r>
        <w:separator/>
      </w:r>
    </w:p>
  </w:endnote>
  <w:endnote w:type="continuationSeparator" w:id="0">
    <w:p w:rsidR="00CC139D" w:rsidRDefault="00CC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203" w:usb1="00690054" w:usb2="0065006D" w:usb3="004E0073" w:csb0="00770065" w:csb1="006F0052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25E" w:rsidRDefault="0015025E" w:rsidP="00A7556C">
    <w:pPr>
      <w:pStyle w:val="Footer"/>
      <w:pBdr>
        <w:top w:val="single" w:sz="4" w:space="1" w:color="auto"/>
      </w:pBdr>
      <w:tabs>
        <w:tab w:val="left" w:pos="8460"/>
      </w:tabs>
      <w:ind w:right="-29"/>
    </w:pPr>
    <w:r>
      <w:t>2</w:t>
    </w:r>
    <w:r w:rsidR="003275D2">
      <w:t>017</w:t>
    </w:r>
    <w:r>
      <w:t>-</w:t>
    </w:r>
    <w:r w:rsidR="00042C76">
      <w:t>10</w:t>
    </w:r>
    <w:r w:rsidR="003275D2">
      <w:t>-D-</w:t>
    </w:r>
    <w:r w:rsidR="00042C76">
      <w:t>34</w:t>
    </w:r>
    <w:r>
      <w:t>-en</w:t>
    </w:r>
    <w:r w:rsidR="00A842A0">
      <w:t>-2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2E5B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62E5B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25E" w:rsidRDefault="0015025E">
    <w:pPr>
      <w:pStyle w:val="Footer"/>
      <w:pBdr>
        <w:top w:val="single" w:sz="4" w:space="1" w:color="auto"/>
      </w:pBdr>
      <w:tabs>
        <w:tab w:val="center" w:pos="4253"/>
        <w:tab w:val="left" w:pos="8222"/>
      </w:tabs>
      <w:ind w:right="-29"/>
      <w:rPr>
        <w:rStyle w:val="PageNumber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39D" w:rsidRDefault="00CC139D">
      <w:r>
        <w:separator/>
      </w:r>
    </w:p>
  </w:footnote>
  <w:footnote w:type="continuationSeparator" w:id="0">
    <w:p w:rsidR="00CC139D" w:rsidRDefault="00CC1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7901C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3F2BE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C810BFCE"/>
    <w:lvl w:ilvl="0">
      <w:numFmt w:val="decimal"/>
      <w:lvlText w:val="*"/>
      <w:lvlJc w:val="left"/>
      <w:rPr>
        <w:rFonts w:cs="Times New Roman"/>
      </w:rPr>
    </w:lvl>
  </w:abstractNum>
  <w:abstractNum w:abstractNumId="5" w15:restartNumberingAfterBreak="0">
    <w:nsid w:val="010C6880"/>
    <w:multiLevelType w:val="hybridMultilevel"/>
    <w:tmpl w:val="A14EA10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51C313E"/>
    <w:multiLevelType w:val="hybridMultilevel"/>
    <w:tmpl w:val="84FACA54"/>
    <w:lvl w:ilvl="0" w:tplc="FF82B17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B1B2E25"/>
    <w:multiLevelType w:val="hybridMultilevel"/>
    <w:tmpl w:val="0472CF2E"/>
    <w:lvl w:ilvl="0" w:tplc="80D4ABCC">
      <w:start w:val="1"/>
      <w:numFmt w:val="bullet"/>
      <w:lvlText w:val="-"/>
      <w:lvlJc w:val="left"/>
      <w:pPr>
        <w:tabs>
          <w:tab w:val="num" w:pos="3960"/>
        </w:tabs>
        <w:ind w:left="2160" w:firstLine="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0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1" w15:restartNumberingAfterBreak="0">
    <w:nsid w:val="15FC0C67"/>
    <w:multiLevelType w:val="hybridMultilevel"/>
    <w:tmpl w:val="929E39AE"/>
    <w:lvl w:ilvl="0" w:tplc="44BC75B2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E3BF9"/>
    <w:multiLevelType w:val="singleLevel"/>
    <w:tmpl w:val="71F42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A113DAC"/>
    <w:multiLevelType w:val="hybridMultilevel"/>
    <w:tmpl w:val="58DED694"/>
    <w:lvl w:ilvl="0" w:tplc="040C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1DC83E41"/>
    <w:multiLevelType w:val="hybridMultilevel"/>
    <w:tmpl w:val="F8C8AAAE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734306"/>
    <w:multiLevelType w:val="multilevel"/>
    <w:tmpl w:val="E73C8D3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280"/>
        </w:tabs>
        <w:ind w:left="1920" w:hanging="72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282"/>
        </w:tabs>
        <w:ind w:left="1922" w:hanging="720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642"/>
        </w:tabs>
        <w:ind w:left="1922" w:hanging="720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2642"/>
        </w:tabs>
        <w:ind w:left="1922" w:hanging="72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002"/>
        </w:tabs>
        <w:ind w:left="1922" w:hanging="720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002"/>
        </w:tabs>
        <w:ind w:left="1922" w:hanging="720"/>
      </w:pPr>
    </w:lvl>
  </w:abstractNum>
  <w:abstractNum w:abstractNumId="16" w15:restartNumberingAfterBreak="0">
    <w:nsid w:val="1FF9459C"/>
    <w:multiLevelType w:val="hybridMultilevel"/>
    <w:tmpl w:val="49246D2A"/>
    <w:lvl w:ilvl="0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8" w15:restartNumberingAfterBreak="0">
    <w:nsid w:val="293918EE"/>
    <w:multiLevelType w:val="hybridMultilevel"/>
    <w:tmpl w:val="2460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514F6"/>
    <w:multiLevelType w:val="hybridMultilevel"/>
    <w:tmpl w:val="9AA42960"/>
    <w:lvl w:ilvl="0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4782621"/>
    <w:multiLevelType w:val="hybridMultilevel"/>
    <w:tmpl w:val="5434C308"/>
    <w:lvl w:ilvl="0" w:tplc="C9789EF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A422B42"/>
    <w:multiLevelType w:val="hybridMultilevel"/>
    <w:tmpl w:val="6F8E12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3" w15:restartNumberingAfterBreak="0">
    <w:nsid w:val="3F380EA5"/>
    <w:multiLevelType w:val="hybridMultilevel"/>
    <w:tmpl w:val="2278A40A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0177EC2"/>
    <w:multiLevelType w:val="hybridMultilevel"/>
    <w:tmpl w:val="4210DFFE"/>
    <w:lvl w:ilvl="0" w:tplc="FF6A39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8415E7"/>
    <w:multiLevelType w:val="multilevel"/>
    <w:tmpl w:val="92100AD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408360D"/>
    <w:multiLevelType w:val="hybridMultilevel"/>
    <w:tmpl w:val="7F9CE154"/>
    <w:lvl w:ilvl="0" w:tplc="64CC445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7850EBA"/>
    <w:multiLevelType w:val="hybridMultilevel"/>
    <w:tmpl w:val="640EEF1E"/>
    <w:lvl w:ilvl="0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7914A87"/>
    <w:multiLevelType w:val="singleLevel"/>
    <w:tmpl w:val="16925DC0"/>
    <w:lvl w:ilvl="0">
      <w:start w:val="1"/>
      <w:numFmt w:val="decimal"/>
      <w:pStyle w:val="Article"/>
      <w:lvlText w:val="Article %1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3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B16558F"/>
    <w:multiLevelType w:val="hybridMultilevel"/>
    <w:tmpl w:val="0DFCFF58"/>
    <w:lvl w:ilvl="0" w:tplc="92A2E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633BF"/>
    <w:multiLevelType w:val="hybridMultilevel"/>
    <w:tmpl w:val="82C412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E2A5C"/>
    <w:multiLevelType w:val="hybridMultilevel"/>
    <w:tmpl w:val="221872C8"/>
    <w:lvl w:ilvl="0" w:tplc="FF6A39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C5C8F"/>
    <w:multiLevelType w:val="multilevel"/>
    <w:tmpl w:val="56F80018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%3)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4FA18D1"/>
    <w:multiLevelType w:val="hybridMultilevel"/>
    <w:tmpl w:val="9E9C2E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8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9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0" w15:restartNumberingAfterBreak="0">
    <w:nsid w:val="69EC5CF4"/>
    <w:multiLevelType w:val="singleLevel"/>
    <w:tmpl w:val="D4CC4B40"/>
    <w:lvl w:ilvl="0">
      <w:start w:val="1"/>
      <w:numFmt w:val="lowerLetter"/>
      <w:pStyle w:val="NumPar2"/>
      <w:lvlText w:val="%1) "/>
      <w:lvlJc w:val="left"/>
      <w:pPr>
        <w:tabs>
          <w:tab w:val="num" w:pos="2344"/>
        </w:tabs>
        <w:ind w:left="2344" w:hanging="360"/>
      </w:pPr>
      <w:rPr>
        <w:rFonts w:ascii="TimesNewRoman" w:hAnsi="AvantGarde" w:hint="default"/>
        <w:sz w:val="24"/>
      </w:rPr>
    </w:lvl>
  </w:abstractNum>
  <w:abstractNum w:abstractNumId="4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2" w15:restartNumberingAfterBreak="0">
    <w:nsid w:val="7239483A"/>
    <w:multiLevelType w:val="multilevel"/>
    <w:tmpl w:val="640EEF1E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4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22"/>
  </w:num>
  <w:num w:numId="8">
    <w:abstractNumId w:val="10"/>
  </w:num>
  <w:num w:numId="9">
    <w:abstractNumId w:val="9"/>
  </w:num>
  <w:num w:numId="10">
    <w:abstractNumId w:val="37"/>
  </w:num>
  <w:num w:numId="11">
    <w:abstractNumId w:val="38"/>
  </w:num>
  <w:num w:numId="12">
    <w:abstractNumId w:val="41"/>
  </w:num>
  <w:num w:numId="13">
    <w:abstractNumId w:val="17"/>
  </w:num>
  <w:num w:numId="14">
    <w:abstractNumId w:val="25"/>
  </w:num>
  <w:num w:numId="15">
    <w:abstractNumId w:val="28"/>
  </w:num>
  <w:num w:numId="16">
    <w:abstractNumId w:val="27"/>
  </w:num>
  <w:num w:numId="17">
    <w:abstractNumId w:val="7"/>
  </w:num>
  <w:num w:numId="18">
    <w:abstractNumId w:val="31"/>
  </w:num>
  <w:num w:numId="19">
    <w:abstractNumId w:val="30"/>
  </w:num>
  <w:num w:numId="20">
    <w:abstractNumId w:val="15"/>
  </w:num>
  <w:num w:numId="21">
    <w:abstractNumId w:val="3"/>
  </w:num>
  <w:num w:numId="22">
    <w:abstractNumId w:val="2"/>
  </w:num>
  <w:num w:numId="23">
    <w:abstractNumId w:val="35"/>
  </w:num>
  <w:num w:numId="24">
    <w:abstractNumId w:val="40"/>
  </w:num>
  <w:num w:numId="25">
    <w:abstractNumId w:val="21"/>
  </w:num>
  <w:num w:numId="26">
    <w:abstractNumId w:val="33"/>
  </w:num>
  <w:num w:numId="27">
    <w:abstractNumId w:val="36"/>
  </w:num>
  <w:num w:numId="28">
    <w:abstractNumId w:val="32"/>
  </w:num>
  <w:num w:numId="29">
    <w:abstractNumId w:val="12"/>
  </w:num>
  <w:num w:numId="30">
    <w:abstractNumId w:val="26"/>
  </w:num>
  <w:num w:numId="31">
    <w:abstractNumId w:val="29"/>
  </w:num>
  <w:num w:numId="32">
    <w:abstractNumId w:val="42"/>
  </w:num>
  <w:num w:numId="33">
    <w:abstractNumId w:val="8"/>
  </w:num>
  <w:num w:numId="34">
    <w:abstractNumId w:val="16"/>
  </w:num>
  <w:num w:numId="35">
    <w:abstractNumId w:val="23"/>
  </w:num>
  <w:num w:numId="36">
    <w:abstractNumId w:val="13"/>
  </w:num>
  <w:num w:numId="37">
    <w:abstractNumId w:val="19"/>
  </w:num>
  <w:num w:numId="38">
    <w:abstractNumId w:val="20"/>
  </w:num>
  <w:num w:numId="39">
    <w:abstractNumId w:val="6"/>
  </w:num>
  <w:num w:numId="40">
    <w:abstractNumId w:val="4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1">
    <w:abstractNumId w:val="34"/>
  </w:num>
  <w:num w:numId="42">
    <w:abstractNumId w:val="24"/>
  </w:num>
  <w:num w:numId="43">
    <w:abstractNumId w:val="1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74"/>
    <w:rsid w:val="0003462B"/>
    <w:rsid w:val="00042C76"/>
    <w:rsid w:val="0005228C"/>
    <w:rsid w:val="00052C0B"/>
    <w:rsid w:val="00066337"/>
    <w:rsid w:val="00072D6E"/>
    <w:rsid w:val="00096E6D"/>
    <w:rsid w:val="000B50E6"/>
    <w:rsid w:val="000B5F59"/>
    <w:rsid w:val="000C6F0B"/>
    <w:rsid w:val="000C7B71"/>
    <w:rsid w:val="000F3EBB"/>
    <w:rsid w:val="00147603"/>
    <w:rsid w:val="0015025E"/>
    <w:rsid w:val="001C2EC9"/>
    <w:rsid w:val="001E2DDF"/>
    <w:rsid w:val="00202693"/>
    <w:rsid w:val="00233183"/>
    <w:rsid w:val="002378A5"/>
    <w:rsid w:val="00245D0A"/>
    <w:rsid w:val="002523F7"/>
    <w:rsid w:val="00297DE2"/>
    <w:rsid w:val="002A40EF"/>
    <w:rsid w:val="002D2183"/>
    <w:rsid w:val="00315451"/>
    <w:rsid w:val="003275D2"/>
    <w:rsid w:val="00337CCB"/>
    <w:rsid w:val="00362E5B"/>
    <w:rsid w:val="003A4D77"/>
    <w:rsid w:val="003B5A03"/>
    <w:rsid w:val="003C67C9"/>
    <w:rsid w:val="004270BD"/>
    <w:rsid w:val="004504A5"/>
    <w:rsid w:val="00466999"/>
    <w:rsid w:val="004D6960"/>
    <w:rsid w:val="004E345C"/>
    <w:rsid w:val="004F3BC4"/>
    <w:rsid w:val="005270E4"/>
    <w:rsid w:val="005359A3"/>
    <w:rsid w:val="00545CA3"/>
    <w:rsid w:val="00572049"/>
    <w:rsid w:val="005926E0"/>
    <w:rsid w:val="005B6071"/>
    <w:rsid w:val="005C14BD"/>
    <w:rsid w:val="005C6F3B"/>
    <w:rsid w:val="005D1D8C"/>
    <w:rsid w:val="00651B25"/>
    <w:rsid w:val="00661EFD"/>
    <w:rsid w:val="006652AE"/>
    <w:rsid w:val="006B307F"/>
    <w:rsid w:val="006E6611"/>
    <w:rsid w:val="0071171F"/>
    <w:rsid w:val="00733AE2"/>
    <w:rsid w:val="0077635F"/>
    <w:rsid w:val="00787516"/>
    <w:rsid w:val="007A04FD"/>
    <w:rsid w:val="007A2433"/>
    <w:rsid w:val="007D2960"/>
    <w:rsid w:val="007E1F70"/>
    <w:rsid w:val="007F2374"/>
    <w:rsid w:val="00817238"/>
    <w:rsid w:val="00826E9B"/>
    <w:rsid w:val="00837F26"/>
    <w:rsid w:val="00856377"/>
    <w:rsid w:val="008A0D47"/>
    <w:rsid w:val="008A4B7A"/>
    <w:rsid w:val="008C1A8D"/>
    <w:rsid w:val="008F67CD"/>
    <w:rsid w:val="00900783"/>
    <w:rsid w:val="00917EAA"/>
    <w:rsid w:val="00926028"/>
    <w:rsid w:val="00933FF8"/>
    <w:rsid w:val="00966E5D"/>
    <w:rsid w:val="0097790C"/>
    <w:rsid w:val="00980811"/>
    <w:rsid w:val="009B2589"/>
    <w:rsid w:val="00A573F4"/>
    <w:rsid w:val="00A7556C"/>
    <w:rsid w:val="00A819F0"/>
    <w:rsid w:val="00A83736"/>
    <w:rsid w:val="00A842A0"/>
    <w:rsid w:val="00AA5226"/>
    <w:rsid w:val="00AA70A1"/>
    <w:rsid w:val="00AB0AFB"/>
    <w:rsid w:val="00AD0EC9"/>
    <w:rsid w:val="00AD688E"/>
    <w:rsid w:val="00AE263A"/>
    <w:rsid w:val="00AE616E"/>
    <w:rsid w:val="00AF485A"/>
    <w:rsid w:val="00B01C9C"/>
    <w:rsid w:val="00B5777B"/>
    <w:rsid w:val="00B65FFD"/>
    <w:rsid w:val="00B74EF5"/>
    <w:rsid w:val="00B7603D"/>
    <w:rsid w:val="00B779D2"/>
    <w:rsid w:val="00B9283B"/>
    <w:rsid w:val="00BA289C"/>
    <w:rsid w:val="00C17233"/>
    <w:rsid w:val="00C32823"/>
    <w:rsid w:val="00C33A7B"/>
    <w:rsid w:val="00C4072A"/>
    <w:rsid w:val="00C43D66"/>
    <w:rsid w:val="00C57789"/>
    <w:rsid w:val="00CA6E70"/>
    <w:rsid w:val="00CB2264"/>
    <w:rsid w:val="00CB2284"/>
    <w:rsid w:val="00CC139D"/>
    <w:rsid w:val="00CC3DAD"/>
    <w:rsid w:val="00CD62BE"/>
    <w:rsid w:val="00CE1AD4"/>
    <w:rsid w:val="00D155D5"/>
    <w:rsid w:val="00D17F05"/>
    <w:rsid w:val="00D32547"/>
    <w:rsid w:val="00D3723F"/>
    <w:rsid w:val="00D41854"/>
    <w:rsid w:val="00D75F57"/>
    <w:rsid w:val="00D77FC4"/>
    <w:rsid w:val="00DA0220"/>
    <w:rsid w:val="00DA71A7"/>
    <w:rsid w:val="00DA7BF3"/>
    <w:rsid w:val="00DC609F"/>
    <w:rsid w:val="00DD4456"/>
    <w:rsid w:val="00DF2AC6"/>
    <w:rsid w:val="00E04620"/>
    <w:rsid w:val="00E10BA3"/>
    <w:rsid w:val="00E35B9D"/>
    <w:rsid w:val="00E3757A"/>
    <w:rsid w:val="00E6610F"/>
    <w:rsid w:val="00E77770"/>
    <w:rsid w:val="00E84D65"/>
    <w:rsid w:val="00E97972"/>
    <w:rsid w:val="00EB27DA"/>
    <w:rsid w:val="00F02452"/>
    <w:rsid w:val="00F0675C"/>
    <w:rsid w:val="00F87955"/>
    <w:rsid w:val="00F924E8"/>
    <w:rsid w:val="00FC448A"/>
    <w:rsid w:val="00FC72E4"/>
    <w:rsid w:val="00FD535A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BE8075-6A3E-484C-9BFF-80C1B3E5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603"/>
    <w:pPr>
      <w:spacing w:before="120" w:after="120"/>
      <w:jc w:val="both"/>
    </w:pPr>
    <w:rPr>
      <w:rFonts w:ascii="Arial" w:hAnsi="Arial"/>
      <w:sz w:val="22"/>
      <w:lang w:val="fr-FR" w:eastAsia="fr-FR"/>
    </w:rPr>
  </w:style>
  <w:style w:type="paragraph" w:styleId="Heading1">
    <w:name w:val="heading 1"/>
    <w:basedOn w:val="Normal"/>
    <w:next w:val="Normal"/>
    <w:qFormat/>
    <w:rsid w:val="00A573F4"/>
    <w:pPr>
      <w:keepNext/>
      <w:numPr>
        <w:numId w:val="20"/>
      </w:numPr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573F4"/>
    <w:pPr>
      <w:keepNext/>
      <w:numPr>
        <w:ilvl w:val="1"/>
        <w:numId w:val="20"/>
      </w:numPr>
      <w:tabs>
        <w:tab w:val="left" w:pos="578"/>
      </w:tabs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573F4"/>
    <w:pPr>
      <w:keepNext/>
      <w:numPr>
        <w:ilvl w:val="2"/>
        <w:numId w:val="20"/>
      </w:numPr>
      <w:tabs>
        <w:tab w:val="left" w:pos="720"/>
      </w:tabs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573F4"/>
    <w:pPr>
      <w:keepNext/>
      <w:numPr>
        <w:ilvl w:val="3"/>
        <w:numId w:val="20"/>
      </w:numPr>
      <w:tabs>
        <w:tab w:val="left" w:pos="862"/>
      </w:tabs>
      <w:spacing w:before="240" w:after="60"/>
      <w:outlineLvl w:val="3"/>
    </w:pPr>
    <w:rPr>
      <w:b/>
    </w:rPr>
  </w:style>
  <w:style w:type="paragraph" w:styleId="Heading5">
    <w:name w:val="heading 5"/>
    <w:basedOn w:val="Heading4"/>
    <w:next w:val="Normal"/>
    <w:qFormat/>
    <w:rsid w:val="00A573F4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A573F4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A573F4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A573F4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A573F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rsid w:val="00147603"/>
    <w:pPr>
      <w:spacing w:after="0"/>
    </w:pPr>
    <w:rPr>
      <w:b/>
    </w:rPr>
  </w:style>
  <w:style w:type="paragraph" w:styleId="Footer">
    <w:name w:val="footer"/>
    <w:basedOn w:val="Normal"/>
    <w:rsid w:val="00147603"/>
    <w:pPr>
      <w:spacing w:after="0"/>
      <w:jc w:val="left"/>
    </w:pPr>
    <w:rPr>
      <w:b/>
      <w:sz w:val="16"/>
    </w:rPr>
  </w:style>
  <w:style w:type="paragraph" w:styleId="Header">
    <w:name w:val="header"/>
    <w:aliases w:val=" Char,Koptekst Char, Char Char"/>
    <w:basedOn w:val="Normal"/>
    <w:link w:val="HeaderChar"/>
    <w:rsid w:val="00147603"/>
    <w:pPr>
      <w:pBdr>
        <w:bottom w:val="single" w:sz="8" w:space="1" w:color="auto"/>
      </w:pBdr>
      <w:tabs>
        <w:tab w:val="center" w:pos="4153"/>
        <w:tab w:val="right" w:pos="8306"/>
      </w:tabs>
    </w:pPr>
    <w:rPr>
      <w:b/>
      <w:sz w:val="16"/>
    </w:rPr>
  </w:style>
  <w:style w:type="character" w:customStyle="1" w:styleId="HeaderChar">
    <w:name w:val="Header Char"/>
    <w:aliases w:val=" Char Char1,Koptekst Char Char, Char Char Char"/>
    <w:basedOn w:val="DefaultParagraphFont"/>
    <w:link w:val="Header"/>
    <w:rsid w:val="00A573F4"/>
    <w:rPr>
      <w:rFonts w:ascii="Arial" w:hAnsi="Arial"/>
      <w:b/>
      <w:sz w:val="16"/>
      <w:lang w:val="fr-FR" w:eastAsia="fr-FR" w:bidi="ar-SA"/>
    </w:rPr>
  </w:style>
  <w:style w:type="paragraph" w:customStyle="1" w:styleId="DocumentTitle">
    <w:name w:val="Document Title"/>
    <w:basedOn w:val="Normal"/>
    <w:rsid w:val="00147603"/>
    <w:pPr>
      <w:pBdr>
        <w:bottom w:val="single" w:sz="4" w:space="1" w:color="auto"/>
      </w:pBdr>
      <w:spacing w:before="2400"/>
      <w:jc w:val="left"/>
      <w:outlineLvl w:val="0"/>
    </w:pPr>
    <w:rPr>
      <w:rFonts w:eastAsia="Times"/>
      <w:b/>
      <w:kern w:val="28"/>
      <w:sz w:val="32"/>
    </w:rPr>
  </w:style>
  <w:style w:type="character" w:styleId="PageNumber">
    <w:name w:val="page number"/>
    <w:basedOn w:val="DefaultParagraphFont"/>
    <w:rsid w:val="00147603"/>
  </w:style>
  <w:style w:type="paragraph" w:customStyle="1" w:styleId="SubTitle1">
    <w:name w:val="SubTitle1"/>
    <w:basedOn w:val="Normal"/>
    <w:rsid w:val="00147603"/>
    <w:pPr>
      <w:spacing w:before="0" w:after="720"/>
    </w:pPr>
    <w:rPr>
      <w:rFonts w:eastAsia="Times"/>
      <w:b/>
    </w:rPr>
  </w:style>
  <w:style w:type="paragraph" w:customStyle="1" w:styleId="SubTitle2">
    <w:name w:val="SubTitle2"/>
    <w:basedOn w:val="Normal"/>
    <w:next w:val="SubTitle1"/>
    <w:rsid w:val="00147603"/>
    <w:pPr>
      <w:pBdr>
        <w:bottom w:val="single" w:sz="4" w:space="1" w:color="auto"/>
      </w:pBdr>
      <w:spacing w:after="1000"/>
    </w:pPr>
    <w:rPr>
      <w:rFonts w:eastAsia="Times"/>
    </w:rPr>
  </w:style>
  <w:style w:type="paragraph" w:customStyle="1" w:styleId="ZCom">
    <w:name w:val="Z_Com"/>
    <w:basedOn w:val="Normal"/>
    <w:next w:val="Normal"/>
    <w:rsid w:val="00147603"/>
    <w:pPr>
      <w:widowControl w:val="0"/>
      <w:spacing w:before="0" w:after="0"/>
      <w:ind w:right="85"/>
    </w:pPr>
    <w:rPr>
      <w:snapToGrid w:val="0"/>
      <w:sz w:val="24"/>
      <w:lang w:eastAsia="en-US"/>
    </w:rPr>
  </w:style>
  <w:style w:type="paragraph" w:customStyle="1" w:styleId="ZDGName">
    <w:name w:val="Z_DGName"/>
    <w:basedOn w:val="Normal"/>
    <w:rsid w:val="00147603"/>
    <w:pPr>
      <w:widowControl w:val="0"/>
      <w:spacing w:before="0" w:after="0"/>
      <w:ind w:right="85"/>
    </w:pPr>
    <w:rPr>
      <w:snapToGrid w:val="0"/>
      <w:sz w:val="16"/>
      <w:lang w:eastAsia="en-US"/>
    </w:rPr>
  </w:style>
  <w:style w:type="paragraph" w:customStyle="1" w:styleId="Default">
    <w:name w:val="Default"/>
    <w:rsid w:val="00147603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customStyle="1" w:styleId="Normale">
    <w:name w:val="Normale"/>
    <w:basedOn w:val="Default"/>
    <w:next w:val="Default"/>
    <w:rsid w:val="00147603"/>
    <w:rPr>
      <w:color w:val="auto"/>
    </w:rPr>
  </w:style>
  <w:style w:type="table" w:styleId="TableGrid">
    <w:name w:val="Table Grid"/>
    <w:basedOn w:val="TableNormal"/>
    <w:rsid w:val="00147603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33FF8"/>
    <w:pPr>
      <w:spacing w:before="0" w:after="0"/>
    </w:pPr>
    <w:rPr>
      <w:rFonts w:ascii="Times New Roman" w:hAnsi="Times New Roman"/>
      <w:sz w:val="26"/>
      <w:szCs w:val="24"/>
      <w:lang w:val="it-IT" w:eastAsia="it-IT"/>
    </w:rPr>
  </w:style>
  <w:style w:type="paragraph" w:styleId="BodyText2">
    <w:name w:val="Body Text 2"/>
    <w:basedOn w:val="Normal"/>
    <w:rsid w:val="00933FF8"/>
    <w:pPr>
      <w:spacing w:before="0" w:after="0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Text1">
    <w:name w:val="Text 1"/>
    <w:basedOn w:val="Normal"/>
    <w:rsid w:val="004E345C"/>
    <w:pPr>
      <w:ind w:left="482"/>
    </w:pPr>
  </w:style>
  <w:style w:type="paragraph" w:styleId="FootnoteText">
    <w:name w:val="footnote text"/>
    <w:basedOn w:val="Normal"/>
    <w:semiHidden/>
    <w:rsid w:val="004E345C"/>
    <w:pPr>
      <w:ind w:left="357" w:hanging="357"/>
    </w:pPr>
    <w:rPr>
      <w:sz w:val="20"/>
    </w:rPr>
  </w:style>
  <w:style w:type="paragraph" w:customStyle="1" w:styleId="ListDash1">
    <w:name w:val="List Dash 1"/>
    <w:basedOn w:val="Text1"/>
    <w:rsid w:val="004E345C"/>
    <w:pPr>
      <w:numPr>
        <w:numId w:val="1"/>
      </w:numPr>
    </w:pPr>
  </w:style>
  <w:style w:type="character" w:styleId="FootnoteReference">
    <w:name w:val="footnote reference"/>
    <w:basedOn w:val="DefaultParagraphFont"/>
    <w:semiHidden/>
    <w:rsid w:val="004E345C"/>
    <w:rPr>
      <w:vertAlign w:val="superscript"/>
    </w:rPr>
  </w:style>
  <w:style w:type="paragraph" w:customStyle="1" w:styleId="Numrodepoint">
    <w:name w:val="Numéro de point"/>
    <w:basedOn w:val="Normal"/>
    <w:autoRedefine/>
    <w:rsid w:val="004E345C"/>
    <w:pPr>
      <w:tabs>
        <w:tab w:val="left" w:pos="262"/>
      </w:tabs>
      <w:ind w:left="13" w:firstLine="21"/>
    </w:pPr>
    <w:rPr>
      <w:lang w:eastAsia="fr-BE"/>
    </w:rPr>
  </w:style>
  <w:style w:type="paragraph" w:customStyle="1" w:styleId="Text2">
    <w:name w:val="Text 2"/>
    <w:basedOn w:val="Normal"/>
    <w:rsid w:val="00A573F4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rsid w:val="00A573F4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A573F4"/>
    <w:pPr>
      <w:ind w:left="2880"/>
    </w:pPr>
  </w:style>
  <w:style w:type="paragraph" w:customStyle="1" w:styleId="Address">
    <w:name w:val="Address"/>
    <w:basedOn w:val="Normal"/>
    <w:next w:val="Normal"/>
    <w:rsid w:val="00A573F4"/>
    <w:pPr>
      <w:ind w:left="5103"/>
      <w:jc w:val="left"/>
    </w:pPr>
    <w:rPr>
      <w:sz w:val="20"/>
    </w:rPr>
  </w:style>
  <w:style w:type="paragraph" w:customStyle="1" w:styleId="AddressTL">
    <w:name w:val="AddressTL"/>
    <w:basedOn w:val="Normal"/>
    <w:next w:val="Normal"/>
    <w:rsid w:val="00A573F4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A573F4"/>
    <w:pPr>
      <w:spacing w:after="720"/>
      <w:ind w:left="5103"/>
      <w:jc w:val="left"/>
    </w:pPr>
  </w:style>
  <w:style w:type="paragraph" w:styleId="BlockText">
    <w:name w:val="Block Text"/>
    <w:basedOn w:val="Normal"/>
    <w:rsid w:val="00A573F4"/>
    <w:pPr>
      <w:ind w:left="1440" w:right="1440"/>
    </w:pPr>
  </w:style>
  <w:style w:type="paragraph" w:styleId="BodyText3">
    <w:name w:val="Body Text 3"/>
    <w:basedOn w:val="Normal"/>
    <w:rsid w:val="00A573F4"/>
    <w:rPr>
      <w:sz w:val="16"/>
    </w:rPr>
  </w:style>
  <w:style w:type="paragraph" w:styleId="BodyTextFirstIndent">
    <w:name w:val="Body Text First Indent"/>
    <w:basedOn w:val="BodyText"/>
    <w:rsid w:val="00A573F4"/>
    <w:pPr>
      <w:spacing w:before="120" w:after="120"/>
      <w:ind w:firstLine="210"/>
    </w:pPr>
    <w:rPr>
      <w:rFonts w:ascii="Arial" w:hAnsi="Arial"/>
      <w:sz w:val="22"/>
      <w:szCs w:val="20"/>
      <w:lang w:val="fr-FR" w:eastAsia="fr-FR"/>
    </w:rPr>
  </w:style>
  <w:style w:type="paragraph" w:styleId="BodyTextIndent">
    <w:name w:val="Body Text Indent"/>
    <w:basedOn w:val="Normal"/>
    <w:rsid w:val="00A573F4"/>
    <w:pPr>
      <w:ind w:left="283"/>
    </w:pPr>
  </w:style>
  <w:style w:type="paragraph" w:styleId="BodyTextFirstIndent2">
    <w:name w:val="Body Text First Indent 2"/>
    <w:basedOn w:val="BodyTextIndent"/>
    <w:rsid w:val="00A573F4"/>
    <w:pPr>
      <w:ind w:firstLine="210"/>
    </w:pPr>
  </w:style>
  <w:style w:type="paragraph" w:styleId="BodyTextIndent2">
    <w:name w:val="Body Text Indent 2"/>
    <w:basedOn w:val="Normal"/>
    <w:rsid w:val="00A573F4"/>
    <w:pPr>
      <w:spacing w:line="480" w:lineRule="auto"/>
      <w:ind w:left="283"/>
    </w:pPr>
  </w:style>
  <w:style w:type="paragraph" w:styleId="BodyTextIndent3">
    <w:name w:val="Body Text Indent 3"/>
    <w:basedOn w:val="Normal"/>
    <w:rsid w:val="00A573F4"/>
    <w:pPr>
      <w:ind w:left="283"/>
    </w:pPr>
    <w:rPr>
      <w:sz w:val="16"/>
    </w:rPr>
  </w:style>
  <w:style w:type="paragraph" w:styleId="Closing">
    <w:name w:val="Closing"/>
    <w:basedOn w:val="Normal"/>
    <w:rsid w:val="00A573F4"/>
    <w:pPr>
      <w:ind w:left="4252"/>
    </w:pPr>
  </w:style>
  <w:style w:type="paragraph" w:styleId="Signature">
    <w:name w:val="Signature"/>
    <w:basedOn w:val="Normal"/>
    <w:next w:val="Enclosures"/>
    <w:rsid w:val="00A573F4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rsid w:val="00A573F4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customStyle="1" w:styleId="Participants">
    <w:name w:val="Participants"/>
    <w:basedOn w:val="Normal"/>
    <w:next w:val="Copies"/>
    <w:rsid w:val="00A573F4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Normal"/>
    <w:next w:val="Normal"/>
    <w:rsid w:val="00A573F4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Date">
    <w:name w:val="Date"/>
    <w:basedOn w:val="Normal"/>
    <w:next w:val="Address"/>
    <w:rsid w:val="00A573F4"/>
    <w:pPr>
      <w:spacing w:after="0"/>
      <w:ind w:left="5103" w:right="-567"/>
      <w:jc w:val="left"/>
    </w:pPr>
  </w:style>
  <w:style w:type="paragraph" w:customStyle="1" w:styleId="DoubSign">
    <w:name w:val="DoubSign"/>
    <w:basedOn w:val="Normal"/>
    <w:next w:val="Contact"/>
    <w:rsid w:val="00A573F4"/>
    <w:pPr>
      <w:tabs>
        <w:tab w:val="left" w:pos="5103"/>
      </w:tabs>
      <w:spacing w:before="1200" w:after="0"/>
      <w:jc w:val="left"/>
    </w:pPr>
  </w:style>
  <w:style w:type="paragraph" w:customStyle="1" w:styleId="Contact">
    <w:name w:val="Contact"/>
    <w:basedOn w:val="Normal"/>
    <w:next w:val="Enclosures"/>
    <w:rsid w:val="00A573F4"/>
    <w:pPr>
      <w:spacing w:before="480" w:after="0"/>
      <w:ind w:left="567" w:hanging="567"/>
      <w:jc w:val="left"/>
    </w:pPr>
  </w:style>
  <w:style w:type="paragraph" w:styleId="EnvelopeAddress">
    <w:name w:val="envelope address"/>
    <w:basedOn w:val="Normal"/>
    <w:rsid w:val="00A573F4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A573F4"/>
    <w:pPr>
      <w:spacing w:after="0"/>
    </w:pPr>
    <w:rPr>
      <w:sz w:val="20"/>
    </w:rPr>
  </w:style>
  <w:style w:type="paragraph" w:styleId="List">
    <w:name w:val="List"/>
    <w:basedOn w:val="Normal"/>
    <w:rsid w:val="00A573F4"/>
    <w:pPr>
      <w:ind w:left="283" w:hanging="283"/>
    </w:pPr>
  </w:style>
  <w:style w:type="paragraph" w:styleId="List2">
    <w:name w:val="List 2"/>
    <w:basedOn w:val="Normal"/>
    <w:rsid w:val="00A573F4"/>
    <w:pPr>
      <w:ind w:left="566" w:hanging="283"/>
    </w:pPr>
  </w:style>
  <w:style w:type="paragraph" w:styleId="List3">
    <w:name w:val="List 3"/>
    <w:basedOn w:val="Normal"/>
    <w:rsid w:val="00A573F4"/>
    <w:pPr>
      <w:ind w:left="849" w:hanging="283"/>
    </w:pPr>
  </w:style>
  <w:style w:type="paragraph" w:styleId="List4">
    <w:name w:val="List 4"/>
    <w:basedOn w:val="Normal"/>
    <w:rsid w:val="00A573F4"/>
    <w:pPr>
      <w:ind w:left="1132" w:hanging="283"/>
    </w:pPr>
  </w:style>
  <w:style w:type="paragraph" w:styleId="List5">
    <w:name w:val="List 5"/>
    <w:basedOn w:val="Normal"/>
    <w:rsid w:val="00A573F4"/>
    <w:pPr>
      <w:ind w:left="1415" w:hanging="283"/>
    </w:pPr>
  </w:style>
  <w:style w:type="paragraph" w:styleId="ListBullet">
    <w:name w:val="List Bullet"/>
    <w:basedOn w:val="Normal"/>
    <w:rsid w:val="00A573F4"/>
    <w:pPr>
      <w:numPr>
        <w:numId w:val="21"/>
      </w:numPr>
      <w:ind w:left="357" w:hanging="357"/>
    </w:pPr>
    <w:rPr>
      <w:rFonts w:eastAsia="Times"/>
    </w:rPr>
  </w:style>
  <w:style w:type="paragraph" w:styleId="ListBullet2">
    <w:name w:val="List Bullet 2"/>
    <w:basedOn w:val="Normal"/>
    <w:rsid w:val="00A573F4"/>
    <w:pPr>
      <w:numPr>
        <w:numId w:val="22"/>
      </w:numPr>
      <w:tabs>
        <w:tab w:val="clear" w:pos="643"/>
        <w:tab w:val="num" w:pos="360"/>
      </w:tabs>
      <w:ind w:left="360"/>
    </w:pPr>
    <w:rPr>
      <w:rFonts w:eastAsia="Times"/>
    </w:rPr>
  </w:style>
  <w:style w:type="paragraph" w:styleId="ListBullet3">
    <w:name w:val="List Bullet 3"/>
    <w:basedOn w:val="Text3"/>
    <w:rsid w:val="00A573F4"/>
    <w:pPr>
      <w:numPr>
        <w:numId w:val="8"/>
      </w:numPr>
      <w:tabs>
        <w:tab w:val="clear" w:pos="2302"/>
      </w:tabs>
    </w:pPr>
  </w:style>
  <w:style w:type="paragraph" w:styleId="ListBullet4">
    <w:name w:val="List Bullet 4"/>
    <w:basedOn w:val="Text4"/>
    <w:rsid w:val="00A573F4"/>
    <w:pPr>
      <w:numPr>
        <w:numId w:val="9"/>
      </w:numPr>
    </w:pPr>
  </w:style>
  <w:style w:type="paragraph" w:styleId="ListBullet5">
    <w:name w:val="List Bullet 5"/>
    <w:basedOn w:val="Normal"/>
    <w:autoRedefine/>
    <w:rsid w:val="00A573F4"/>
    <w:pPr>
      <w:numPr>
        <w:numId w:val="5"/>
      </w:numPr>
    </w:pPr>
  </w:style>
  <w:style w:type="paragraph" w:styleId="ListContinue">
    <w:name w:val="List Continue"/>
    <w:basedOn w:val="Normal"/>
    <w:rsid w:val="00A573F4"/>
    <w:pPr>
      <w:ind w:left="283"/>
    </w:pPr>
  </w:style>
  <w:style w:type="paragraph" w:styleId="ListContinue2">
    <w:name w:val="List Continue 2"/>
    <w:basedOn w:val="Normal"/>
    <w:rsid w:val="00A573F4"/>
    <w:pPr>
      <w:ind w:left="641"/>
    </w:pPr>
  </w:style>
  <w:style w:type="paragraph" w:styleId="ListContinue3">
    <w:name w:val="List Continue 3"/>
    <w:basedOn w:val="Normal"/>
    <w:rsid w:val="00A573F4"/>
    <w:pPr>
      <w:ind w:left="849"/>
    </w:pPr>
  </w:style>
  <w:style w:type="paragraph" w:styleId="ListContinue4">
    <w:name w:val="List Continue 4"/>
    <w:basedOn w:val="Normal"/>
    <w:rsid w:val="00A573F4"/>
    <w:pPr>
      <w:ind w:left="1132"/>
    </w:pPr>
  </w:style>
  <w:style w:type="paragraph" w:styleId="ListContinue5">
    <w:name w:val="List Continue 5"/>
    <w:basedOn w:val="Normal"/>
    <w:rsid w:val="00A573F4"/>
    <w:pPr>
      <w:ind w:left="1415"/>
    </w:pPr>
  </w:style>
  <w:style w:type="paragraph" w:styleId="ListNumber">
    <w:name w:val="List Number"/>
    <w:aliases w:val="NumPar1"/>
    <w:basedOn w:val="Normal"/>
    <w:next w:val="Normal"/>
    <w:rsid w:val="00A573F4"/>
    <w:pPr>
      <w:numPr>
        <w:numId w:val="23"/>
      </w:numPr>
    </w:pPr>
    <w:rPr>
      <w:rFonts w:eastAsia="Times"/>
    </w:rPr>
  </w:style>
  <w:style w:type="paragraph" w:styleId="ListNumber2">
    <w:name w:val="List Number 2"/>
    <w:basedOn w:val="Text2"/>
    <w:rsid w:val="00A573F4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rsid w:val="00A573F4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A573F4"/>
    <w:pPr>
      <w:numPr>
        <w:numId w:val="18"/>
      </w:numPr>
    </w:pPr>
  </w:style>
  <w:style w:type="paragraph" w:styleId="ListNumber5">
    <w:name w:val="List Number 5"/>
    <w:basedOn w:val="Normal"/>
    <w:rsid w:val="00A573F4"/>
    <w:pPr>
      <w:numPr>
        <w:numId w:val="6"/>
      </w:numPr>
    </w:pPr>
  </w:style>
  <w:style w:type="paragraph" w:styleId="MessageHeader">
    <w:name w:val="Message Header"/>
    <w:basedOn w:val="Normal"/>
    <w:rsid w:val="00A57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rsid w:val="00A573F4"/>
    <w:pPr>
      <w:ind w:left="720"/>
    </w:pPr>
  </w:style>
  <w:style w:type="paragraph" w:styleId="NoteHeading">
    <w:name w:val="Note Heading"/>
    <w:basedOn w:val="Normal"/>
    <w:next w:val="Normal"/>
    <w:rsid w:val="00A573F4"/>
  </w:style>
  <w:style w:type="paragraph" w:customStyle="1" w:styleId="NoteHead">
    <w:name w:val="NoteHead"/>
    <w:basedOn w:val="Normal"/>
    <w:next w:val="Subject"/>
    <w:rsid w:val="00A573F4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A573F4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A573F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A573F4"/>
    <w:pPr>
      <w:keepNext w:val="0"/>
      <w:spacing w:before="0"/>
      <w:outlineLvl w:val="9"/>
    </w:pPr>
    <w:rPr>
      <w:b w:val="0"/>
      <w:smallCaps/>
    </w:rPr>
  </w:style>
  <w:style w:type="paragraph" w:customStyle="1" w:styleId="NumPar20">
    <w:name w:val="NumPar 2"/>
    <w:basedOn w:val="Heading2"/>
    <w:next w:val="Text2"/>
    <w:rsid w:val="00A573F4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A573F4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A573F4"/>
    <w:pPr>
      <w:keepNext w:val="0"/>
      <w:outlineLvl w:val="9"/>
    </w:pPr>
  </w:style>
  <w:style w:type="paragraph" w:styleId="PlainText">
    <w:name w:val="Plain Text"/>
    <w:basedOn w:val="Normal"/>
    <w:rsid w:val="00A573F4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A573F4"/>
  </w:style>
  <w:style w:type="paragraph" w:styleId="Subtitle">
    <w:name w:val="Subtitle"/>
    <w:basedOn w:val="Normal"/>
    <w:qFormat/>
    <w:rsid w:val="00A573F4"/>
    <w:pPr>
      <w:spacing w:after="60"/>
      <w:jc w:val="center"/>
      <w:outlineLvl w:val="1"/>
    </w:pPr>
  </w:style>
  <w:style w:type="paragraph" w:styleId="Title">
    <w:name w:val="Title"/>
    <w:basedOn w:val="Normal"/>
    <w:qFormat/>
    <w:rsid w:val="00A573F4"/>
    <w:pPr>
      <w:spacing w:before="240" w:after="60"/>
      <w:jc w:val="left"/>
      <w:outlineLvl w:val="0"/>
    </w:pPr>
    <w:rPr>
      <w:b/>
      <w:kern w:val="28"/>
      <w:sz w:val="32"/>
    </w:rPr>
  </w:style>
  <w:style w:type="paragraph" w:customStyle="1" w:styleId="YReferences">
    <w:name w:val="YReferences"/>
    <w:basedOn w:val="Normal"/>
    <w:rsid w:val="00A573F4"/>
    <w:pPr>
      <w:spacing w:after="480"/>
      <w:ind w:left="1191" w:hanging="1191"/>
    </w:pPr>
  </w:style>
  <w:style w:type="paragraph" w:customStyle="1" w:styleId="ListBullet1">
    <w:name w:val="List Bullet 1"/>
    <w:basedOn w:val="Text1"/>
    <w:rsid w:val="00A573F4"/>
    <w:pPr>
      <w:numPr>
        <w:numId w:val="7"/>
      </w:numPr>
    </w:pPr>
  </w:style>
  <w:style w:type="paragraph" w:customStyle="1" w:styleId="ListDash">
    <w:name w:val="List Dash"/>
    <w:basedOn w:val="Normal"/>
    <w:rsid w:val="00A573F4"/>
    <w:pPr>
      <w:numPr>
        <w:numId w:val="10"/>
      </w:numPr>
    </w:pPr>
  </w:style>
  <w:style w:type="paragraph" w:customStyle="1" w:styleId="ListDash2">
    <w:name w:val="List Dash 2"/>
    <w:basedOn w:val="Text2"/>
    <w:rsid w:val="00A573F4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A573F4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A573F4"/>
    <w:pPr>
      <w:numPr>
        <w:numId w:val="13"/>
      </w:numPr>
    </w:pPr>
  </w:style>
  <w:style w:type="paragraph" w:customStyle="1" w:styleId="ListNumberLevel2">
    <w:name w:val="List Number (Level 2)"/>
    <w:basedOn w:val="Normal"/>
    <w:rsid w:val="00A573F4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A573F4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A573F4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A573F4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A573F4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A573F4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A573F4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A573F4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A573F4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A573F4"/>
    <w:pPr>
      <w:numPr>
        <w:ilvl w:val="3"/>
        <w:numId w:val="16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rsid w:val="00A573F4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A573F4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A573F4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A573F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rsid w:val="00A573F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rsid w:val="00A573F4"/>
    <w:pPr>
      <w:numPr>
        <w:ilvl w:val="3"/>
        <w:numId w:val="18"/>
      </w:numPr>
    </w:pPr>
  </w:style>
  <w:style w:type="paragraph" w:customStyle="1" w:styleId="TOCHeading1">
    <w:name w:val="TOC Heading1"/>
    <w:basedOn w:val="Normal"/>
    <w:next w:val="Normal"/>
    <w:rsid w:val="00A573F4"/>
    <w:pPr>
      <w:keepNext/>
      <w:spacing w:before="240"/>
      <w:jc w:val="center"/>
    </w:pPr>
    <w:rPr>
      <w:b/>
    </w:rPr>
  </w:style>
  <w:style w:type="paragraph" w:customStyle="1" w:styleId="Article">
    <w:name w:val="Article"/>
    <w:basedOn w:val="Normal"/>
    <w:next w:val="Normal"/>
    <w:rsid w:val="00A573F4"/>
    <w:pPr>
      <w:numPr>
        <w:numId w:val="19"/>
      </w:numPr>
      <w:spacing w:before="240" w:after="60"/>
      <w:outlineLvl w:val="1"/>
    </w:pPr>
    <w:rPr>
      <w:rFonts w:eastAsia="Times"/>
    </w:rPr>
  </w:style>
  <w:style w:type="paragraph" w:customStyle="1" w:styleId="Disclaimer">
    <w:name w:val="Disclaimer"/>
    <w:basedOn w:val="Normal"/>
    <w:rsid w:val="00A573F4"/>
    <w:pPr>
      <w:keepLines/>
      <w:pBdr>
        <w:top w:val="single" w:sz="4" w:space="1" w:color="auto"/>
      </w:pBdr>
      <w:spacing w:before="480" w:after="0"/>
    </w:pPr>
    <w:rPr>
      <w:i/>
    </w:rPr>
  </w:style>
  <w:style w:type="paragraph" w:customStyle="1" w:styleId="NumPar2">
    <w:name w:val="NumPar2"/>
    <w:basedOn w:val="ListNumber"/>
    <w:rsid w:val="00A573F4"/>
    <w:pPr>
      <w:numPr>
        <w:numId w:val="24"/>
      </w:numPr>
      <w:spacing w:before="240" w:after="60"/>
    </w:pPr>
  </w:style>
  <w:style w:type="paragraph" w:customStyle="1" w:styleId="SectionTitle">
    <w:name w:val="SectionTitle"/>
    <w:basedOn w:val="Normal"/>
    <w:autoRedefine/>
    <w:rsid w:val="00A573F4"/>
    <w:pPr>
      <w:keepNext/>
      <w:pageBreakBefore/>
      <w:suppressAutoHyphens/>
      <w:spacing w:before="0" w:after="240"/>
      <w:jc w:val="center"/>
      <w:outlineLvl w:val="0"/>
    </w:pPr>
    <w:rPr>
      <w:rFonts w:eastAsia="Times"/>
      <w:b/>
      <w:sz w:val="26"/>
    </w:rPr>
  </w:style>
  <w:style w:type="paragraph" w:customStyle="1" w:styleId="ChapterTitle">
    <w:name w:val="ChapterTitle"/>
    <w:basedOn w:val="Title"/>
    <w:next w:val="Normal"/>
    <w:rsid w:val="00A573F4"/>
    <w:pPr>
      <w:keepNext/>
      <w:spacing w:before="0" w:after="480"/>
      <w:jc w:val="center"/>
    </w:pPr>
    <w:rPr>
      <w:rFonts w:ascii="Times New Roman" w:hAnsi="Times New Roman"/>
      <w:b w:val="0"/>
    </w:rPr>
  </w:style>
  <w:style w:type="character" w:styleId="Emphasis">
    <w:name w:val="Emphasis"/>
    <w:basedOn w:val="DefaultParagraphFont"/>
    <w:qFormat/>
    <w:rsid w:val="00A573F4"/>
    <w:rPr>
      <w:i/>
    </w:rPr>
  </w:style>
  <w:style w:type="character" w:styleId="FollowedHyperlink">
    <w:name w:val="FollowedHyperlink"/>
    <w:basedOn w:val="DefaultParagraphFont"/>
    <w:rsid w:val="00A573F4"/>
    <w:rPr>
      <w:color w:val="800080"/>
      <w:u w:val="single"/>
    </w:rPr>
  </w:style>
  <w:style w:type="character" w:styleId="Hyperlink">
    <w:name w:val="Hyperlink"/>
    <w:basedOn w:val="DefaultParagraphFont"/>
    <w:rsid w:val="00A573F4"/>
    <w:rPr>
      <w:color w:val="0000FF"/>
      <w:u w:val="single"/>
    </w:rPr>
  </w:style>
  <w:style w:type="character" w:styleId="LineNumber">
    <w:name w:val="line number"/>
    <w:basedOn w:val="DefaultParagraphFont"/>
    <w:rsid w:val="00A573F4"/>
  </w:style>
  <w:style w:type="character" w:styleId="Strong">
    <w:name w:val="Strong"/>
    <w:basedOn w:val="DefaultParagraphFont"/>
    <w:qFormat/>
    <w:rsid w:val="00A573F4"/>
    <w:rPr>
      <w:b/>
    </w:rPr>
  </w:style>
  <w:style w:type="paragraph" w:styleId="BalloonText">
    <w:name w:val="Balloon Text"/>
    <w:basedOn w:val="Normal"/>
    <w:semiHidden/>
    <w:rsid w:val="003A4D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2374"/>
    <w:pPr>
      <w:suppressAutoHyphens/>
      <w:autoSpaceDN w:val="0"/>
      <w:spacing w:before="0" w:after="240"/>
      <w:ind w:left="720"/>
      <w:contextualSpacing/>
      <w:textAlignment w:val="baseline"/>
    </w:pPr>
    <w:rPr>
      <w:sz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spitzer\AppData\Local\Microsoft\Windows\Temporary%20Internet%20Files\Content.Outlook\1136QSAY\document-New-EN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7AEC-00E0-4C15-9CD4-DCBED14C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document-New-EN (4)</Template>
  <TotalTime>15</TotalTime>
  <Pages>5</Pages>
  <Words>1617</Words>
  <Characters>9252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European Schools</Company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SPITZER Lisa</dc:creator>
  <cp:lastModifiedBy>SPITZER Lisa (OSG)</cp:lastModifiedBy>
  <cp:revision>6</cp:revision>
  <cp:lastPrinted>2017-10-27T07:12:00Z</cp:lastPrinted>
  <dcterms:created xsi:type="dcterms:W3CDTF">2017-11-21T15:47:00Z</dcterms:created>
  <dcterms:modified xsi:type="dcterms:W3CDTF">2017-11-22T11:37:00Z</dcterms:modified>
</cp:coreProperties>
</file>