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B5539E" w:rsidRPr="00BD2DB2" w:rsidTr="00D60DB7">
        <w:trPr>
          <w:trHeight w:val="1440"/>
        </w:trPr>
        <w:tc>
          <w:tcPr>
            <w:tcW w:w="5103" w:type="dxa"/>
            <w:tcBorders>
              <w:top w:val="nil"/>
              <w:left w:val="nil"/>
              <w:bottom w:val="nil"/>
              <w:right w:val="nil"/>
            </w:tcBorders>
          </w:tcPr>
          <w:p w:rsidR="00B5539E" w:rsidRPr="00BD2DB2" w:rsidRDefault="00B5539E" w:rsidP="00B5539E">
            <w:pPr>
              <w:spacing w:after="0" w:line="240" w:lineRule="auto"/>
              <w:rPr>
                <w:rFonts w:ascii="Garamond" w:eastAsia="Times New Roman" w:hAnsi="Garamond" w:cs="Times New Roman"/>
                <w:sz w:val="24"/>
                <w:szCs w:val="24"/>
                <w:lang w:val="en-GB" w:eastAsia="fi-FI"/>
              </w:rPr>
            </w:pPr>
            <w:r w:rsidRPr="00BD2DB2">
              <w:rPr>
                <w:rFonts w:ascii="Garamond" w:eastAsia="Times New Roman" w:hAnsi="Garamond" w:cs="Times New Roman"/>
                <w:noProof/>
                <w:sz w:val="20"/>
                <w:szCs w:val="20"/>
              </w:rPr>
              <w:drawing>
                <wp:inline distT="0" distB="0" distL="0" distR="0">
                  <wp:extent cx="2381250" cy="1028700"/>
                  <wp:effectExtent l="0" t="0" r="0" b="0"/>
                  <wp:docPr id="3" name="Picture 3"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B5539E" w:rsidRPr="00BD2DB2" w:rsidRDefault="00BD2DB2" w:rsidP="00B5539E">
            <w:pPr>
              <w:widowControl w:val="0"/>
              <w:spacing w:after="0" w:line="240" w:lineRule="auto"/>
              <w:ind w:right="85"/>
              <w:jc w:val="both"/>
              <w:rPr>
                <w:rFonts w:ascii="Arial" w:eastAsia="Times New Roman" w:hAnsi="Arial" w:cs="Times New Roman"/>
                <w:snapToGrid w:val="0"/>
                <w:sz w:val="24"/>
                <w:szCs w:val="20"/>
                <w:lang w:val="en-GB"/>
              </w:rPr>
            </w:pPr>
            <w:r w:rsidRPr="00BD2DB2">
              <w:rPr>
                <w:rFonts w:ascii="Arial" w:eastAsia="Times New Roman" w:hAnsi="Arial" w:cs="Times New Roman"/>
                <w:snapToGrid w:val="0"/>
                <w:sz w:val="24"/>
                <w:szCs w:val="20"/>
                <w:lang w:val="en-GB"/>
              </w:rPr>
              <w:t>European Schools</w:t>
            </w:r>
          </w:p>
          <w:p w:rsidR="00B5539E" w:rsidRPr="00BD2DB2" w:rsidRDefault="00B5539E" w:rsidP="00B5539E">
            <w:pPr>
              <w:widowControl w:val="0"/>
              <w:spacing w:after="0" w:line="240" w:lineRule="auto"/>
              <w:ind w:right="85"/>
              <w:jc w:val="both"/>
              <w:rPr>
                <w:rFonts w:ascii="Arial" w:eastAsia="Times New Roman" w:hAnsi="Arial" w:cs="Times New Roman"/>
                <w:snapToGrid w:val="0"/>
                <w:sz w:val="16"/>
                <w:szCs w:val="20"/>
                <w:lang w:val="en-GB"/>
              </w:rPr>
            </w:pPr>
          </w:p>
          <w:p w:rsidR="00B5539E" w:rsidRPr="00BD2DB2" w:rsidRDefault="00B5539E" w:rsidP="00B5539E">
            <w:pPr>
              <w:widowControl w:val="0"/>
              <w:spacing w:after="0" w:line="240" w:lineRule="auto"/>
              <w:ind w:right="85"/>
              <w:jc w:val="both"/>
              <w:rPr>
                <w:rFonts w:ascii="Arial" w:eastAsia="Times New Roman" w:hAnsi="Arial" w:cs="Times New Roman"/>
                <w:snapToGrid w:val="0"/>
                <w:sz w:val="16"/>
                <w:szCs w:val="20"/>
                <w:lang w:val="en-GB"/>
              </w:rPr>
            </w:pPr>
          </w:p>
          <w:p w:rsidR="00B5539E" w:rsidRPr="00BD2DB2" w:rsidRDefault="00B5539E" w:rsidP="00B5539E">
            <w:pPr>
              <w:widowControl w:val="0"/>
              <w:spacing w:after="0" w:line="240" w:lineRule="auto"/>
              <w:ind w:right="85"/>
              <w:jc w:val="both"/>
              <w:rPr>
                <w:rFonts w:ascii="Arial" w:eastAsia="Times New Roman" w:hAnsi="Arial" w:cs="Times New Roman"/>
                <w:snapToGrid w:val="0"/>
                <w:sz w:val="16"/>
                <w:szCs w:val="20"/>
                <w:lang w:val="en-GB"/>
              </w:rPr>
            </w:pPr>
          </w:p>
          <w:p w:rsidR="00B5539E" w:rsidRPr="00BD2DB2" w:rsidRDefault="00BD2DB2" w:rsidP="00B5539E">
            <w:pPr>
              <w:widowControl w:val="0"/>
              <w:spacing w:after="0" w:line="240" w:lineRule="auto"/>
              <w:ind w:right="85"/>
              <w:jc w:val="both"/>
              <w:rPr>
                <w:rFonts w:ascii="Arial" w:eastAsia="Times New Roman" w:hAnsi="Arial" w:cs="Times New Roman"/>
                <w:snapToGrid w:val="0"/>
                <w:sz w:val="20"/>
                <w:szCs w:val="20"/>
                <w:lang w:val="en-GB"/>
              </w:rPr>
            </w:pPr>
            <w:r w:rsidRPr="00BD2DB2">
              <w:rPr>
                <w:rFonts w:ascii="Arial" w:eastAsia="Times New Roman" w:hAnsi="Arial" w:cs="Times New Roman"/>
                <w:snapToGrid w:val="0"/>
                <w:sz w:val="20"/>
                <w:szCs w:val="20"/>
                <w:lang w:val="en-GB"/>
              </w:rPr>
              <w:t>Office of the Secretary-General</w:t>
            </w:r>
          </w:p>
        </w:tc>
      </w:tr>
    </w:tbl>
    <w:p w:rsidR="00B5539E" w:rsidRPr="00BD2DB2" w:rsidRDefault="00B5539E" w:rsidP="00B5539E">
      <w:pPr>
        <w:spacing w:after="0" w:line="240" w:lineRule="auto"/>
        <w:rPr>
          <w:rFonts w:ascii="Garamond" w:eastAsia="Times New Roman" w:hAnsi="Garamond" w:cs="Times New Roman"/>
          <w:sz w:val="24"/>
          <w:szCs w:val="24"/>
          <w:lang w:val="en-GB" w:eastAsia="fi-FI"/>
        </w:rPr>
      </w:pPr>
    </w:p>
    <w:p w:rsidR="00B5539E" w:rsidRPr="00BD2DB2" w:rsidRDefault="00BD2DB2" w:rsidP="00B5539E">
      <w:pPr>
        <w:spacing w:before="120" w:after="0" w:line="240" w:lineRule="auto"/>
        <w:jc w:val="both"/>
        <w:rPr>
          <w:rFonts w:ascii="Arial" w:eastAsia="Times New Roman" w:hAnsi="Arial" w:cs="Times New Roman"/>
          <w:b/>
          <w:szCs w:val="20"/>
          <w:lang w:val="en-GB" w:eastAsia="fr-FR"/>
        </w:rPr>
      </w:pPr>
      <w:r w:rsidRPr="00BD2DB2">
        <w:rPr>
          <w:rFonts w:ascii="Arial" w:eastAsia="Times New Roman" w:hAnsi="Arial" w:cs="Times New Roman"/>
          <w:b/>
          <w:bCs/>
          <w:szCs w:val="20"/>
          <w:lang w:val="en-GB" w:eastAsia="fr-FR"/>
        </w:rPr>
        <w:t>Ref.: 2017-09-D-42-en</w:t>
      </w:r>
      <w:r w:rsidR="00AF73B5">
        <w:rPr>
          <w:rFonts w:ascii="Arial" w:eastAsia="Times New Roman" w:hAnsi="Arial" w:cs="Times New Roman"/>
          <w:b/>
          <w:bCs/>
          <w:szCs w:val="20"/>
          <w:lang w:val="en-GB" w:eastAsia="fr-FR"/>
        </w:rPr>
        <w:t>-2</w:t>
      </w:r>
    </w:p>
    <w:p w:rsidR="00B5539E" w:rsidRPr="00BD2DB2" w:rsidRDefault="00BD2DB2" w:rsidP="00B5539E">
      <w:pPr>
        <w:spacing w:before="120" w:after="0" w:line="240" w:lineRule="auto"/>
        <w:jc w:val="both"/>
        <w:rPr>
          <w:rFonts w:ascii="Arial" w:eastAsia="Times New Roman" w:hAnsi="Arial" w:cs="Times New Roman"/>
          <w:b/>
          <w:szCs w:val="20"/>
          <w:lang w:val="en-GB" w:eastAsia="fr-FR"/>
        </w:rPr>
      </w:pPr>
      <w:r w:rsidRPr="00BD2DB2">
        <w:rPr>
          <w:rFonts w:ascii="Arial" w:eastAsia="Times New Roman" w:hAnsi="Arial" w:cs="Times New Roman"/>
          <w:b/>
          <w:bCs/>
          <w:szCs w:val="20"/>
          <w:lang w:val="en-GB" w:eastAsia="fr-FR"/>
        </w:rPr>
        <w:t>Orig.</w:t>
      </w:r>
      <w:r w:rsidR="00B5539E" w:rsidRPr="00BD2DB2">
        <w:rPr>
          <w:rFonts w:ascii="Arial" w:eastAsia="Times New Roman" w:hAnsi="Arial" w:cs="Times New Roman"/>
          <w:b/>
          <w:bCs/>
          <w:szCs w:val="20"/>
          <w:lang w:val="en-GB" w:eastAsia="fr-FR"/>
        </w:rPr>
        <w:t xml:space="preserve">: </w:t>
      </w:r>
      <w:r w:rsidR="00B5539E" w:rsidRPr="00BD2DB2">
        <w:rPr>
          <w:rFonts w:ascii="Arial" w:eastAsia="Times New Roman" w:hAnsi="Arial" w:cs="Times New Roman"/>
          <w:b/>
          <w:bCs/>
          <w:color w:val="000000"/>
          <w:szCs w:val="20"/>
          <w:lang w:val="en-GB" w:eastAsia="fr-FR"/>
        </w:rPr>
        <w:t>FR</w:t>
      </w:r>
    </w:p>
    <w:p w:rsidR="00B5539E" w:rsidRPr="00BD2DB2" w:rsidRDefault="00B5539E" w:rsidP="00B5539E">
      <w:pPr>
        <w:spacing w:before="120" w:after="0" w:line="240" w:lineRule="auto"/>
        <w:jc w:val="both"/>
        <w:rPr>
          <w:rFonts w:ascii="Arial" w:eastAsia="Times New Roman" w:hAnsi="Arial" w:cs="Times New Roman"/>
          <w:b/>
          <w:szCs w:val="20"/>
          <w:lang w:val="en-GB" w:eastAsia="fr-FR"/>
        </w:rPr>
      </w:pPr>
    </w:p>
    <w:p w:rsidR="00B5539E" w:rsidRPr="00BD2DB2" w:rsidRDefault="00B5539E" w:rsidP="00B5539E">
      <w:pPr>
        <w:pBdr>
          <w:bottom w:val="single" w:sz="4" w:space="0" w:color="auto"/>
        </w:pBdr>
        <w:spacing w:before="2400" w:after="120" w:line="240" w:lineRule="auto"/>
        <w:jc w:val="both"/>
        <w:outlineLvl w:val="0"/>
        <w:rPr>
          <w:rFonts w:ascii="Arial" w:eastAsia="Times" w:hAnsi="Arial" w:cs="Times New Roman"/>
          <w:b/>
          <w:kern w:val="28"/>
          <w:sz w:val="32"/>
          <w:szCs w:val="20"/>
          <w:lang w:val="en-GB" w:eastAsia="fr-FR"/>
        </w:rPr>
      </w:pPr>
      <w:bookmarkStart w:id="0" w:name="_Toc494880751"/>
      <w:r w:rsidRPr="00BD2DB2">
        <w:rPr>
          <w:rFonts w:ascii="Arial" w:eastAsia="Times" w:hAnsi="Arial" w:cs="Times New Roman"/>
          <w:b/>
          <w:bCs/>
          <w:kern w:val="28"/>
          <w:sz w:val="32"/>
          <w:szCs w:val="20"/>
          <w:lang w:val="en-GB" w:eastAsia="fr-FR"/>
        </w:rPr>
        <w:t>Mondorf-les-Bains </w:t>
      </w:r>
      <w:r w:rsidR="00BD2DB2">
        <w:rPr>
          <w:rFonts w:ascii="Arial" w:eastAsia="Times" w:hAnsi="Arial" w:cs="Times New Roman"/>
          <w:b/>
          <w:bCs/>
          <w:kern w:val="28"/>
          <w:sz w:val="32"/>
          <w:szCs w:val="20"/>
          <w:lang w:val="en-GB" w:eastAsia="fr-FR"/>
        </w:rPr>
        <w:t>International School: General Interest File</w:t>
      </w:r>
      <w:bookmarkEnd w:id="0"/>
    </w:p>
    <w:p w:rsidR="00B5539E" w:rsidRPr="00BD2DB2" w:rsidRDefault="00AF73B5" w:rsidP="00B5539E">
      <w:pPr>
        <w:spacing w:after="720" w:line="240" w:lineRule="auto"/>
        <w:jc w:val="both"/>
        <w:rPr>
          <w:rFonts w:ascii="Arial" w:eastAsia="Times" w:hAnsi="Arial" w:cs="Times New Roman"/>
          <w:b/>
          <w:szCs w:val="20"/>
          <w:lang w:val="en-GB" w:eastAsia="fr-FR"/>
        </w:rPr>
      </w:pPr>
      <w:r>
        <w:rPr>
          <w:rFonts w:ascii="Arial" w:eastAsia="Times" w:hAnsi="Arial" w:cs="Times New Roman"/>
          <w:b/>
          <w:bCs/>
          <w:szCs w:val="20"/>
          <w:lang w:val="en-GB" w:eastAsia="fr-FR"/>
        </w:rPr>
        <w:t>BOARD OF GOVERNORS</w:t>
      </w:r>
    </w:p>
    <w:p w:rsidR="00B5539E" w:rsidRPr="00BD2DB2" w:rsidRDefault="00AF73B5" w:rsidP="00B5539E">
      <w:pPr>
        <w:pBdr>
          <w:bottom w:val="single" w:sz="4" w:space="0" w:color="auto"/>
        </w:pBdr>
        <w:spacing w:before="120" w:after="1000" w:line="240" w:lineRule="auto"/>
        <w:jc w:val="both"/>
        <w:rPr>
          <w:rFonts w:ascii="Arial" w:eastAsia="Times" w:hAnsi="Arial" w:cs="Times New Roman"/>
          <w:szCs w:val="20"/>
          <w:lang w:val="en-GB" w:eastAsia="fr-FR"/>
        </w:rPr>
      </w:pPr>
      <w:r>
        <w:rPr>
          <w:rFonts w:ascii="Arial" w:eastAsia="Times" w:hAnsi="Arial" w:cs="Times New Roman"/>
          <w:szCs w:val="20"/>
          <w:lang w:val="en-GB" w:eastAsia="fr-FR"/>
        </w:rPr>
        <w:t>Meeting on December 5-7, 2017</w:t>
      </w:r>
      <w:r w:rsidR="00BD2DB2">
        <w:rPr>
          <w:rFonts w:ascii="Arial" w:eastAsia="Times" w:hAnsi="Arial" w:cs="Times New Roman"/>
          <w:szCs w:val="20"/>
          <w:lang w:val="en-GB" w:eastAsia="fr-FR"/>
        </w:rPr>
        <w:t xml:space="preserve"> – Brussels</w:t>
      </w:r>
    </w:p>
    <w:p w:rsidR="00D60DB7" w:rsidRPr="00BD2DB2" w:rsidRDefault="00D60DB7" w:rsidP="00D60DB7">
      <w:pPr>
        <w:spacing w:after="0" w:line="300" w:lineRule="exact"/>
        <w:rPr>
          <w:rFonts w:ascii="Garamond" w:eastAsia="Times New Roman" w:hAnsi="Garamond" w:cs="Times New Roman"/>
          <w:b/>
          <w:lang w:val="en-GB" w:eastAsia="da-DK"/>
        </w:rPr>
      </w:pPr>
    </w:p>
    <w:p w:rsidR="00D60DB7" w:rsidRPr="00BD2DB2" w:rsidRDefault="00D60DB7">
      <w:pPr>
        <w:rPr>
          <w:rFonts w:ascii="Garamond" w:eastAsia="Times New Roman" w:hAnsi="Garamond" w:cs="Times New Roman"/>
          <w:b/>
          <w:bCs/>
          <w:lang w:val="en-GB" w:eastAsia="fi-FI"/>
        </w:rPr>
      </w:pPr>
      <w:r w:rsidRPr="00BD2DB2">
        <w:rPr>
          <w:rFonts w:ascii="Garamond" w:eastAsia="Times New Roman" w:hAnsi="Garamond" w:cs="Times New Roman"/>
          <w:lang w:val="en-GB" w:eastAsia="fi-FI"/>
        </w:rPr>
        <w:br w:type="page"/>
      </w:r>
    </w:p>
    <w:p w:rsidR="00B5539E" w:rsidRPr="00BD2DB2" w:rsidRDefault="00B5539E" w:rsidP="00B5539E">
      <w:pPr>
        <w:tabs>
          <w:tab w:val="left" w:pos="6946"/>
        </w:tabs>
        <w:spacing w:after="0" w:line="240" w:lineRule="auto"/>
        <w:rPr>
          <w:rFonts w:ascii="Garamond" w:eastAsia="Times New Roman" w:hAnsi="Garamond" w:cs="Times New Roman"/>
          <w:b/>
          <w:bCs/>
          <w:lang w:val="en-GB" w:eastAsia="fi-FI"/>
        </w:rPr>
      </w:pPr>
    </w:p>
    <w:p w:rsidR="00BD2DB2" w:rsidRPr="0028166E" w:rsidRDefault="00BD2DB2" w:rsidP="00BD2DB2">
      <w:pPr>
        <w:tabs>
          <w:tab w:val="left" w:pos="6946"/>
        </w:tabs>
        <w:spacing w:after="0" w:line="240" w:lineRule="auto"/>
        <w:rPr>
          <w:rFonts w:eastAsia="Times New Roman" w:cstheme="minorHAnsi"/>
          <w:b/>
          <w:bCs/>
          <w:lang w:val="en-GB" w:eastAsia="fi-FI"/>
        </w:rPr>
      </w:pPr>
    </w:p>
    <w:p w:rsidR="00BD2DB2" w:rsidRPr="0028166E" w:rsidRDefault="00BD2DB2" w:rsidP="00BD2DB2">
      <w:pPr>
        <w:pStyle w:val="BodyText1"/>
        <w:shd w:val="clear" w:color="auto" w:fill="auto"/>
        <w:spacing w:line="240" w:lineRule="auto"/>
        <w:ind w:left="5670" w:right="-11"/>
        <w:rPr>
          <w:rFonts w:asciiTheme="minorHAnsi" w:hAnsiTheme="minorHAnsi" w:cstheme="minorHAnsi"/>
          <w:sz w:val="22"/>
          <w:szCs w:val="22"/>
          <w:lang w:val="en-GB"/>
        </w:rPr>
      </w:pPr>
      <w:r w:rsidRPr="0028166E">
        <w:rPr>
          <w:rFonts w:asciiTheme="minorHAnsi" w:hAnsiTheme="minorHAnsi" w:cstheme="minorHAnsi"/>
          <w:sz w:val="22"/>
          <w:szCs w:val="22"/>
          <w:lang w:val="en-GB"/>
        </w:rPr>
        <w:t>Luxembourg, 18 September 2017</w:t>
      </w:r>
    </w:p>
    <w:p w:rsidR="00BD2DB2" w:rsidRPr="0028166E" w:rsidRDefault="00BD2DB2" w:rsidP="00BD2DB2">
      <w:pPr>
        <w:pStyle w:val="BodyText1"/>
        <w:shd w:val="clear" w:color="auto" w:fill="auto"/>
        <w:spacing w:line="240" w:lineRule="auto"/>
        <w:ind w:left="1418" w:right="-11"/>
        <w:rPr>
          <w:rFonts w:asciiTheme="minorHAnsi" w:hAnsiTheme="minorHAnsi" w:cstheme="minorHAnsi"/>
          <w:sz w:val="22"/>
          <w:szCs w:val="22"/>
          <w:lang w:val="en-GB"/>
        </w:rPr>
      </w:pPr>
    </w:p>
    <w:p w:rsidR="00BD2DB2" w:rsidRPr="0028166E" w:rsidRDefault="00BD2DB2" w:rsidP="00AF73B5">
      <w:pPr>
        <w:pStyle w:val="BodyText1"/>
        <w:shd w:val="clear" w:color="auto" w:fill="auto"/>
        <w:spacing w:line="240" w:lineRule="auto"/>
        <w:ind w:left="567" w:right="-11"/>
        <w:rPr>
          <w:rFonts w:asciiTheme="minorHAnsi" w:hAnsiTheme="minorHAnsi" w:cstheme="minorHAnsi"/>
          <w:sz w:val="22"/>
          <w:szCs w:val="22"/>
          <w:lang w:val="en-GB"/>
        </w:rPr>
      </w:pPr>
      <w:r w:rsidRPr="0028166E">
        <w:rPr>
          <w:rFonts w:asciiTheme="minorHAnsi" w:hAnsiTheme="minorHAnsi" w:cstheme="minorHAnsi"/>
          <w:sz w:val="22"/>
          <w:szCs w:val="22"/>
          <w:lang w:val="en-GB"/>
        </w:rPr>
        <w:t xml:space="preserve">THE GOVERNMENT </w:t>
      </w:r>
    </w:p>
    <w:p w:rsidR="00BD2DB2" w:rsidRPr="0028166E" w:rsidRDefault="00BD2DB2" w:rsidP="00AF73B5">
      <w:pPr>
        <w:pStyle w:val="BodyText1"/>
        <w:shd w:val="clear" w:color="auto" w:fill="auto"/>
        <w:spacing w:line="240" w:lineRule="auto"/>
        <w:ind w:right="-11" w:firstLine="567"/>
        <w:rPr>
          <w:rFonts w:asciiTheme="minorHAnsi" w:hAnsiTheme="minorHAnsi" w:cstheme="minorHAnsi"/>
          <w:sz w:val="22"/>
          <w:szCs w:val="22"/>
          <w:lang w:val="en-GB"/>
        </w:rPr>
      </w:pPr>
      <w:r w:rsidRPr="0028166E">
        <w:rPr>
          <w:rFonts w:asciiTheme="minorHAnsi" w:hAnsiTheme="minorHAnsi" w:cstheme="minorHAnsi"/>
          <w:sz w:val="22"/>
          <w:szCs w:val="22"/>
          <w:lang w:val="en-GB"/>
        </w:rPr>
        <w:t>OF THE GRAND DUCHY OF LUXEMBOURG</w:t>
      </w:r>
    </w:p>
    <w:p w:rsidR="00BD2DB2" w:rsidRPr="0028166E" w:rsidRDefault="00BD2DB2" w:rsidP="00BD2DB2">
      <w:pPr>
        <w:pStyle w:val="BodyText1"/>
        <w:shd w:val="clear" w:color="auto" w:fill="auto"/>
        <w:spacing w:line="240" w:lineRule="auto"/>
        <w:ind w:left="851" w:right="-11"/>
        <w:rPr>
          <w:rFonts w:asciiTheme="minorHAnsi" w:hAnsiTheme="minorHAnsi" w:cstheme="minorHAnsi"/>
          <w:sz w:val="22"/>
          <w:szCs w:val="22"/>
          <w:lang w:val="en-GB"/>
        </w:rPr>
      </w:pPr>
      <w:r w:rsidRPr="0028166E">
        <w:rPr>
          <w:rFonts w:asciiTheme="minorHAnsi" w:hAnsiTheme="minorHAnsi" w:cstheme="minorHAnsi"/>
          <w:sz w:val="22"/>
          <w:szCs w:val="22"/>
          <w:lang w:val="en-GB"/>
        </w:rPr>
        <w:t>Ministry of Education, Childhood and Youth</w:t>
      </w: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lang w:val="en-GB"/>
        </w:rPr>
      </w:pP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lang w:val="en-GB"/>
        </w:rPr>
      </w:pPr>
      <w:r w:rsidRPr="0028166E">
        <w:rPr>
          <w:rFonts w:asciiTheme="minorHAnsi" w:hAnsiTheme="minorHAnsi" w:cstheme="minorHAnsi"/>
          <w:sz w:val="22"/>
          <w:szCs w:val="22"/>
          <w:lang w:val="en-GB"/>
        </w:rPr>
        <w:t>Secondary Education Department – VR</w:t>
      </w: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lang w:val="en-GB"/>
        </w:rPr>
      </w:pPr>
      <w:r w:rsidRPr="0028166E">
        <w:rPr>
          <w:rFonts w:asciiTheme="minorHAnsi" w:hAnsiTheme="minorHAnsi" w:cstheme="minorHAnsi"/>
          <w:sz w:val="22"/>
          <w:szCs w:val="22"/>
          <w:lang w:val="en-GB"/>
        </w:rPr>
        <w:t>Tel.: 247-85131  Fax: 247-85129</w:t>
      </w: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lang w:val="en-GB"/>
        </w:rPr>
      </w:pPr>
      <w:r w:rsidRPr="0028166E">
        <w:rPr>
          <w:rFonts w:asciiTheme="minorHAnsi" w:hAnsiTheme="minorHAnsi" w:cstheme="minorHAnsi"/>
          <w:sz w:val="22"/>
          <w:szCs w:val="22"/>
          <w:lang w:val="en-GB"/>
        </w:rPr>
        <w:t xml:space="preserve">      </w:t>
      </w:r>
      <w:hyperlink r:id="rId12" w:history="1">
        <w:r w:rsidRPr="0028166E">
          <w:rPr>
            <w:rStyle w:val="Hyperlink"/>
            <w:rFonts w:asciiTheme="minorHAnsi" w:hAnsiTheme="minorHAnsi" w:cstheme="minorHAnsi"/>
            <w:sz w:val="22"/>
            <w:szCs w:val="22"/>
            <w:lang w:val="en-GB"/>
          </w:rPr>
          <w:t>viviane.rhein@men.lu</w:t>
        </w:r>
      </w:hyperlink>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t>The Secretary-General of the</w:t>
      </w:r>
    </w:p>
    <w:p w:rsidR="00BD2DB2" w:rsidRPr="00AF73B5" w:rsidRDefault="00BD2DB2" w:rsidP="00BD2DB2">
      <w:pPr>
        <w:pStyle w:val="BodyText1"/>
        <w:shd w:val="clear" w:color="auto" w:fill="auto"/>
        <w:spacing w:line="240" w:lineRule="auto"/>
        <w:ind w:left="567" w:right="-11"/>
        <w:rPr>
          <w:rFonts w:asciiTheme="minorHAnsi" w:hAnsiTheme="minorHAnsi" w:cstheme="minorHAnsi"/>
          <w:sz w:val="22"/>
          <w:szCs w:val="22"/>
          <w:lang w:val="fr-BE"/>
        </w:rPr>
      </w:pP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28166E">
        <w:rPr>
          <w:rFonts w:asciiTheme="minorHAnsi" w:hAnsiTheme="minorHAnsi" w:cstheme="minorHAnsi"/>
          <w:sz w:val="22"/>
          <w:szCs w:val="22"/>
          <w:lang w:val="en-GB"/>
        </w:rPr>
        <w:tab/>
      </w:r>
      <w:r w:rsidRPr="00AF73B5">
        <w:rPr>
          <w:rFonts w:asciiTheme="minorHAnsi" w:hAnsiTheme="minorHAnsi" w:cstheme="minorHAnsi"/>
          <w:sz w:val="22"/>
          <w:szCs w:val="22"/>
          <w:lang w:val="fr-BE"/>
        </w:rPr>
        <w:t>European Schools</w:t>
      </w:r>
    </w:p>
    <w:p w:rsidR="00BD2DB2" w:rsidRPr="00AF73B5" w:rsidRDefault="00BD2DB2" w:rsidP="00BD2DB2">
      <w:pPr>
        <w:pStyle w:val="BodyText1"/>
        <w:shd w:val="clear" w:color="auto" w:fill="auto"/>
        <w:spacing w:line="240" w:lineRule="auto"/>
        <w:ind w:left="567" w:right="-11"/>
        <w:rPr>
          <w:rFonts w:asciiTheme="minorHAnsi" w:hAnsiTheme="minorHAnsi" w:cstheme="minorHAnsi"/>
          <w:sz w:val="22"/>
          <w:szCs w:val="22"/>
          <w:lang w:val="fr-BE"/>
        </w:rPr>
      </w:pP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t>23, rue de la Science</w:t>
      </w:r>
    </w:p>
    <w:p w:rsidR="00BD2DB2" w:rsidRPr="00AF73B5" w:rsidRDefault="00BD2DB2" w:rsidP="00BD2DB2">
      <w:pPr>
        <w:pStyle w:val="BodyText1"/>
        <w:shd w:val="clear" w:color="auto" w:fill="auto"/>
        <w:spacing w:line="240" w:lineRule="auto"/>
        <w:ind w:left="567" w:right="-11"/>
        <w:rPr>
          <w:rFonts w:asciiTheme="minorHAnsi" w:hAnsiTheme="minorHAnsi" w:cstheme="minorHAnsi"/>
          <w:sz w:val="22"/>
          <w:szCs w:val="22"/>
          <w:lang w:val="fr-BE"/>
        </w:rPr>
      </w:pP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u w:val="single"/>
          <w:lang w:val="en-GB"/>
        </w:rPr>
      </w:pP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AF73B5">
        <w:rPr>
          <w:rFonts w:asciiTheme="minorHAnsi" w:hAnsiTheme="minorHAnsi" w:cstheme="minorHAnsi"/>
          <w:sz w:val="22"/>
          <w:szCs w:val="22"/>
          <w:lang w:val="fr-BE"/>
        </w:rPr>
        <w:tab/>
      </w:r>
      <w:r w:rsidRPr="0028166E">
        <w:rPr>
          <w:rFonts w:asciiTheme="minorHAnsi" w:hAnsiTheme="minorHAnsi" w:cstheme="minorHAnsi"/>
          <w:sz w:val="22"/>
          <w:szCs w:val="22"/>
          <w:u w:val="single"/>
          <w:lang w:val="en-GB"/>
        </w:rPr>
        <w:t>B-1040 BRUSSELS</w:t>
      </w: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u w:val="single"/>
          <w:lang w:val="en-GB"/>
        </w:rPr>
      </w:pP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u w:val="single"/>
          <w:lang w:val="en-GB"/>
        </w:rPr>
      </w:pP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u w:val="single"/>
          <w:lang w:val="en-GB"/>
        </w:rPr>
      </w:pP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lang w:val="en-GB"/>
        </w:rPr>
      </w:pPr>
      <w:r w:rsidRPr="0028166E">
        <w:rPr>
          <w:rFonts w:asciiTheme="minorHAnsi" w:hAnsiTheme="minorHAnsi" w:cstheme="minorHAnsi"/>
          <w:sz w:val="22"/>
          <w:szCs w:val="22"/>
          <w:lang w:val="en-GB"/>
        </w:rPr>
        <w:t>Dear Sir,</w:t>
      </w:r>
    </w:p>
    <w:p w:rsidR="00BD2DB2" w:rsidRPr="0028166E" w:rsidRDefault="00BD2DB2" w:rsidP="00BD2DB2">
      <w:pPr>
        <w:pStyle w:val="BodyText1"/>
        <w:shd w:val="clear" w:color="auto" w:fill="auto"/>
        <w:spacing w:line="240" w:lineRule="auto"/>
        <w:ind w:left="567" w:right="-11"/>
        <w:rPr>
          <w:rFonts w:asciiTheme="minorHAnsi" w:hAnsiTheme="minorHAnsi" w:cstheme="minorHAnsi"/>
          <w:sz w:val="22"/>
          <w:szCs w:val="22"/>
          <w:lang w:val="en-GB"/>
        </w:rPr>
      </w:pP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r w:rsidRPr="0028166E">
        <w:rPr>
          <w:rFonts w:asciiTheme="minorHAnsi" w:hAnsiTheme="minorHAnsi" w:cstheme="minorHAnsi"/>
          <w:sz w:val="22"/>
          <w:szCs w:val="22"/>
          <w:lang w:val="en-GB"/>
        </w:rPr>
        <w:t>With the aim of widening, diversifying and making more flexible the range of state (public sector) schooling offered in the Grand Duchy of Luxembourg, and in view of the huge success of the Differdange and Esch/Alzette International School, I intend to extend the range of state European schooling offered in the Grand Duchy of Luxembourg. It is the State’s responsibility to offer a state education system in which each pupil has a chance to succeed, irrespective of the language spoken at home.</w:t>
      </w: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r w:rsidRPr="0028166E">
        <w:rPr>
          <w:rFonts w:asciiTheme="minorHAnsi" w:hAnsiTheme="minorHAnsi" w:cstheme="minorHAnsi"/>
          <w:sz w:val="22"/>
          <w:szCs w:val="22"/>
          <w:lang w:val="en-GB"/>
        </w:rPr>
        <w:t>Over and above efforts to integrate foreign pupils who will remain in the country, the offer of new international schools matches the needs of children and teenagers residing temporarily in the Grand Duchy and set to continue their education in another country.</w:t>
      </w: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r w:rsidRPr="0028166E">
        <w:rPr>
          <w:rFonts w:asciiTheme="minorHAnsi" w:hAnsiTheme="minorHAnsi" w:cstheme="minorHAnsi"/>
          <w:sz w:val="22"/>
          <w:szCs w:val="22"/>
          <w:lang w:val="en-GB"/>
        </w:rPr>
        <w:t>A high-quality schooling offer is an important factor in the decision of a company, a foreign investor or scientific experts as to whether or not to move to Luxembourg. That is why I find it important for international schools to be set up in geographical areas of the country from which pupils cannot easily access the International School at Differdange and Esch, which is located in the south of the country.</w:t>
      </w: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r w:rsidRPr="0028166E">
        <w:rPr>
          <w:rFonts w:asciiTheme="minorHAnsi" w:hAnsiTheme="minorHAnsi" w:cstheme="minorHAnsi"/>
          <w:sz w:val="22"/>
          <w:szCs w:val="22"/>
          <w:lang w:val="en-GB"/>
        </w:rPr>
        <w:t>I am therefore taking the liberty of appending hereto three general interest files concerning the setting up of three International Schools which will operate as Accredited European Schools. Linked to the European School system by an accreditation agreement, they will offer an education based on the European Schools’ curricula. The education provided will lead to the European Baccalaureate. The Luxembourg Ministry of Education will take responsibility for their administration, funding and staff in their entirety.</w:t>
      </w: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p>
    <w:p w:rsidR="00BD2DB2" w:rsidRPr="0028166E" w:rsidRDefault="00BD2DB2" w:rsidP="00BD2DB2">
      <w:pPr>
        <w:pStyle w:val="BodyText1"/>
        <w:shd w:val="clear" w:color="auto" w:fill="auto"/>
        <w:spacing w:line="240" w:lineRule="auto"/>
        <w:ind w:left="567" w:right="-11"/>
        <w:jc w:val="both"/>
        <w:rPr>
          <w:rFonts w:asciiTheme="minorHAnsi" w:hAnsiTheme="minorHAnsi" w:cstheme="minorHAnsi"/>
          <w:sz w:val="22"/>
          <w:szCs w:val="22"/>
          <w:lang w:val="en-GB"/>
        </w:rPr>
      </w:pPr>
      <w:r w:rsidRPr="0028166E">
        <w:rPr>
          <w:rFonts w:asciiTheme="minorHAnsi" w:hAnsiTheme="minorHAnsi" w:cstheme="minorHAnsi"/>
          <w:sz w:val="22"/>
          <w:szCs w:val="22"/>
          <w:lang w:val="en-GB"/>
        </w:rPr>
        <w:t xml:space="preserve">These three European schools, which will be located in the centre-east, the north and the south- east of the country respectively, are intended to provide a response to the growing heterogeneity of the Luxembourg pupil population. They will also target the inhabitants of those regions who do not necessarily have previous multilingual experience but who wish to offer their children a varied linguistic and cultural education. They will be operational as from the beginning of the 2018-2019 school year. </w:t>
      </w:r>
    </w:p>
    <w:p w:rsidR="00BD2DB2" w:rsidRPr="0028166E" w:rsidRDefault="00BD2DB2" w:rsidP="00BD2DB2">
      <w:pPr>
        <w:pStyle w:val="BodyText1"/>
        <w:shd w:val="clear" w:color="auto" w:fill="auto"/>
        <w:spacing w:line="240" w:lineRule="auto"/>
        <w:ind w:left="567" w:right="-11"/>
        <w:rPr>
          <w:rFonts w:ascii="Arial" w:hAnsi="Arial" w:cs="Arial"/>
          <w:sz w:val="20"/>
          <w:szCs w:val="20"/>
          <w:u w:val="single"/>
          <w:lang w:val="en-GB"/>
        </w:rPr>
      </w:pPr>
    </w:p>
    <w:p w:rsidR="00BD2DB2" w:rsidRPr="0028166E" w:rsidRDefault="00BD2DB2" w:rsidP="00BD2DB2">
      <w:pPr>
        <w:pStyle w:val="BodyText1"/>
        <w:shd w:val="clear" w:color="auto" w:fill="auto"/>
        <w:spacing w:line="240" w:lineRule="auto"/>
        <w:ind w:left="567" w:right="-11"/>
        <w:rPr>
          <w:rFonts w:ascii="Arial" w:hAnsi="Arial" w:cs="Arial"/>
          <w:sz w:val="20"/>
          <w:szCs w:val="20"/>
          <w:u w:val="single"/>
          <w:lang w:val="en-GB"/>
        </w:rPr>
      </w:pPr>
    </w:p>
    <w:p w:rsidR="00BD2DB2" w:rsidRPr="0028166E" w:rsidRDefault="00BD2DB2" w:rsidP="00BD2DB2">
      <w:pPr>
        <w:pStyle w:val="BodyText1"/>
        <w:shd w:val="clear" w:color="auto" w:fill="auto"/>
        <w:spacing w:line="240" w:lineRule="auto"/>
        <w:ind w:left="-284" w:right="-11"/>
        <w:rPr>
          <w:rFonts w:ascii="Arial" w:hAnsi="Arial" w:cs="Arial"/>
          <w:sz w:val="20"/>
          <w:szCs w:val="20"/>
          <w:u w:val="single"/>
          <w:lang w:val="en-GB"/>
        </w:rPr>
      </w:pPr>
    </w:p>
    <w:p w:rsidR="00BD2DB2" w:rsidRPr="0028166E" w:rsidRDefault="00BD2DB2" w:rsidP="00BD2DB2">
      <w:pPr>
        <w:pStyle w:val="BodyText1"/>
        <w:shd w:val="clear" w:color="auto" w:fill="auto"/>
        <w:spacing w:line="240" w:lineRule="auto"/>
        <w:ind w:left="567" w:right="-11"/>
        <w:rPr>
          <w:rFonts w:ascii="Arial" w:hAnsi="Arial" w:cs="Arial"/>
          <w:sz w:val="20"/>
          <w:szCs w:val="20"/>
          <w:lang w:val="en-GB"/>
        </w:rPr>
      </w:pPr>
      <w:r w:rsidRPr="0028166E">
        <w:rPr>
          <w:rFonts w:ascii="Arial" w:hAnsi="Arial" w:cs="Arial"/>
          <w:sz w:val="20"/>
          <w:szCs w:val="20"/>
          <w:lang w:val="en-GB"/>
        </w:rPr>
        <w:tab/>
      </w:r>
      <w:r w:rsidRPr="0028166E">
        <w:rPr>
          <w:rFonts w:ascii="Arial" w:hAnsi="Arial" w:cs="Arial"/>
          <w:sz w:val="20"/>
          <w:szCs w:val="20"/>
          <w:lang w:val="en-GB"/>
        </w:rPr>
        <w:tab/>
      </w:r>
      <w:r w:rsidRPr="0028166E">
        <w:rPr>
          <w:rFonts w:ascii="Arial" w:hAnsi="Arial" w:cs="Arial"/>
          <w:sz w:val="20"/>
          <w:szCs w:val="20"/>
          <w:lang w:val="en-GB"/>
        </w:rPr>
        <w:tab/>
      </w:r>
      <w:r w:rsidRPr="0028166E">
        <w:rPr>
          <w:rFonts w:ascii="Arial" w:hAnsi="Arial" w:cs="Arial"/>
          <w:sz w:val="20"/>
          <w:szCs w:val="20"/>
          <w:lang w:val="en-GB"/>
        </w:rPr>
        <w:tab/>
      </w:r>
      <w:r w:rsidRPr="0028166E">
        <w:rPr>
          <w:rFonts w:ascii="Arial" w:hAnsi="Arial" w:cs="Arial"/>
          <w:sz w:val="20"/>
          <w:szCs w:val="20"/>
          <w:lang w:val="en-GB"/>
        </w:rPr>
        <w:tab/>
      </w:r>
      <w:r w:rsidRPr="0028166E">
        <w:rPr>
          <w:rFonts w:ascii="Arial" w:hAnsi="Arial" w:cs="Arial"/>
          <w:sz w:val="20"/>
          <w:szCs w:val="20"/>
          <w:lang w:val="en-GB"/>
        </w:rPr>
        <w:tab/>
      </w:r>
      <w:r w:rsidRPr="0028166E">
        <w:rPr>
          <w:rFonts w:ascii="Arial" w:hAnsi="Arial" w:cs="Arial"/>
          <w:sz w:val="20"/>
          <w:szCs w:val="20"/>
          <w:lang w:val="en-GB"/>
        </w:rPr>
        <w:tab/>
      </w:r>
    </w:p>
    <w:p w:rsidR="00BD2DB2" w:rsidRPr="0028166E" w:rsidRDefault="00BD2DB2" w:rsidP="00BD2DB2">
      <w:pPr>
        <w:pStyle w:val="Title"/>
        <w:numPr>
          <w:ilvl w:val="0"/>
          <w:numId w:val="8"/>
        </w:numPr>
        <w:spacing w:after="240"/>
        <w:ind w:left="1281" w:hanging="357"/>
        <w:contextualSpacing w:val="0"/>
        <w:jc w:val="both"/>
        <w:rPr>
          <w:rFonts w:asciiTheme="minorHAnsi" w:hAnsiTheme="minorHAnsi" w:cstheme="minorHAnsi"/>
          <w:sz w:val="22"/>
          <w:szCs w:val="22"/>
          <w:lang w:val="en-GB"/>
        </w:rPr>
      </w:pPr>
      <w:r w:rsidRPr="0028166E">
        <w:rPr>
          <w:rFonts w:asciiTheme="minorHAnsi" w:hAnsiTheme="minorHAnsi" w:cstheme="minorHAnsi"/>
          <w:b/>
          <w:spacing w:val="0"/>
          <w:sz w:val="22"/>
          <w:szCs w:val="22"/>
          <w:lang w:val="en-GB"/>
        </w:rPr>
        <w:lastRenderedPageBreak/>
        <w:t>Junglinster International School</w:t>
      </w:r>
      <w:r w:rsidRPr="0028166E">
        <w:rPr>
          <w:rFonts w:asciiTheme="minorHAnsi" w:hAnsiTheme="minorHAnsi" w:cstheme="minorHAnsi"/>
          <w:spacing w:val="0"/>
          <w:sz w:val="22"/>
          <w:szCs w:val="22"/>
          <w:lang w:val="en-GB"/>
        </w:rPr>
        <w:t>,</w:t>
      </w:r>
      <w:r w:rsidRPr="0028166E">
        <w:rPr>
          <w:rFonts w:asciiTheme="minorHAnsi" w:hAnsiTheme="minorHAnsi" w:cstheme="minorHAnsi"/>
          <w:sz w:val="22"/>
          <w:szCs w:val="22"/>
          <w:lang w:val="en-GB"/>
        </w:rPr>
        <w:t xml:space="preserve"> an Accredited European School located in the centre-east of the country, near Luxembourg-City and Luxembourg Airport, will operate with two language sections, an English section and a German section.</w:t>
      </w:r>
    </w:p>
    <w:p w:rsidR="00BD2DB2" w:rsidRPr="0028166E" w:rsidRDefault="00BD2DB2" w:rsidP="00BD2DB2">
      <w:pPr>
        <w:pStyle w:val="ListParagraph"/>
        <w:numPr>
          <w:ilvl w:val="0"/>
          <w:numId w:val="8"/>
        </w:numPr>
        <w:spacing w:after="240"/>
        <w:ind w:left="1281" w:hanging="357"/>
        <w:contextualSpacing w:val="0"/>
        <w:jc w:val="both"/>
        <w:rPr>
          <w:lang w:val="en-GB"/>
        </w:rPr>
      </w:pPr>
      <w:r w:rsidRPr="0028166E">
        <w:rPr>
          <w:b/>
          <w:lang w:val="en-GB"/>
        </w:rPr>
        <w:t>Edward Steichen International School</w:t>
      </w:r>
      <w:r w:rsidRPr="0028166E">
        <w:rPr>
          <w:lang w:val="en-GB"/>
        </w:rPr>
        <w:t xml:space="preserve">, an Accredited European School at </w:t>
      </w:r>
      <w:r w:rsidRPr="0028166E">
        <w:rPr>
          <w:b/>
          <w:lang w:val="en-GB"/>
        </w:rPr>
        <w:t>Clervaux</w:t>
      </w:r>
      <w:r w:rsidRPr="0028166E">
        <w:rPr>
          <w:lang w:val="en-GB"/>
        </w:rPr>
        <w:t>, located in the Luxembourg Ardennes in the north of the country, will operate with two language sections, a French section and a German section.</w:t>
      </w:r>
    </w:p>
    <w:p w:rsidR="00BD2DB2" w:rsidRPr="0028166E" w:rsidRDefault="00BD2DB2" w:rsidP="00BD2DB2">
      <w:pPr>
        <w:pStyle w:val="ListParagraph"/>
        <w:numPr>
          <w:ilvl w:val="0"/>
          <w:numId w:val="8"/>
        </w:numPr>
        <w:jc w:val="both"/>
        <w:rPr>
          <w:lang w:val="en-GB"/>
        </w:rPr>
      </w:pPr>
      <w:r w:rsidRPr="0028166E">
        <w:rPr>
          <w:b/>
          <w:lang w:val="en-GB"/>
        </w:rPr>
        <w:t>Mondorf-les-Bains International School</w:t>
      </w:r>
      <w:r w:rsidRPr="0028166E">
        <w:rPr>
          <w:lang w:val="en-GB"/>
        </w:rPr>
        <w:t>, an Accredited European School at Mondorf-les-Bains, the town which hosted the meeting of the Board of Governors under the Luxembourg presidency in April 2005, will operate with three language sections, an English section, a French section and a German section.</w:t>
      </w:r>
    </w:p>
    <w:p w:rsidR="00BD2DB2" w:rsidRPr="0028166E" w:rsidRDefault="00BD2DB2" w:rsidP="00BD2DB2">
      <w:pPr>
        <w:ind w:left="567"/>
        <w:jc w:val="both"/>
        <w:rPr>
          <w:lang w:val="en-GB"/>
        </w:rPr>
      </w:pPr>
      <w:r w:rsidRPr="0028166E">
        <w:rPr>
          <w:lang w:val="en-GB"/>
        </w:rPr>
        <w:t>I would request you to submit the three general interest files appended hereto to the Joint Board of Inspectors at its forthcoming meeting on 11 October 2017.</w:t>
      </w:r>
    </w:p>
    <w:p w:rsidR="00BD2DB2" w:rsidRPr="0028166E" w:rsidRDefault="00BD2DB2" w:rsidP="00BD2DB2">
      <w:pPr>
        <w:ind w:left="567"/>
        <w:jc w:val="both"/>
        <w:rPr>
          <w:lang w:val="en-GB"/>
        </w:rPr>
      </w:pPr>
      <w:r w:rsidRPr="0028166E">
        <w:rPr>
          <w:lang w:val="en-GB"/>
        </w:rPr>
        <w:t>I remain at your disposal should you have any questions concerning this matter.</w:t>
      </w:r>
    </w:p>
    <w:p w:rsidR="00BD2DB2" w:rsidRPr="0028166E" w:rsidRDefault="00BD2DB2" w:rsidP="00BD2DB2">
      <w:pPr>
        <w:ind w:left="567"/>
        <w:jc w:val="both"/>
        <w:rPr>
          <w:lang w:val="en-GB"/>
        </w:rPr>
      </w:pP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t>Yours faithfully,</w:t>
      </w:r>
    </w:p>
    <w:p w:rsidR="00BD2DB2" w:rsidRPr="0028166E" w:rsidRDefault="00BD2DB2" w:rsidP="00BD2DB2">
      <w:pPr>
        <w:ind w:left="567"/>
        <w:jc w:val="both"/>
        <w:rPr>
          <w:lang w:val="en-GB"/>
        </w:rPr>
      </w:pP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t xml:space="preserve">    (signature)</w:t>
      </w:r>
    </w:p>
    <w:p w:rsidR="00BD2DB2" w:rsidRPr="0028166E" w:rsidRDefault="00BD2DB2" w:rsidP="00BD2DB2">
      <w:pPr>
        <w:ind w:left="567"/>
        <w:jc w:val="both"/>
        <w:rPr>
          <w:lang w:val="en-GB"/>
        </w:rPr>
      </w:pPr>
    </w:p>
    <w:p w:rsidR="00BD2DB2" w:rsidRPr="0028166E" w:rsidRDefault="00BD2DB2" w:rsidP="00BD2DB2">
      <w:pPr>
        <w:spacing w:after="0"/>
        <w:ind w:left="567"/>
        <w:jc w:val="both"/>
        <w:rPr>
          <w:lang w:val="en-GB"/>
        </w:rPr>
      </w:pP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t>Claude MEISCH</w:t>
      </w:r>
    </w:p>
    <w:p w:rsidR="00BD2DB2" w:rsidRPr="0028166E" w:rsidRDefault="00BD2DB2" w:rsidP="00BD2DB2">
      <w:pPr>
        <w:spacing w:after="0"/>
        <w:ind w:left="567"/>
        <w:jc w:val="both"/>
        <w:rPr>
          <w:lang w:val="en-GB"/>
        </w:rPr>
      </w:pP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t>Minister of Education,</w:t>
      </w:r>
    </w:p>
    <w:p w:rsidR="00BD2DB2" w:rsidRPr="0028166E" w:rsidRDefault="00BD2DB2" w:rsidP="00BD2DB2">
      <w:pPr>
        <w:ind w:left="567"/>
        <w:jc w:val="both"/>
        <w:rPr>
          <w:lang w:val="en-GB"/>
        </w:rPr>
      </w:pP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r>
      <w:r w:rsidRPr="0028166E">
        <w:rPr>
          <w:lang w:val="en-GB"/>
        </w:rPr>
        <w:tab/>
        <w:t>Childhood and Youth</w:t>
      </w:r>
    </w:p>
    <w:p w:rsidR="00BD2DB2" w:rsidRPr="0028166E" w:rsidRDefault="00BD2DB2" w:rsidP="00BD2DB2">
      <w:pPr>
        <w:pStyle w:val="Title"/>
        <w:rPr>
          <w:b/>
          <w:lang w:val="en-GB"/>
        </w:rPr>
      </w:pPr>
    </w:p>
    <w:p w:rsidR="00BD2DB2" w:rsidRPr="0028166E" w:rsidRDefault="00BD2DB2" w:rsidP="00BD2DB2">
      <w:pPr>
        <w:pStyle w:val="Title"/>
        <w:rPr>
          <w:b/>
          <w:lang w:val="en-GB"/>
        </w:rPr>
      </w:pPr>
    </w:p>
    <w:p w:rsidR="00113B54" w:rsidRPr="00BD2DB2" w:rsidRDefault="00113B54" w:rsidP="00555BF1">
      <w:pPr>
        <w:pStyle w:val="Title"/>
        <w:rPr>
          <w:b/>
          <w:lang w:val="en-GB"/>
        </w:rPr>
      </w:pPr>
    </w:p>
    <w:p w:rsidR="00113B54" w:rsidRPr="00BD2DB2" w:rsidRDefault="00113B54" w:rsidP="00555BF1">
      <w:pPr>
        <w:pStyle w:val="Title"/>
        <w:rPr>
          <w:b/>
          <w:lang w:val="en-GB"/>
        </w:rPr>
      </w:pPr>
    </w:p>
    <w:p w:rsidR="00113B54" w:rsidRPr="00BD2DB2" w:rsidRDefault="00113B54" w:rsidP="00555BF1">
      <w:pPr>
        <w:pStyle w:val="Title"/>
        <w:rPr>
          <w:b/>
          <w:lang w:val="en-GB"/>
        </w:rPr>
      </w:pPr>
    </w:p>
    <w:p w:rsidR="00967919" w:rsidRPr="00BD2DB2" w:rsidRDefault="00967919">
      <w:pPr>
        <w:rPr>
          <w:rFonts w:asciiTheme="majorHAnsi" w:eastAsiaTheme="majorEastAsia" w:hAnsiTheme="majorHAnsi" w:cstheme="majorBidi"/>
          <w:b/>
          <w:spacing w:val="-10"/>
          <w:kern w:val="28"/>
          <w:sz w:val="56"/>
          <w:szCs w:val="56"/>
          <w:lang w:val="en-GB"/>
        </w:rPr>
      </w:pPr>
    </w:p>
    <w:p w:rsidR="00113B54" w:rsidRPr="00BD2DB2" w:rsidRDefault="00113B54" w:rsidP="00555BF1">
      <w:pPr>
        <w:pStyle w:val="Title"/>
        <w:rPr>
          <w:b/>
          <w:lang w:val="en-GB"/>
        </w:rPr>
      </w:pPr>
    </w:p>
    <w:p w:rsidR="00113B54" w:rsidRDefault="00113B54" w:rsidP="00555BF1">
      <w:pPr>
        <w:pStyle w:val="Title"/>
        <w:rPr>
          <w:b/>
          <w:lang w:val="en-GB"/>
        </w:rPr>
      </w:pPr>
    </w:p>
    <w:p w:rsidR="00BD2DB2" w:rsidRDefault="00BD2DB2" w:rsidP="00BD2DB2">
      <w:pPr>
        <w:rPr>
          <w:lang w:val="en-GB"/>
        </w:rPr>
      </w:pPr>
    </w:p>
    <w:p w:rsidR="00BD2DB2" w:rsidRDefault="00BD2DB2" w:rsidP="00BD2DB2">
      <w:pPr>
        <w:rPr>
          <w:lang w:val="en-GB"/>
        </w:rPr>
      </w:pPr>
    </w:p>
    <w:p w:rsidR="00BD2DB2" w:rsidRPr="00BD2DB2" w:rsidRDefault="00BD2DB2" w:rsidP="00BD2DB2">
      <w:pPr>
        <w:rPr>
          <w:lang w:val="en-GB"/>
        </w:rPr>
      </w:pPr>
    </w:p>
    <w:p w:rsidR="00BD2DB2" w:rsidRDefault="00BD2DB2" w:rsidP="00555BF1">
      <w:pPr>
        <w:pStyle w:val="Title"/>
        <w:rPr>
          <w:b/>
          <w:lang w:val="en-GB"/>
        </w:rPr>
      </w:pPr>
    </w:p>
    <w:p w:rsidR="00BD2DB2" w:rsidRDefault="00BD2DB2" w:rsidP="00555BF1">
      <w:pPr>
        <w:pStyle w:val="Title"/>
        <w:rPr>
          <w:b/>
          <w:lang w:val="en-GB"/>
        </w:rPr>
      </w:pPr>
    </w:p>
    <w:p w:rsidR="00BD2DB2" w:rsidRDefault="00BD2DB2" w:rsidP="00555BF1">
      <w:pPr>
        <w:pStyle w:val="Title"/>
        <w:rPr>
          <w:b/>
          <w:lang w:val="en-GB"/>
        </w:rPr>
      </w:pPr>
    </w:p>
    <w:p w:rsidR="00BD2DB2" w:rsidRDefault="00BD2DB2" w:rsidP="00555BF1">
      <w:pPr>
        <w:pStyle w:val="Title"/>
        <w:rPr>
          <w:b/>
          <w:lang w:val="en-GB"/>
        </w:rPr>
      </w:pPr>
    </w:p>
    <w:p w:rsidR="00555BF1" w:rsidRPr="00BD2DB2" w:rsidRDefault="00F9284D" w:rsidP="00555BF1">
      <w:pPr>
        <w:pStyle w:val="Title"/>
        <w:rPr>
          <w:b/>
          <w:lang w:val="en-GB"/>
        </w:rPr>
      </w:pPr>
      <w:r>
        <w:rPr>
          <w:b/>
          <w:lang w:val="en-GB"/>
        </w:rPr>
        <w:t>General Interest File</w:t>
      </w:r>
    </w:p>
    <w:p w:rsidR="00D13FB2" w:rsidRPr="00BD2DB2" w:rsidRDefault="00555BF1" w:rsidP="00555BF1">
      <w:pPr>
        <w:pStyle w:val="Title"/>
        <w:rPr>
          <w:b/>
          <w:lang w:val="en-GB"/>
        </w:rPr>
      </w:pPr>
      <w:r w:rsidRPr="00BD2DB2">
        <w:rPr>
          <w:b/>
          <w:lang w:val="en-GB"/>
        </w:rPr>
        <w:t xml:space="preserve">Mondorf-les-Bains </w:t>
      </w:r>
      <w:r w:rsidR="00F9284D">
        <w:rPr>
          <w:b/>
          <w:lang w:val="en-GB"/>
        </w:rPr>
        <w:t>International School – Accredited European School</w:t>
      </w:r>
      <w:r w:rsidR="00DD4E19" w:rsidRPr="00BD2DB2">
        <w:rPr>
          <w:b/>
          <w:lang w:val="en-GB"/>
        </w:rPr>
        <w:br/>
      </w:r>
      <w:r w:rsidR="00F9284D">
        <w:rPr>
          <w:b/>
          <w:lang w:val="en-GB"/>
        </w:rPr>
        <w:t>(Grand Duchy of</w:t>
      </w:r>
      <w:r w:rsidRPr="00BD2DB2">
        <w:rPr>
          <w:b/>
          <w:lang w:val="en-GB"/>
        </w:rPr>
        <w:t xml:space="preserve"> Luxembourg)</w:t>
      </w:r>
    </w:p>
    <w:p w:rsidR="004338EC" w:rsidRPr="00BD2DB2" w:rsidRDefault="004338EC">
      <w:pPr>
        <w:rPr>
          <w:b/>
          <w:lang w:val="en-GB"/>
        </w:rPr>
      </w:pPr>
    </w:p>
    <w:p w:rsidR="00555BF1" w:rsidRPr="00BD2DB2" w:rsidRDefault="00555BF1">
      <w:pPr>
        <w:rPr>
          <w:b/>
          <w:lang w:val="en-GB"/>
        </w:rPr>
      </w:pPr>
    </w:p>
    <w:p w:rsidR="00555BF1" w:rsidRPr="00BD2DB2" w:rsidRDefault="00555BF1">
      <w:pPr>
        <w:rPr>
          <w:lang w:val="en-GB"/>
        </w:rPr>
      </w:pPr>
    </w:p>
    <w:p w:rsidR="00555BF1" w:rsidRPr="00BD2DB2" w:rsidRDefault="00555BF1">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p>
    <w:p w:rsidR="00113B54" w:rsidRPr="00BD2DB2" w:rsidRDefault="00113B54">
      <w:pPr>
        <w:rPr>
          <w:lang w:val="en-GB"/>
        </w:rPr>
      </w:pPr>
      <w:r w:rsidRPr="00BD2DB2">
        <w:rPr>
          <w:lang w:val="en-GB"/>
        </w:rPr>
        <w:br w:type="page"/>
      </w:r>
    </w:p>
    <w:p w:rsidR="00113B54" w:rsidRPr="00BD2DB2" w:rsidRDefault="00113B54">
      <w:pPr>
        <w:rPr>
          <w:lang w:val="en-GB"/>
        </w:rPr>
      </w:pPr>
    </w:p>
    <w:sdt>
      <w:sdtPr>
        <w:rPr>
          <w:rFonts w:asciiTheme="minorHAnsi" w:eastAsiaTheme="minorHAnsi" w:hAnsiTheme="minorHAnsi" w:cstheme="minorBidi"/>
          <w:color w:val="auto"/>
          <w:sz w:val="22"/>
          <w:szCs w:val="22"/>
          <w:lang w:val="en-GB"/>
        </w:rPr>
        <w:id w:val="1053269291"/>
        <w:docPartObj>
          <w:docPartGallery w:val="Table of Contents"/>
          <w:docPartUnique/>
        </w:docPartObj>
      </w:sdtPr>
      <w:sdtEndPr>
        <w:rPr>
          <w:b/>
          <w:bCs/>
        </w:rPr>
      </w:sdtEndPr>
      <w:sdtContent>
        <w:p w:rsidR="00555BF1" w:rsidRPr="00BD2DB2" w:rsidRDefault="00F9284D">
          <w:pPr>
            <w:pStyle w:val="TOCHeading"/>
            <w:rPr>
              <w:lang w:val="en-GB"/>
            </w:rPr>
          </w:pPr>
          <w:r>
            <w:rPr>
              <w:lang w:val="en-GB"/>
            </w:rPr>
            <w:t>Contents</w:t>
          </w:r>
        </w:p>
        <w:p w:rsidR="0009280F" w:rsidRDefault="0004314F">
          <w:pPr>
            <w:pStyle w:val="TOC1"/>
            <w:tabs>
              <w:tab w:val="right" w:leader="dot" w:pos="9629"/>
            </w:tabs>
            <w:rPr>
              <w:rFonts w:eastAsiaTheme="minorEastAsia"/>
              <w:noProof/>
              <w:lang w:val="fr-BE" w:eastAsia="fr-BE"/>
            </w:rPr>
          </w:pPr>
          <w:r w:rsidRPr="00BD2DB2">
            <w:rPr>
              <w:lang w:val="en-GB"/>
            </w:rPr>
            <w:fldChar w:fldCharType="begin"/>
          </w:r>
          <w:r w:rsidR="00555BF1" w:rsidRPr="00BD2DB2">
            <w:rPr>
              <w:lang w:val="en-GB"/>
            </w:rPr>
            <w:instrText xml:space="preserve"> TOC \o "1-3" \h \z \u </w:instrText>
          </w:r>
          <w:r w:rsidRPr="00BD2DB2">
            <w:rPr>
              <w:lang w:val="en-GB"/>
            </w:rPr>
            <w:fldChar w:fldCharType="separate"/>
          </w:r>
          <w:hyperlink w:anchor="_Toc494880751" w:history="1">
            <w:r w:rsidR="0009280F" w:rsidRPr="00F47980">
              <w:rPr>
                <w:rStyle w:val="Hyperlink"/>
                <w:rFonts w:ascii="Arial" w:eastAsia="Times" w:hAnsi="Arial" w:cs="Times New Roman"/>
                <w:b/>
                <w:bCs/>
                <w:noProof/>
                <w:kern w:val="28"/>
                <w:lang w:val="en-GB" w:eastAsia="fr-FR"/>
              </w:rPr>
              <w:t>Mondorf-les-Bains International School: General Interest File</w:t>
            </w:r>
            <w:r w:rsidR="0009280F">
              <w:rPr>
                <w:noProof/>
                <w:webHidden/>
              </w:rPr>
              <w:tab/>
            </w:r>
            <w:r w:rsidR="0009280F">
              <w:rPr>
                <w:noProof/>
                <w:webHidden/>
              </w:rPr>
              <w:fldChar w:fldCharType="begin"/>
            </w:r>
            <w:r w:rsidR="0009280F">
              <w:rPr>
                <w:noProof/>
                <w:webHidden/>
              </w:rPr>
              <w:instrText xml:space="preserve"> PAGEREF _Toc494880751 \h </w:instrText>
            </w:r>
            <w:r w:rsidR="0009280F">
              <w:rPr>
                <w:noProof/>
                <w:webHidden/>
              </w:rPr>
            </w:r>
            <w:r w:rsidR="0009280F">
              <w:rPr>
                <w:noProof/>
                <w:webHidden/>
              </w:rPr>
              <w:fldChar w:fldCharType="separate"/>
            </w:r>
            <w:r w:rsidR="0009280F">
              <w:rPr>
                <w:noProof/>
                <w:webHidden/>
              </w:rPr>
              <w:t>1</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52" w:history="1">
            <w:r w:rsidR="0009280F" w:rsidRPr="00F47980">
              <w:rPr>
                <w:rStyle w:val="Hyperlink"/>
                <w:noProof/>
                <w:lang w:val="en-GB"/>
              </w:rPr>
              <w:t>Introduction</w:t>
            </w:r>
            <w:r w:rsidR="0009280F">
              <w:rPr>
                <w:noProof/>
                <w:webHidden/>
              </w:rPr>
              <w:tab/>
            </w:r>
            <w:r w:rsidR="0009280F">
              <w:rPr>
                <w:noProof/>
                <w:webHidden/>
              </w:rPr>
              <w:fldChar w:fldCharType="begin"/>
            </w:r>
            <w:r w:rsidR="0009280F">
              <w:rPr>
                <w:noProof/>
                <w:webHidden/>
              </w:rPr>
              <w:instrText xml:space="preserve"> PAGEREF _Toc494880752 \h </w:instrText>
            </w:r>
            <w:r w:rsidR="0009280F">
              <w:rPr>
                <w:noProof/>
                <w:webHidden/>
              </w:rPr>
            </w:r>
            <w:r w:rsidR="0009280F">
              <w:rPr>
                <w:noProof/>
                <w:webHidden/>
              </w:rPr>
              <w:fldChar w:fldCharType="separate"/>
            </w:r>
            <w:r w:rsidR="0009280F">
              <w:rPr>
                <w:noProof/>
                <w:webHidden/>
              </w:rPr>
              <w:t>6</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53" w:history="1">
            <w:r w:rsidR="0009280F" w:rsidRPr="00F47980">
              <w:rPr>
                <w:rStyle w:val="Hyperlink"/>
                <w:noProof/>
                <w:lang w:val="en-GB"/>
              </w:rPr>
              <w:t>European schooling offered in Luxembourg</w:t>
            </w:r>
            <w:r w:rsidR="0009280F">
              <w:rPr>
                <w:noProof/>
                <w:webHidden/>
              </w:rPr>
              <w:tab/>
            </w:r>
            <w:r w:rsidR="0009280F">
              <w:rPr>
                <w:noProof/>
                <w:webHidden/>
              </w:rPr>
              <w:fldChar w:fldCharType="begin"/>
            </w:r>
            <w:r w:rsidR="0009280F">
              <w:rPr>
                <w:noProof/>
                <w:webHidden/>
              </w:rPr>
              <w:instrText xml:space="preserve"> PAGEREF _Toc494880753 \h </w:instrText>
            </w:r>
            <w:r w:rsidR="0009280F">
              <w:rPr>
                <w:noProof/>
                <w:webHidden/>
              </w:rPr>
            </w:r>
            <w:r w:rsidR="0009280F">
              <w:rPr>
                <w:noProof/>
                <w:webHidden/>
              </w:rPr>
              <w:fldChar w:fldCharType="separate"/>
            </w:r>
            <w:r w:rsidR="0009280F">
              <w:rPr>
                <w:noProof/>
                <w:webHidden/>
              </w:rPr>
              <w:t>6</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54" w:history="1">
            <w:r w:rsidR="0009280F" w:rsidRPr="00F47980">
              <w:rPr>
                <w:rStyle w:val="Hyperlink"/>
                <w:noProof/>
                <w:lang w:val="en-GB"/>
              </w:rPr>
              <w:t>Diversification of the range of schooling offered in Luxembourg</w:t>
            </w:r>
            <w:r w:rsidR="0009280F">
              <w:rPr>
                <w:noProof/>
                <w:webHidden/>
              </w:rPr>
              <w:tab/>
            </w:r>
            <w:r w:rsidR="0009280F">
              <w:rPr>
                <w:noProof/>
                <w:webHidden/>
              </w:rPr>
              <w:fldChar w:fldCharType="begin"/>
            </w:r>
            <w:r w:rsidR="0009280F">
              <w:rPr>
                <w:noProof/>
                <w:webHidden/>
              </w:rPr>
              <w:instrText xml:space="preserve"> PAGEREF _Toc494880754 \h </w:instrText>
            </w:r>
            <w:r w:rsidR="0009280F">
              <w:rPr>
                <w:noProof/>
                <w:webHidden/>
              </w:rPr>
            </w:r>
            <w:r w:rsidR="0009280F">
              <w:rPr>
                <w:noProof/>
                <w:webHidden/>
              </w:rPr>
              <w:fldChar w:fldCharType="separate"/>
            </w:r>
            <w:r w:rsidR="0009280F">
              <w:rPr>
                <w:noProof/>
                <w:webHidden/>
              </w:rPr>
              <w:t>7</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55" w:history="1">
            <w:r w:rsidR="0009280F" w:rsidRPr="00F47980">
              <w:rPr>
                <w:rStyle w:val="Hyperlink"/>
                <w:noProof/>
                <w:lang w:val="en-GB"/>
              </w:rPr>
              <w:t>Totals of the population of the European Schools in Luxembourg and of the pupil population in Luxembourg</w:t>
            </w:r>
            <w:r w:rsidR="0009280F">
              <w:rPr>
                <w:noProof/>
                <w:webHidden/>
              </w:rPr>
              <w:tab/>
            </w:r>
            <w:r w:rsidR="0009280F">
              <w:rPr>
                <w:noProof/>
                <w:webHidden/>
              </w:rPr>
              <w:fldChar w:fldCharType="begin"/>
            </w:r>
            <w:r w:rsidR="0009280F">
              <w:rPr>
                <w:noProof/>
                <w:webHidden/>
              </w:rPr>
              <w:instrText xml:space="preserve"> PAGEREF _Toc494880755 \h </w:instrText>
            </w:r>
            <w:r w:rsidR="0009280F">
              <w:rPr>
                <w:noProof/>
                <w:webHidden/>
              </w:rPr>
            </w:r>
            <w:r w:rsidR="0009280F">
              <w:rPr>
                <w:noProof/>
                <w:webHidden/>
              </w:rPr>
              <w:fldChar w:fldCharType="separate"/>
            </w:r>
            <w:r w:rsidR="0009280F">
              <w:rPr>
                <w:noProof/>
                <w:webHidden/>
              </w:rPr>
              <w:t>9</w:t>
            </w:r>
            <w:r w:rsidR="0009280F">
              <w:rPr>
                <w:noProof/>
                <w:webHidden/>
              </w:rPr>
              <w:fldChar w:fldCharType="end"/>
            </w:r>
          </w:hyperlink>
        </w:p>
        <w:p w:rsidR="0009280F" w:rsidRDefault="00AF73B5">
          <w:pPr>
            <w:pStyle w:val="TOC2"/>
            <w:tabs>
              <w:tab w:val="right" w:leader="dot" w:pos="9629"/>
            </w:tabs>
            <w:rPr>
              <w:rFonts w:eastAsiaTheme="minorEastAsia"/>
              <w:noProof/>
              <w:lang w:val="fr-BE" w:eastAsia="fr-BE"/>
            </w:rPr>
          </w:pPr>
          <w:hyperlink w:anchor="_Toc494880756" w:history="1">
            <w:r w:rsidR="0009280F" w:rsidRPr="00F47980">
              <w:rPr>
                <w:rStyle w:val="Hyperlink"/>
                <w:noProof/>
                <w:lang w:val="en-GB"/>
              </w:rPr>
              <w:t>European schooling in Luxembourg</w:t>
            </w:r>
            <w:r w:rsidR="0009280F">
              <w:rPr>
                <w:noProof/>
                <w:webHidden/>
              </w:rPr>
              <w:tab/>
            </w:r>
            <w:r w:rsidR="0009280F">
              <w:rPr>
                <w:noProof/>
                <w:webHidden/>
              </w:rPr>
              <w:fldChar w:fldCharType="begin"/>
            </w:r>
            <w:r w:rsidR="0009280F">
              <w:rPr>
                <w:noProof/>
                <w:webHidden/>
              </w:rPr>
              <w:instrText xml:space="preserve"> PAGEREF _Toc494880756 \h </w:instrText>
            </w:r>
            <w:r w:rsidR="0009280F">
              <w:rPr>
                <w:noProof/>
                <w:webHidden/>
              </w:rPr>
            </w:r>
            <w:r w:rsidR="0009280F">
              <w:rPr>
                <w:noProof/>
                <w:webHidden/>
              </w:rPr>
              <w:fldChar w:fldCharType="separate"/>
            </w:r>
            <w:r w:rsidR="0009280F">
              <w:rPr>
                <w:noProof/>
                <w:webHidden/>
              </w:rPr>
              <w:t>9</w:t>
            </w:r>
            <w:r w:rsidR="0009280F">
              <w:rPr>
                <w:noProof/>
                <w:webHidden/>
              </w:rPr>
              <w:fldChar w:fldCharType="end"/>
            </w:r>
          </w:hyperlink>
        </w:p>
        <w:p w:rsidR="0009280F" w:rsidRDefault="00AF73B5">
          <w:pPr>
            <w:pStyle w:val="TOC2"/>
            <w:tabs>
              <w:tab w:val="right" w:leader="dot" w:pos="9629"/>
            </w:tabs>
            <w:rPr>
              <w:rFonts w:eastAsiaTheme="minorEastAsia"/>
              <w:noProof/>
              <w:lang w:val="fr-BE" w:eastAsia="fr-BE"/>
            </w:rPr>
          </w:pPr>
          <w:hyperlink w:anchor="_Toc494880757" w:history="1">
            <w:r w:rsidR="0009280F" w:rsidRPr="00F47980">
              <w:rPr>
                <w:rStyle w:val="Hyperlink"/>
                <w:noProof/>
                <w:lang w:val="en-GB"/>
              </w:rPr>
              <w:t>National primary education in Luxembourg</w:t>
            </w:r>
            <w:r w:rsidR="0009280F">
              <w:rPr>
                <w:noProof/>
                <w:webHidden/>
              </w:rPr>
              <w:tab/>
            </w:r>
            <w:r w:rsidR="0009280F">
              <w:rPr>
                <w:noProof/>
                <w:webHidden/>
              </w:rPr>
              <w:fldChar w:fldCharType="begin"/>
            </w:r>
            <w:r w:rsidR="0009280F">
              <w:rPr>
                <w:noProof/>
                <w:webHidden/>
              </w:rPr>
              <w:instrText xml:space="preserve"> PAGEREF _Toc494880757 \h </w:instrText>
            </w:r>
            <w:r w:rsidR="0009280F">
              <w:rPr>
                <w:noProof/>
                <w:webHidden/>
              </w:rPr>
            </w:r>
            <w:r w:rsidR="0009280F">
              <w:rPr>
                <w:noProof/>
                <w:webHidden/>
              </w:rPr>
              <w:fldChar w:fldCharType="separate"/>
            </w:r>
            <w:r w:rsidR="0009280F">
              <w:rPr>
                <w:noProof/>
                <w:webHidden/>
              </w:rPr>
              <w:t>9</w:t>
            </w:r>
            <w:r w:rsidR="0009280F">
              <w:rPr>
                <w:noProof/>
                <w:webHidden/>
              </w:rPr>
              <w:fldChar w:fldCharType="end"/>
            </w:r>
          </w:hyperlink>
        </w:p>
        <w:p w:rsidR="0009280F" w:rsidRDefault="00AF73B5">
          <w:pPr>
            <w:pStyle w:val="TOC2"/>
            <w:tabs>
              <w:tab w:val="right" w:leader="dot" w:pos="9629"/>
            </w:tabs>
            <w:rPr>
              <w:rFonts w:eastAsiaTheme="minorEastAsia"/>
              <w:noProof/>
              <w:lang w:val="fr-BE" w:eastAsia="fr-BE"/>
            </w:rPr>
          </w:pPr>
          <w:hyperlink w:anchor="_Toc494880758" w:history="1">
            <w:r w:rsidR="0009280F" w:rsidRPr="00F47980">
              <w:rPr>
                <w:rStyle w:val="Hyperlink"/>
                <w:noProof/>
                <w:lang w:val="en-GB"/>
              </w:rPr>
              <w:t>National secondary education in Luxembourg</w:t>
            </w:r>
            <w:r w:rsidR="0009280F">
              <w:rPr>
                <w:noProof/>
                <w:webHidden/>
              </w:rPr>
              <w:tab/>
            </w:r>
            <w:r w:rsidR="0009280F">
              <w:rPr>
                <w:noProof/>
                <w:webHidden/>
              </w:rPr>
              <w:fldChar w:fldCharType="begin"/>
            </w:r>
            <w:r w:rsidR="0009280F">
              <w:rPr>
                <w:noProof/>
                <w:webHidden/>
              </w:rPr>
              <w:instrText xml:space="preserve"> PAGEREF _Toc494880758 \h </w:instrText>
            </w:r>
            <w:r w:rsidR="0009280F">
              <w:rPr>
                <w:noProof/>
                <w:webHidden/>
              </w:rPr>
            </w:r>
            <w:r w:rsidR="0009280F">
              <w:rPr>
                <w:noProof/>
                <w:webHidden/>
              </w:rPr>
              <w:fldChar w:fldCharType="separate"/>
            </w:r>
            <w:r w:rsidR="0009280F">
              <w:rPr>
                <w:noProof/>
                <w:webHidden/>
              </w:rPr>
              <w:t>10</w:t>
            </w:r>
            <w:r w:rsidR="0009280F">
              <w:rPr>
                <w:noProof/>
                <w:webHidden/>
              </w:rPr>
              <w:fldChar w:fldCharType="end"/>
            </w:r>
          </w:hyperlink>
        </w:p>
        <w:p w:rsidR="0009280F" w:rsidRDefault="00AF73B5">
          <w:pPr>
            <w:pStyle w:val="TOC2"/>
            <w:tabs>
              <w:tab w:val="right" w:leader="dot" w:pos="9629"/>
            </w:tabs>
            <w:rPr>
              <w:rFonts w:eastAsiaTheme="minorEastAsia"/>
              <w:noProof/>
              <w:lang w:val="fr-BE" w:eastAsia="fr-BE"/>
            </w:rPr>
          </w:pPr>
          <w:hyperlink w:anchor="_Toc494880759" w:history="1">
            <w:r w:rsidR="0009280F" w:rsidRPr="00F47980">
              <w:rPr>
                <w:rStyle w:val="Hyperlink"/>
                <w:noProof/>
                <w:lang w:val="en-GB"/>
              </w:rPr>
              <w:t>Pupil population in the south east of Luxembourg</w:t>
            </w:r>
            <w:r w:rsidR="0009280F">
              <w:rPr>
                <w:noProof/>
                <w:webHidden/>
              </w:rPr>
              <w:tab/>
            </w:r>
            <w:r w:rsidR="0009280F">
              <w:rPr>
                <w:noProof/>
                <w:webHidden/>
              </w:rPr>
              <w:fldChar w:fldCharType="begin"/>
            </w:r>
            <w:r w:rsidR="0009280F">
              <w:rPr>
                <w:noProof/>
                <w:webHidden/>
              </w:rPr>
              <w:instrText xml:space="preserve"> PAGEREF _Toc494880759 \h </w:instrText>
            </w:r>
            <w:r w:rsidR="0009280F">
              <w:rPr>
                <w:noProof/>
                <w:webHidden/>
              </w:rPr>
            </w:r>
            <w:r w:rsidR="0009280F">
              <w:rPr>
                <w:noProof/>
                <w:webHidden/>
              </w:rPr>
              <w:fldChar w:fldCharType="separate"/>
            </w:r>
            <w:r w:rsidR="0009280F">
              <w:rPr>
                <w:noProof/>
                <w:webHidden/>
              </w:rPr>
              <w:t>11</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60" w:history="1">
            <w:r w:rsidR="0009280F" w:rsidRPr="00F47980">
              <w:rPr>
                <w:rStyle w:val="Hyperlink"/>
                <w:noProof/>
                <w:lang w:val="en-GB"/>
              </w:rPr>
              <w:t>Mondorf-les-Bains International School as an Accredited European School</w:t>
            </w:r>
            <w:r w:rsidR="0009280F">
              <w:rPr>
                <w:noProof/>
                <w:webHidden/>
              </w:rPr>
              <w:tab/>
            </w:r>
            <w:r w:rsidR="0009280F">
              <w:rPr>
                <w:noProof/>
                <w:webHidden/>
              </w:rPr>
              <w:fldChar w:fldCharType="begin"/>
            </w:r>
            <w:r w:rsidR="0009280F">
              <w:rPr>
                <w:noProof/>
                <w:webHidden/>
              </w:rPr>
              <w:instrText xml:space="preserve"> PAGEREF _Toc494880760 \h </w:instrText>
            </w:r>
            <w:r w:rsidR="0009280F">
              <w:rPr>
                <w:noProof/>
                <w:webHidden/>
              </w:rPr>
            </w:r>
            <w:r w:rsidR="0009280F">
              <w:rPr>
                <w:noProof/>
                <w:webHidden/>
              </w:rPr>
              <w:fldChar w:fldCharType="separate"/>
            </w:r>
            <w:r w:rsidR="0009280F">
              <w:rPr>
                <w:noProof/>
                <w:webHidden/>
              </w:rPr>
              <w:t>12</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61" w:history="1">
            <w:r w:rsidR="0009280F" w:rsidRPr="00F47980">
              <w:rPr>
                <w:rStyle w:val="Hyperlink"/>
                <w:noProof/>
                <w:lang w:val="en-GB"/>
              </w:rPr>
              <w:t>Operation of Mondorf-les-Bains International School – Accredited European School</w:t>
            </w:r>
            <w:r w:rsidR="0009280F">
              <w:rPr>
                <w:noProof/>
                <w:webHidden/>
              </w:rPr>
              <w:tab/>
            </w:r>
            <w:r w:rsidR="0009280F">
              <w:rPr>
                <w:noProof/>
                <w:webHidden/>
              </w:rPr>
              <w:fldChar w:fldCharType="begin"/>
            </w:r>
            <w:r w:rsidR="0009280F">
              <w:rPr>
                <w:noProof/>
                <w:webHidden/>
              </w:rPr>
              <w:instrText xml:space="preserve"> PAGEREF _Toc494880761 \h </w:instrText>
            </w:r>
            <w:r w:rsidR="0009280F">
              <w:rPr>
                <w:noProof/>
                <w:webHidden/>
              </w:rPr>
            </w:r>
            <w:r w:rsidR="0009280F">
              <w:rPr>
                <w:noProof/>
                <w:webHidden/>
              </w:rPr>
              <w:fldChar w:fldCharType="separate"/>
            </w:r>
            <w:r w:rsidR="0009280F">
              <w:rPr>
                <w:noProof/>
                <w:webHidden/>
              </w:rPr>
              <w:t>14</w:t>
            </w:r>
            <w:r w:rsidR="0009280F">
              <w:rPr>
                <w:noProof/>
                <w:webHidden/>
              </w:rPr>
              <w:fldChar w:fldCharType="end"/>
            </w:r>
          </w:hyperlink>
        </w:p>
        <w:p w:rsidR="0009280F" w:rsidRDefault="00AF73B5">
          <w:pPr>
            <w:pStyle w:val="TOC1"/>
            <w:tabs>
              <w:tab w:val="right" w:leader="dot" w:pos="9629"/>
            </w:tabs>
            <w:rPr>
              <w:rFonts w:eastAsiaTheme="minorEastAsia"/>
              <w:noProof/>
              <w:lang w:val="fr-BE" w:eastAsia="fr-BE"/>
            </w:rPr>
          </w:pPr>
          <w:hyperlink w:anchor="_Toc494880762" w:history="1">
            <w:r w:rsidR="0009280F" w:rsidRPr="00F47980">
              <w:rPr>
                <w:rStyle w:val="Hyperlink"/>
                <w:noProof/>
                <w:lang w:val="en-GB"/>
              </w:rPr>
              <w:t>Supervision, pastoral care and monitoring of pupils</w:t>
            </w:r>
            <w:r w:rsidR="0009280F">
              <w:rPr>
                <w:noProof/>
                <w:webHidden/>
              </w:rPr>
              <w:tab/>
            </w:r>
            <w:r w:rsidR="0009280F">
              <w:rPr>
                <w:noProof/>
                <w:webHidden/>
              </w:rPr>
              <w:fldChar w:fldCharType="begin"/>
            </w:r>
            <w:r w:rsidR="0009280F">
              <w:rPr>
                <w:noProof/>
                <w:webHidden/>
              </w:rPr>
              <w:instrText xml:space="preserve"> PAGEREF _Toc494880762 \h </w:instrText>
            </w:r>
            <w:r w:rsidR="0009280F">
              <w:rPr>
                <w:noProof/>
                <w:webHidden/>
              </w:rPr>
            </w:r>
            <w:r w:rsidR="0009280F">
              <w:rPr>
                <w:noProof/>
                <w:webHidden/>
              </w:rPr>
              <w:fldChar w:fldCharType="separate"/>
            </w:r>
            <w:r w:rsidR="0009280F">
              <w:rPr>
                <w:noProof/>
                <w:webHidden/>
              </w:rPr>
              <w:t>15</w:t>
            </w:r>
            <w:r w:rsidR="0009280F">
              <w:rPr>
                <w:noProof/>
                <w:webHidden/>
              </w:rPr>
              <w:fldChar w:fldCharType="end"/>
            </w:r>
          </w:hyperlink>
        </w:p>
        <w:p w:rsidR="00555BF1" w:rsidRPr="00BD2DB2" w:rsidRDefault="0004314F">
          <w:pPr>
            <w:rPr>
              <w:lang w:val="en-GB"/>
            </w:rPr>
          </w:pPr>
          <w:r w:rsidRPr="00BD2DB2">
            <w:rPr>
              <w:b/>
              <w:bCs/>
              <w:lang w:val="en-GB"/>
            </w:rPr>
            <w:fldChar w:fldCharType="end"/>
          </w:r>
        </w:p>
      </w:sdtContent>
    </w:sdt>
    <w:p w:rsidR="00555BF1" w:rsidRPr="00BD2DB2" w:rsidRDefault="00555BF1">
      <w:pPr>
        <w:rPr>
          <w:rFonts w:asciiTheme="majorHAnsi" w:eastAsiaTheme="majorEastAsia" w:hAnsiTheme="majorHAnsi" w:cstheme="majorBidi"/>
          <w:color w:val="2E74B5" w:themeColor="accent1" w:themeShade="BF"/>
          <w:sz w:val="32"/>
          <w:szCs w:val="32"/>
          <w:lang w:val="en-GB"/>
        </w:rPr>
      </w:pPr>
      <w:r w:rsidRPr="00BD2DB2">
        <w:rPr>
          <w:lang w:val="en-GB"/>
        </w:rPr>
        <w:br w:type="page"/>
      </w:r>
    </w:p>
    <w:p w:rsidR="004338EC" w:rsidRPr="00BD2DB2" w:rsidRDefault="004338EC" w:rsidP="00660ABB">
      <w:pPr>
        <w:pStyle w:val="Heading1"/>
        <w:rPr>
          <w:lang w:val="en-GB"/>
        </w:rPr>
      </w:pPr>
      <w:bookmarkStart w:id="1" w:name="_Toc494880752"/>
      <w:r w:rsidRPr="00BD2DB2">
        <w:rPr>
          <w:lang w:val="en-GB"/>
        </w:rPr>
        <w:t>Introduction</w:t>
      </w:r>
      <w:bookmarkEnd w:id="1"/>
    </w:p>
    <w:p w:rsidR="004338EC" w:rsidRPr="00BD2DB2" w:rsidRDefault="004338EC">
      <w:pPr>
        <w:rPr>
          <w:lang w:val="en-GB"/>
        </w:rPr>
      </w:pPr>
    </w:p>
    <w:p w:rsidR="005E2AC8" w:rsidRPr="00BD2DB2" w:rsidRDefault="00C401AF" w:rsidP="00955EE7">
      <w:pPr>
        <w:jc w:val="both"/>
        <w:rPr>
          <w:lang w:val="en-GB"/>
        </w:rPr>
      </w:pPr>
      <w:r>
        <w:rPr>
          <w:lang w:val="en-GB"/>
        </w:rPr>
        <w:t>After the signing in 1952 of</w:t>
      </w:r>
      <w:r w:rsidRPr="00C401AF">
        <w:rPr>
          <w:lang w:val="en-GB"/>
        </w:rPr>
        <w:t xml:space="preserve"> the Treaty establishing the European Coal and Steel Community (ECSC), </w:t>
      </w:r>
      <w:r>
        <w:rPr>
          <w:lang w:val="en-GB"/>
        </w:rPr>
        <w:t xml:space="preserve">which was to start the process of European integration, European leaders quickly came to realise that the mobility of officials and other staff of the European </w:t>
      </w:r>
      <w:r w:rsidR="005E2AC8" w:rsidRPr="00BD2DB2">
        <w:rPr>
          <w:lang w:val="en-GB"/>
        </w:rPr>
        <w:t xml:space="preserve">institutions </w:t>
      </w:r>
      <w:r>
        <w:rPr>
          <w:lang w:val="en-GB"/>
        </w:rPr>
        <w:t xml:space="preserve">required specific schooling provision </w:t>
      </w:r>
      <w:r w:rsidR="00C17C19">
        <w:rPr>
          <w:lang w:val="en-GB"/>
        </w:rPr>
        <w:t xml:space="preserve">to be put in place </w:t>
      </w:r>
      <w:r>
        <w:rPr>
          <w:lang w:val="en-GB"/>
        </w:rPr>
        <w:t>for t</w:t>
      </w:r>
      <w:r w:rsidR="00C17C19">
        <w:rPr>
          <w:lang w:val="en-GB"/>
        </w:rPr>
        <w:t>heir children</w:t>
      </w:r>
      <w:r>
        <w:rPr>
          <w:lang w:val="en-GB"/>
        </w:rPr>
        <w:t xml:space="preserve">, and first and foremost tuition in their mother tongue, which could </w:t>
      </w:r>
      <w:r w:rsidR="00C17C19">
        <w:rPr>
          <w:lang w:val="en-GB"/>
        </w:rPr>
        <w:t xml:space="preserve">follow on </w:t>
      </w:r>
      <w:r>
        <w:rPr>
          <w:lang w:val="en-GB"/>
        </w:rPr>
        <w:t>from the education which they had received hitherto in their country.</w:t>
      </w:r>
    </w:p>
    <w:p w:rsidR="003E4870" w:rsidRPr="00BD2DB2" w:rsidRDefault="00410E15" w:rsidP="00955EE7">
      <w:pPr>
        <w:jc w:val="both"/>
        <w:rPr>
          <w:lang w:val="en-GB"/>
        </w:rPr>
      </w:pPr>
      <w:r>
        <w:rPr>
          <w:lang w:val="en-GB"/>
        </w:rPr>
        <w:t xml:space="preserve">Thus it was that the European School system came into being in 1953 and that the first classes were set up at </w:t>
      </w:r>
      <w:r w:rsidR="003E4870" w:rsidRPr="00BD2DB2">
        <w:rPr>
          <w:lang w:val="en-GB"/>
        </w:rPr>
        <w:t>Lu</w:t>
      </w:r>
      <w:r>
        <w:rPr>
          <w:lang w:val="en-GB"/>
        </w:rPr>
        <w:t>xembourg-Limpertsberg. To date, 14 European Schools across Europe are attended by some</w:t>
      </w:r>
      <w:r w:rsidR="003E4870" w:rsidRPr="00BD2DB2">
        <w:rPr>
          <w:lang w:val="en-GB"/>
        </w:rPr>
        <w:t xml:space="preserve"> </w:t>
      </w:r>
      <w:r>
        <w:rPr>
          <w:lang w:val="en-GB"/>
        </w:rPr>
        <w:t xml:space="preserve">27 </w:t>
      </w:r>
      <w:r w:rsidR="003E4870" w:rsidRPr="00BD2DB2">
        <w:rPr>
          <w:lang w:val="en-GB"/>
        </w:rPr>
        <w:t xml:space="preserve">000 </w:t>
      </w:r>
      <w:r>
        <w:rPr>
          <w:lang w:val="en-GB"/>
        </w:rPr>
        <w:t xml:space="preserve">pupils and 13 Accredited European Schools supplement the European schooling offer. </w:t>
      </w:r>
    </w:p>
    <w:p w:rsidR="004338EC" w:rsidRPr="00BD2DB2" w:rsidRDefault="00905EE9" w:rsidP="00955EE7">
      <w:pPr>
        <w:jc w:val="both"/>
        <w:rPr>
          <w:lang w:val="en-GB"/>
        </w:rPr>
      </w:pPr>
      <w:r>
        <w:rPr>
          <w:lang w:val="en-GB"/>
        </w:rPr>
        <w:t xml:space="preserve">Whilst mobility in </w:t>
      </w:r>
      <w:r w:rsidR="003E4870" w:rsidRPr="00BD2DB2">
        <w:rPr>
          <w:lang w:val="en-GB"/>
        </w:rPr>
        <w:t xml:space="preserve">Europe </w:t>
      </w:r>
      <w:r>
        <w:rPr>
          <w:lang w:val="en-GB"/>
        </w:rPr>
        <w:t xml:space="preserve">was initially limited to just a few people, liberalisation of the travel and employment provisions in the EU, the introduction of the </w:t>
      </w:r>
      <w:r w:rsidR="00955EE7" w:rsidRPr="00BD2DB2">
        <w:rPr>
          <w:lang w:val="en-GB"/>
        </w:rPr>
        <w:t xml:space="preserve">Schengen </w:t>
      </w:r>
      <w:r>
        <w:rPr>
          <w:lang w:val="en-GB"/>
        </w:rPr>
        <w:t xml:space="preserve">area and, above all, the increased mobility of young people through exchange and training programmes within the EU, such as Erasmus, Leonardo da Vinci and </w:t>
      </w:r>
      <w:r w:rsidR="004338EC" w:rsidRPr="00BD2DB2">
        <w:rPr>
          <w:lang w:val="en-GB"/>
        </w:rPr>
        <w:t>Grundtvig</w:t>
      </w:r>
      <w:r>
        <w:rPr>
          <w:lang w:val="en-GB"/>
        </w:rPr>
        <w:t xml:space="preserve">, </w:t>
      </w:r>
      <w:r w:rsidR="00844D3B">
        <w:rPr>
          <w:lang w:val="en-GB"/>
        </w:rPr>
        <w:t xml:space="preserve">were instrumental in this mobility’s having become available to all nowadays. </w:t>
      </w:r>
      <w:r w:rsidR="00F150AA">
        <w:rPr>
          <w:lang w:val="en-GB"/>
        </w:rPr>
        <w:t xml:space="preserve">Increasing numbers of Europeans are daring to look beyond the borders of their country of birth and discovering new living and working environments, this mobility being a guarantor for the personal development of young people and employees to the same degree as it represents a gain in terms of quality and of exchange of experience and of practice for businesses.  </w:t>
      </w:r>
    </w:p>
    <w:p w:rsidR="005A4A9B" w:rsidRPr="00BD2DB2" w:rsidRDefault="00941B83" w:rsidP="00955EE7">
      <w:pPr>
        <w:jc w:val="both"/>
        <w:rPr>
          <w:lang w:val="en-GB"/>
        </w:rPr>
      </w:pPr>
      <w:r>
        <w:rPr>
          <w:lang w:val="en-GB"/>
        </w:rPr>
        <w:t xml:space="preserve">Now these employees and young people are going to take their mother tongue abroad and it is fairly likely that they are going to educate their children in that language. </w:t>
      </w:r>
      <w:r w:rsidR="005A4A9B" w:rsidRPr="00BD2DB2">
        <w:rPr>
          <w:lang w:val="en-GB"/>
        </w:rPr>
        <w:t xml:space="preserve"> </w:t>
      </w:r>
      <w:r>
        <w:rPr>
          <w:lang w:val="en-GB"/>
        </w:rPr>
        <w:t xml:space="preserve">It is self-evident that in a Europe that is in the process of unification and of reshaping of its identity, children should not be overlooked. </w:t>
      </w:r>
      <w:r w:rsidR="00ED7557">
        <w:rPr>
          <w:lang w:val="en-GB"/>
        </w:rPr>
        <w:t>If diversity is our continent’s source of richness, it needs to be cultivated. From the educational viewpoint, whilst we are gradually coming to understand that there are no means of training our young people for jobs of which we are unable as yet to conceive</w:t>
      </w:r>
      <w:r w:rsidR="005A4A9B" w:rsidRPr="00BD2DB2">
        <w:rPr>
          <w:lang w:val="en-GB"/>
        </w:rPr>
        <w:t xml:space="preserve">, </w:t>
      </w:r>
      <w:r w:rsidR="00177096">
        <w:rPr>
          <w:lang w:val="en-GB"/>
        </w:rPr>
        <w:t xml:space="preserve">the </w:t>
      </w:r>
      <w:r w:rsidR="00ED7557" w:rsidRPr="00ED7557">
        <w:rPr>
          <w:bCs/>
        </w:rPr>
        <w:t>Copernican Revolution</w:t>
      </w:r>
      <w:r w:rsidR="00177096">
        <w:rPr>
          <w:bCs/>
        </w:rPr>
        <w:t xml:space="preserve"> will involve discovering and promoting everyone’s competences and s</w:t>
      </w:r>
      <w:r w:rsidR="00491193">
        <w:rPr>
          <w:bCs/>
        </w:rPr>
        <w:t xml:space="preserve">kills so that they can find </w:t>
      </w:r>
      <w:r w:rsidR="00177096">
        <w:rPr>
          <w:lang w:val="en-GB"/>
        </w:rPr>
        <w:t xml:space="preserve">element in they which they will be able to develop, flourish and make a success of their lives. </w:t>
      </w:r>
    </w:p>
    <w:p w:rsidR="00D538ED" w:rsidRPr="00BD2DB2" w:rsidRDefault="0020038D" w:rsidP="00955EE7">
      <w:pPr>
        <w:jc w:val="both"/>
        <w:rPr>
          <w:lang w:val="en-GB"/>
        </w:rPr>
      </w:pPr>
      <w:r>
        <w:rPr>
          <w:lang w:val="en-GB"/>
        </w:rPr>
        <w:t xml:space="preserve">That is why the linguistic aspect is </w:t>
      </w:r>
      <w:r w:rsidR="00D538ED" w:rsidRPr="00BD2DB2">
        <w:rPr>
          <w:lang w:val="en-GB"/>
        </w:rPr>
        <w:t>import</w:t>
      </w:r>
      <w:r w:rsidR="0027562E" w:rsidRPr="00BD2DB2">
        <w:rPr>
          <w:lang w:val="en-GB"/>
        </w:rPr>
        <w:t>ant</w:t>
      </w:r>
      <w:r>
        <w:rPr>
          <w:lang w:val="en-GB"/>
        </w:rPr>
        <w:t xml:space="preserve"> as soon as children first go to school; the language in which they become literate is not insignificant and, in a multilingual context, nor is the vehicular language used in lessons.  </w:t>
      </w:r>
    </w:p>
    <w:p w:rsidR="00D538ED" w:rsidRPr="00BD2DB2" w:rsidRDefault="0020038D" w:rsidP="00955EE7">
      <w:pPr>
        <w:jc w:val="both"/>
        <w:rPr>
          <w:lang w:val="en-GB"/>
        </w:rPr>
      </w:pPr>
      <w:r>
        <w:rPr>
          <w:lang w:val="en-GB"/>
        </w:rPr>
        <w:t xml:space="preserve">Because of the emphasis placed by the European School system on the flexibility and </w:t>
      </w:r>
      <w:r w:rsidR="00D538ED" w:rsidRPr="00BD2DB2">
        <w:rPr>
          <w:lang w:val="en-GB"/>
        </w:rPr>
        <w:t xml:space="preserve">diversification </w:t>
      </w:r>
      <w:r>
        <w:rPr>
          <w:lang w:val="en-GB"/>
        </w:rPr>
        <w:t xml:space="preserve">of language learning, on multilingualism and on the highlighting of mother tongue, it meets the demands of today’s Europeans. </w:t>
      </w:r>
      <w:r w:rsidR="00D538ED" w:rsidRPr="00BD2DB2">
        <w:rPr>
          <w:lang w:val="en-GB"/>
        </w:rPr>
        <w:t xml:space="preserve"> </w:t>
      </w:r>
    </w:p>
    <w:p w:rsidR="00830221" w:rsidRPr="00BD2DB2" w:rsidRDefault="0020038D" w:rsidP="00955EE7">
      <w:pPr>
        <w:jc w:val="both"/>
        <w:rPr>
          <w:lang w:val="en-GB"/>
        </w:rPr>
      </w:pPr>
      <w:r>
        <w:rPr>
          <w:lang w:val="en-GB"/>
        </w:rPr>
        <w:t xml:space="preserve">With that in mind, </w:t>
      </w:r>
      <w:r w:rsidR="00830221" w:rsidRPr="00BD2DB2">
        <w:rPr>
          <w:lang w:val="en-GB"/>
        </w:rPr>
        <w:t xml:space="preserve">Luxembourg </w:t>
      </w:r>
      <w:r>
        <w:rPr>
          <w:lang w:val="en-GB"/>
        </w:rPr>
        <w:t>intends to widen what it has to offer and to add an additional European School with the status of Accredited European School to its state schooling</w:t>
      </w:r>
      <w:r w:rsidR="0012039B">
        <w:rPr>
          <w:lang w:val="en-GB"/>
        </w:rPr>
        <w:t xml:space="preserve"> range</w:t>
      </w:r>
      <w:r>
        <w:rPr>
          <w:lang w:val="en-GB"/>
        </w:rPr>
        <w:t xml:space="preserve"> in </w:t>
      </w:r>
      <w:r w:rsidR="00830221" w:rsidRPr="00BD2DB2">
        <w:rPr>
          <w:lang w:val="en-GB"/>
        </w:rPr>
        <w:t>2018.</w:t>
      </w:r>
    </w:p>
    <w:p w:rsidR="00830221" w:rsidRPr="00BD2DB2" w:rsidRDefault="00830221">
      <w:pPr>
        <w:rPr>
          <w:lang w:val="en-GB"/>
        </w:rPr>
      </w:pPr>
    </w:p>
    <w:p w:rsidR="00830221" w:rsidRPr="00BD2DB2" w:rsidRDefault="0012039B" w:rsidP="00660ABB">
      <w:pPr>
        <w:pStyle w:val="Heading1"/>
        <w:rPr>
          <w:lang w:val="en-GB"/>
        </w:rPr>
      </w:pPr>
      <w:bookmarkStart w:id="2" w:name="_Toc494880753"/>
      <w:r>
        <w:rPr>
          <w:lang w:val="en-GB"/>
        </w:rPr>
        <w:t>European schooling offered in</w:t>
      </w:r>
      <w:r w:rsidR="00660ABB" w:rsidRPr="00BD2DB2">
        <w:rPr>
          <w:lang w:val="en-GB"/>
        </w:rPr>
        <w:t xml:space="preserve"> Luxembourg</w:t>
      </w:r>
      <w:bookmarkEnd w:id="2"/>
    </w:p>
    <w:p w:rsidR="00660ABB" w:rsidRPr="00BD2DB2" w:rsidRDefault="00660ABB">
      <w:pPr>
        <w:rPr>
          <w:lang w:val="en-GB"/>
        </w:rPr>
      </w:pPr>
    </w:p>
    <w:p w:rsidR="00660ABB" w:rsidRPr="00BD2DB2" w:rsidRDefault="0012039B" w:rsidP="004E185E">
      <w:pPr>
        <w:jc w:val="both"/>
        <w:rPr>
          <w:lang w:val="en-GB"/>
        </w:rPr>
      </w:pPr>
      <w:r>
        <w:rPr>
          <w:lang w:val="en-GB"/>
        </w:rPr>
        <w:t xml:space="preserve">Today, </w:t>
      </w:r>
      <w:r w:rsidR="00660ABB" w:rsidRPr="00BD2DB2">
        <w:rPr>
          <w:lang w:val="en-GB"/>
        </w:rPr>
        <w:t xml:space="preserve">Luxembourg </w:t>
      </w:r>
      <w:r>
        <w:rPr>
          <w:lang w:val="en-GB"/>
        </w:rPr>
        <w:t>has two European Schools, Luxembourg I, located at</w:t>
      </w:r>
      <w:r w:rsidR="00660ABB" w:rsidRPr="00BD2DB2">
        <w:rPr>
          <w:lang w:val="en-GB"/>
        </w:rPr>
        <w:t xml:space="preserve"> Luxembourg-Kirchberg</w:t>
      </w:r>
      <w:r>
        <w:rPr>
          <w:lang w:val="en-GB"/>
        </w:rPr>
        <w:t>, and Luxembourg II, located at</w:t>
      </w:r>
      <w:r w:rsidR="00660ABB" w:rsidRPr="00BD2DB2">
        <w:rPr>
          <w:lang w:val="en-GB"/>
        </w:rPr>
        <w:t xml:space="preserve"> Mamer.</w:t>
      </w:r>
      <w:r>
        <w:rPr>
          <w:lang w:val="en-GB"/>
        </w:rPr>
        <w:t xml:space="preserve"> At this point</w:t>
      </w:r>
      <w:r w:rsidR="00491193">
        <w:rPr>
          <w:lang w:val="en-GB"/>
        </w:rPr>
        <w:t xml:space="preserve"> in time</w:t>
      </w:r>
      <w:r>
        <w:rPr>
          <w:lang w:val="en-GB"/>
        </w:rPr>
        <w:t>, those two schools are about to reach their respective maximum capacity.</w:t>
      </w:r>
      <w:r w:rsidR="006762E7" w:rsidRPr="00BD2DB2">
        <w:rPr>
          <w:lang w:val="en-GB"/>
        </w:rPr>
        <w:t xml:space="preserve"> </w:t>
      </w:r>
    </w:p>
    <w:p w:rsidR="00BC0B01" w:rsidRDefault="00854E6E" w:rsidP="004E185E">
      <w:pPr>
        <w:jc w:val="both"/>
        <w:rPr>
          <w:lang w:val="en-GB"/>
        </w:rPr>
      </w:pPr>
      <w:r w:rsidRPr="0028166E">
        <w:rPr>
          <w:rFonts w:cs="Arial"/>
          <w:lang w:val="en-GB"/>
        </w:rPr>
        <w:t>With the aim of extending the range of Francophone and Anglophone classes offere</w:t>
      </w:r>
      <w:r>
        <w:rPr>
          <w:rFonts w:cs="Arial"/>
          <w:lang w:val="en-GB"/>
        </w:rPr>
        <w:t>d in Luxembourg,</w:t>
      </w:r>
      <w:r w:rsidRPr="0028166E">
        <w:rPr>
          <w:rFonts w:cs="Arial"/>
          <w:lang w:val="en-GB"/>
        </w:rPr>
        <w:t xml:space="preserve"> the Minister of Education, Childhood and Youth, Mr Claude Meisch, and the Secretary-General of the Board of Governors of the European Schools, Mr Kari </w:t>
      </w:r>
      <w:r>
        <w:rPr>
          <w:rFonts w:cs="Arial"/>
          <w:lang w:val="en-GB"/>
        </w:rPr>
        <w:t xml:space="preserve">Kivinen, signed an </w:t>
      </w:r>
      <w:r w:rsidRPr="0028166E">
        <w:rPr>
          <w:rFonts w:cs="Arial"/>
          <w:lang w:val="en-GB"/>
        </w:rPr>
        <w:t xml:space="preserve">agreement </w:t>
      </w:r>
      <w:r>
        <w:rPr>
          <w:rFonts w:cs="Arial"/>
          <w:lang w:val="en-GB"/>
        </w:rPr>
        <w:t xml:space="preserve">in 2014 </w:t>
      </w:r>
      <w:r w:rsidRPr="0028166E">
        <w:rPr>
          <w:rFonts w:cs="Arial"/>
          <w:lang w:val="en-GB"/>
        </w:rPr>
        <w:t xml:space="preserve">to increase the capacity of the Francophone and Anglophone sections in Luxembourg. </w:t>
      </w:r>
      <w:r>
        <w:rPr>
          <w:rFonts w:cs="Arial"/>
          <w:lang w:val="en-GB"/>
        </w:rPr>
        <w:t>Thus, as from the beginning of the 2014-2015 school year, some</w:t>
      </w:r>
      <w:r w:rsidR="00DC15A7" w:rsidRPr="00BD2DB2">
        <w:rPr>
          <w:lang w:val="en-GB"/>
        </w:rPr>
        <w:t xml:space="preserve"> 100 </w:t>
      </w:r>
      <w:r>
        <w:rPr>
          <w:lang w:val="en-GB"/>
        </w:rPr>
        <w:t>additional places were available in those sections and were open to pupils whose parents did not work for the European institutions</w:t>
      </w:r>
      <w:r w:rsidR="00D651F3">
        <w:rPr>
          <w:lang w:val="en-GB"/>
        </w:rPr>
        <w:t>. The Luxembourg State contributes to the funding of those additional classes, enabling so-called category 3 pupils to be ad</w:t>
      </w:r>
      <w:r w:rsidR="00BC0B01">
        <w:rPr>
          <w:lang w:val="en-GB"/>
        </w:rPr>
        <w:t>mitted to the European School in</w:t>
      </w:r>
      <w:r w:rsidR="00DC15A7" w:rsidRPr="00BD2DB2">
        <w:rPr>
          <w:lang w:val="en-GB"/>
        </w:rPr>
        <w:t xml:space="preserve"> Luxembourg</w:t>
      </w:r>
      <w:r w:rsidR="00D651F3">
        <w:rPr>
          <w:lang w:val="en-GB"/>
        </w:rPr>
        <w:t xml:space="preserve">, </w:t>
      </w:r>
      <w:r w:rsidR="008136F1">
        <w:rPr>
          <w:lang w:val="en-GB"/>
        </w:rPr>
        <w:t xml:space="preserve">whilst </w:t>
      </w:r>
      <w:r w:rsidR="00D651F3">
        <w:rPr>
          <w:lang w:val="en-GB"/>
        </w:rPr>
        <w:t xml:space="preserve">reducing their school fees to </w:t>
      </w:r>
      <w:r w:rsidR="00DC15A7" w:rsidRPr="00BD2DB2">
        <w:rPr>
          <w:lang w:val="en-GB"/>
        </w:rPr>
        <w:t>40%.</w:t>
      </w:r>
      <w:r w:rsidR="001304C9" w:rsidRPr="00BD2DB2">
        <w:rPr>
          <w:lang w:val="en-GB"/>
        </w:rPr>
        <w:t xml:space="preserve"> </w:t>
      </w:r>
      <w:r w:rsidR="00BC0B01">
        <w:rPr>
          <w:lang w:val="en-GB"/>
        </w:rPr>
        <w:t>In</w:t>
      </w:r>
      <w:r w:rsidR="00DC15A7" w:rsidRPr="00BD2DB2">
        <w:rPr>
          <w:lang w:val="en-GB"/>
        </w:rPr>
        <w:t xml:space="preserve"> 2016, </w:t>
      </w:r>
      <w:r w:rsidR="00BC0B01">
        <w:rPr>
          <w:lang w:val="en-GB"/>
        </w:rPr>
        <w:t xml:space="preserve">the opening of the </w:t>
      </w:r>
      <w:r w:rsidR="001304C9" w:rsidRPr="00BD2DB2">
        <w:rPr>
          <w:lang w:val="en-GB"/>
        </w:rPr>
        <w:t>Differdange</w:t>
      </w:r>
      <w:r w:rsidR="00BC0B01">
        <w:rPr>
          <w:lang w:val="en-GB"/>
        </w:rPr>
        <w:t xml:space="preserve"> International School with the status of Accredited European School proved to be an immediate success and demand is far from being met. </w:t>
      </w:r>
      <w:r w:rsidR="001304C9" w:rsidRPr="00BD2DB2">
        <w:rPr>
          <w:lang w:val="en-GB"/>
        </w:rPr>
        <w:t xml:space="preserve"> </w:t>
      </w:r>
    </w:p>
    <w:p w:rsidR="001304C9" w:rsidRPr="00BD2DB2" w:rsidRDefault="00BC0B01" w:rsidP="004E185E">
      <w:pPr>
        <w:jc w:val="both"/>
        <w:rPr>
          <w:lang w:val="en-GB"/>
        </w:rPr>
      </w:pPr>
      <w:r>
        <w:rPr>
          <w:lang w:val="en-GB"/>
        </w:rPr>
        <w:t>This is attribut</w:t>
      </w:r>
      <w:r w:rsidR="00491193">
        <w:rPr>
          <w:lang w:val="en-GB"/>
        </w:rPr>
        <w:t>able to the fact that because</w:t>
      </w:r>
      <w:r>
        <w:rPr>
          <w:lang w:val="en-GB"/>
        </w:rPr>
        <w:t xml:space="preserve"> of EU enlargement, the number of EU officials and other staff is steadily growing; at the same time, the imminent changes, resulting from Brexit in particular, are leading quite a large number of multinational companies to set up their registered office in Luxembourg and the </w:t>
      </w:r>
      <w:r w:rsidR="001304C9" w:rsidRPr="00BD2DB2">
        <w:rPr>
          <w:lang w:val="en-GB"/>
        </w:rPr>
        <w:t>po</w:t>
      </w:r>
      <w:r>
        <w:rPr>
          <w:lang w:val="en-GB"/>
        </w:rPr>
        <w:t>pulation is becoming increasingly</w:t>
      </w:r>
      <w:r w:rsidR="001304C9" w:rsidRPr="00BD2DB2">
        <w:rPr>
          <w:lang w:val="en-GB"/>
        </w:rPr>
        <w:t xml:space="preserve"> int</w:t>
      </w:r>
      <w:r>
        <w:rPr>
          <w:lang w:val="en-GB"/>
        </w:rPr>
        <w:t>ernational</w:t>
      </w:r>
      <w:r w:rsidR="001304C9" w:rsidRPr="00BD2DB2">
        <w:rPr>
          <w:lang w:val="en-GB"/>
        </w:rPr>
        <w:t>.</w:t>
      </w:r>
    </w:p>
    <w:p w:rsidR="00411160" w:rsidRPr="0028166E" w:rsidRDefault="00411160" w:rsidP="00411160">
      <w:pPr>
        <w:jc w:val="both"/>
        <w:rPr>
          <w:rFonts w:cs="Arial"/>
          <w:lang w:val="en-GB"/>
        </w:rPr>
      </w:pPr>
      <w:r>
        <w:rPr>
          <w:lang w:val="en-GB"/>
        </w:rPr>
        <w:t xml:space="preserve">Increasing capacity in the </w:t>
      </w:r>
      <w:r w:rsidRPr="0028166E">
        <w:rPr>
          <w:rFonts w:cs="Arial"/>
          <w:lang w:val="en-GB"/>
        </w:rPr>
        <w:t xml:space="preserve">Francophone and Anglophone sections </w:t>
      </w:r>
      <w:r>
        <w:rPr>
          <w:rFonts w:cs="Arial"/>
          <w:lang w:val="en-GB"/>
        </w:rPr>
        <w:t xml:space="preserve">and setting up the </w:t>
      </w:r>
      <w:r w:rsidRPr="00BD2DB2">
        <w:rPr>
          <w:lang w:val="en-GB"/>
        </w:rPr>
        <w:t>Differdange</w:t>
      </w:r>
      <w:r>
        <w:rPr>
          <w:lang w:val="en-GB"/>
        </w:rPr>
        <w:t xml:space="preserve"> International School</w:t>
      </w:r>
      <w:r w:rsidRPr="00BD2DB2">
        <w:rPr>
          <w:lang w:val="en-GB"/>
        </w:rPr>
        <w:t xml:space="preserve"> </w:t>
      </w:r>
      <w:r>
        <w:rPr>
          <w:lang w:val="en-GB"/>
        </w:rPr>
        <w:t>were the first steps in the Luxembourg</w:t>
      </w:r>
      <w:r w:rsidR="008136F1">
        <w:rPr>
          <w:lang w:val="en-GB"/>
        </w:rPr>
        <w:t xml:space="preserve"> G</w:t>
      </w:r>
      <w:r>
        <w:rPr>
          <w:lang w:val="en-GB"/>
        </w:rPr>
        <w:t xml:space="preserve">overnment’s endeavours to diversify the range of schooling and to offer a high-quality </w:t>
      </w:r>
      <w:r w:rsidRPr="0028166E">
        <w:rPr>
          <w:rFonts w:cs="Arial"/>
          <w:lang w:val="en-GB"/>
        </w:rPr>
        <w:t xml:space="preserve">education in different languages, so as to </w:t>
      </w:r>
      <w:r>
        <w:rPr>
          <w:rFonts w:cs="Arial"/>
          <w:lang w:val="en-GB"/>
        </w:rPr>
        <w:t>cater for the growing</w:t>
      </w:r>
      <w:r w:rsidRPr="0028166E">
        <w:rPr>
          <w:rFonts w:cs="Arial"/>
          <w:lang w:val="en-GB"/>
        </w:rPr>
        <w:t xml:space="preserve"> heterogeneity of the pupil population.</w:t>
      </w:r>
    </w:p>
    <w:p w:rsidR="00411160" w:rsidRDefault="00411160" w:rsidP="002C01B0">
      <w:pPr>
        <w:pStyle w:val="Heading1"/>
        <w:rPr>
          <w:lang w:val="en-GB"/>
        </w:rPr>
      </w:pPr>
    </w:p>
    <w:p w:rsidR="006762E7" w:rsidRPr="00BD2DB2" w:rsidRDefault="00411160" w:rsidP="002C01B0">
      <w:pPr>
        <w:pStyle w:val="Heading1"/>
        <w:rPr>
          <w:lang w:val="en-GB"/>
        </w:rPr>
      </w:pPr>
      <w:bookmarkStart w:id="3" w:name="_Toc494880754"/>
      <w:r>
        <w:rPr>
          <w:lang w:val="en-GB"/>
        </w:rPr>
        <w:t>Diversification of the range of schooling offered in</w:t>
      </w:r>
      <w:r w:rsidR="002C01B0" w:rsidRPr="00BD2DB2">
        <w:rPr>
          <w:lang w:val="en-GB"/>
        </w:rPr>
        <w:t xml:space="preserve"> Luxembourg</w:t>
      </w:r>
      <w:bookmarkEnd w:id="3"/>
    </w:p>
    <w:p w:rsidR="002C01B0" w:rsidRPr="00BD2DB2" w:rsidRDefault="002C01B0" w:rsidP="001E6201">
      <w:pPr>
        <w:jc w:val="both"/>
        <w:rPr>
          <w:lang w:val="en-GB"/>
        </w:rPr>
      </w:pPr>
    </w:p>
    <w:p w:rsidR="00C97571" w:rsidRDefault="00067A9E" w:rsidP="001E6201">
      <w:pPr>
        <w:jc w:val="both"/>
        <w:rPr>
          <w:lang w:val="en-GB"/>
        </w:rPr>
      </w:pPr>
      <w:r w:rsidRPr="00BD2DB2">
        <w:rPr>
          <w:noProof/>
        </w:rPr>
        <w:drawing>
          <wp:anchor distT="0" distB="0" distL="114300" distR="114300" simplePos="0" relativeHeight="251650048" behindDoc="0" locked="0" layoutInCell="1" allowOverlap="1">
            <wp:simplePos x="0" y="0"/>
            <wp:positionH relativeFrom="margin">
              <wp:align>left</wp:align>
            </wp:positionH>
            <wp:positionV relativeFrom="paragraph">
              <wp:posOffset>1133069</wp:posOffset>
            </wp:positionV>
            <wp:extent cx="4084955" cy="45078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 Mondor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84955" cy="4507865"/>
                    </a:xfrm>
                    <a:prstGeom prst="rect">
                      <a:avLst/>
                    </a:prstGeom>
                  </pic:spPr>
                </pic:pic>
              </a:graphicData>
            </a:graphic>
          </wp:anchor>
        </w:drawing>
      </w:r>
      <w:r w:rsidR="001B7ECF">
        <w:rPr>
          <w:lang w:val="en-GB"/>
        </w:rPr>
        <w:t>With a view to increasing and diversifying the range of state school</w:t>
      </w:r>
      <w:r w:rsidR="00491193">
        <w:rPr>
          <w:lang w:val="en-GB"/>
        </w:rPr>
        <w:t>ing</w:t>
      </w:r>
      <w:r w:rsidR="001B7ECF">
        <w:rPr>
          <w:lang w:val="en-GB"/>
        </w:rPr>
        <w:t xml:space="preserve"> offered, the Luxembourg Govern</w:t>
      </w:r>
      <w:r w:rsidR="000400A2" w:rsidRPr="00BD2DB2">
        <w:rPr>
          <w:lang w:val="en-GB"/>
        </w:rPr>
        <w:t xml:space="preserve">ment </w:t>
      </w:r>
      <w:r w:rsidR="001B7ECF">
        <w:rPr>
          <w:lang w:val="en-GB"/>
        </w:rPr>
        <w:t>intends to set up an International School at Mondorf-les-Bains in the south east of the country.</w:t>
      </w:r>
      <w:r w:rsidR="000400A2" w:rsidRPr="00BD2DB2">
        <w:rPr>
          <w:lang w:val="en-GB"/>
        </w:rPr>
        <w:t xml:space="preserve"> </w:t>
      </w:r>
      <w:r w:rsidR="001B7ECF">
        <w:rPr>
          <w:lang w:val="en-GB"/>
        </w:rPr>
        <w:t>The municipality, with a population of around</w:t>
      </w:r>
      <w:r w:rsidR="000400A2" w:rsidRPr="00BD2DB2">
        <w:rPr>
          <w:lang w:val="en-GB"/>
        </w:rPr>
        <w:t xml:space="preserve"> 5000</w:t>
      </w:r>
      <w:r w:rsidR="001B7ECF">
        <w:rPr>
          <w:lang w:val="en-GB"/>
        </w:rPr>
        <w:t xml:space="preserve">, is located in a region characterised by relatively poor provision of schooling possibilities. </w:t>
      </w:r>
      <w:r w:rsidR="000400A2" w:rsidRPr="00BD2DB2">
        <w:rPr>
          <w:lang w:val="en-GB"/>
        </w:rPr>
        <w:t xml:space="preserve"> </w:t>
      </w:r>
      <w:r w:rsidR="001B7ECF">
        <w:rPr>
          <w:lang w:val="en-GB"/>
        </w:rPr>
        <w:t>This</w:t>
      </w:r>
      <w:r w:rsidR="000400A2" w:rsidRPr="00BD2DB2">
        <w:rPr>
          <w:lang w:val="en-GB"/>
        </w:rPr>
        <w:t xml:space="preserve"> situation </w:t>
      </w:r>
      <w:r w:rsidR="001B7ECF">
        <w:rPr>
          <w:lang w:val="en-GB"/>
        </w:rPr>
        <w:t xml:space="preserve">has only been partially remedied by the opening of the </w:t>
      </w:r>
      <w:r w:rsidR="000400A2" w:rsidRPr="00BD2DB2">
        <w:rPr>
          <w:i/>
          <w:lang w:val="en-GB"/>
        </w:rPr>
        <w:t>Deutsch-Luxemburgisches Schengen-</w:t>
      </w:r>
      <w:r w:rsidR="00555BF1" w:rsidRPr="00BD2DB2">
        <w:rPr>
          <w:i/>
          <w:lang w:val="en-GB"/>
        </w:rPr>
        <w:t>Lyzeum</w:t>
      </w:r>
      <w:r w:rsidR="001B7ECF">
        <w:rPr>
          <w:lang w:val="en-GB"/>
        </w:rPr>
        <w:t xml:space="preserve"> (German-Luxembourg Schengen </w:t>
      </w:r>
      <w:r w:rsidR="001B7ECF" w:rsidRPr="001B7ECF">
        <w:rPr>
          <w:i/>
          <w:lang w:val="en-GB"/>
        </w:rPr>
        <w:t>Lycée</w:t>
      </w:r>
      <w:r w:rsidR="001B7ECF" w:rsidRPr="001B7ECF">
        <w:rPr>
          <w:lang w:val="en-GB"/>
        </w:rPr>
        <w:t>)</w:t>
      </w:r>
      <w:r w:rsidR="001B7ECF">
        <w:rPr>
          <w:i/>
          <w:lang w:val="en-GB"/>
        </w:rPr>
        <w:t xml:space="preserve"> </w:t>
      </w:r>
      <w:r w:rsidR="001B7ECF">
        <w:rPr>
          <w:lang w:val="en-GB"/>
        </w:rPr>
        <w:t xml:space="preserve">at </w:t>
      </w:r>
      <w:r w:rsidR="000400A2" w:rsidRPr="00BD2DB2">
        <w:rPr>
          <w:lang w:val="en-GB"/>
        </w:rPr>
        <w:t>Perl</w:t>
      </w:r>
      <w:r w:rsidR="001B7ECF">
        <w:rPr>
          <w:lang w:val="en-GB"/>
        </w:rPr>
        <w:t>, with the result that most pupils st</w:t>
      </w:r>
      <w:r w:rsidR="00CB5B90">
        <w:rPr>
          <w:lang w:val="en-GB"/>
        </w:rPr>
        <w:t xml:space="preserve">ill face accessibility problems in terms of all the other existing </w:t>
      </w:r>
      <w:r w:rsidR="00CB5B90" w:rsidRPr="00CB5B90">
        <w:rPr>
          <w:i/>
          <w:lang w:val="en-GB"/>
        </w:rPr>
        <w:t>Lycées</w:t>
      </w:r>
      <w:r w:rsidR="00C97571">
        <w:rPr>
          <w:lang w:val="en-GB"/>
        </w:rPr>
        <w:t xml:space="preserve"> in the surrounding area,</w:t>
      </w:r>
      <w:r w:rsidR="001B7ECF">
        <w:rPr>
          <w:lang w:val="en-GB"/>
        </w:rPr>
        <w:t xml:space="preserve"> with journeys to and from school of over 30 minutes</w:t>
      </w:r>
      <w:r w:rsidR="00CB5B90">
        <w:rPr>
          <w:lang w:val="en-GB"/>
        </w:rPr>
        <w:t>.</w:t>
      </w:r>
    </w:p>
    <w:p w:rsidR="000400A2" w:rsidRPr="00BD2DB2" w:rsidRDefault="00C97571" w:rsidP="001E6201">
      <w:pPr>
        <w:jc w:val="both"/>
        <w:rPr>
          <w:lang w:val="en-GB"/>
        </w:rPr>
      </w:pPr>
      <w:r>
        <w:rPr>
          <w:lang w:val="en-GB"/>
        </w:rPr>
        <w:t>Located on the French border and 6 kilometres from the German border,</w:t>
      </w:r>
      <w:r w:rsidR="000400A2" w:rsidRPr="00BD2DB2">
        <w:rPr>
          <w:lang w:val="en-GB"/>
        </w:rPr>
        <w:t xml:space="preserve"> </w:t>
      </w:r>
      <w:r w:rsidR="00A05CF9">
        <w:rPr>
          <w:lang w:val="en-GB"/>
        </w:rPr>
        <w:t>Mondorf-les-Bains is alongside the</w:t>
      </w:r>
      <w:r w:rsidR="004C2E31" w:rsidRPr="00BD2DB2">
        <w:rPr>
          <w:lang w:val="en-GB"/>
        </w:rPr>
        <w:t xml:space="preserve"> </w:t>
      </w:r>
      <w:r w:rsidR="00CE00B2" w:rsidRPr="00BD2DB2">
        <w:rPr>
          <w:lang w:val="en-GB"/>
        </w:rPr>
        <w:t xml:space="preserve">A13 </w:t>
      </w:r>
      <w:r w:rsidR="00A05CF9">
        <w:rPr>
          <w:lang w:val="en-GB"/>
        </w:rPr>
        <w:t xml:space="preserve">motorway which links Belgium and the Saarland and crosses the </w:t>
      </w:r>
      <w:r w:rsidR="00491193">
        <w:rPr>
          <w:lang w:val="en-GB"/>
        </w:rPr>
        <w:t xml:space="preserve">main </w:t>
      </w:r>
      <w:r w:rsidR="00A05CF9">
        <w:rPr>
          <w:lang w:val="en-GB"/>
        </w:rPr>
        <w:t>road between Luxembourg and</w:t>
      </w:r>
      <w:r w:rsidR="00CE00B2" w:rsidRPr="00BD2DB2">
        <w:rPr>
          <w:lang w:val="en-GB"/>
        </w:rPr>
        <w:t xml:space="preserve"> Thionville-Met</w:t>
      </w:r>
      <w:r w:rsidR="00D8011F">
        <w:rPr>
          <w:lang w:val="en-GB"/>
        </w:rPr>
        <w:t xml:space="preserve">z. Mondorf-les-Bains is part of a network of twinned municipalities consisting of five other European towns. </w:t>
      </w:r>
      <w:r w:rsidR="00CE00B2" w:rsidRPr="00BD2DB2">
        <w:rPr>
          <w:lang w:val="en-GB"/>
        </w:rPr>
        <w:t xml:space="preserve"> </w:t>
      </w:r>
    </w:p>
    <w:p w:rsidR="003A6347" w:rsidRDefault="00BD1F13" w:rsidP="001E6201">
      <w:pPr>
        <w:jc w:val="both"/>
        <w:rPr>
          <w:lang w:val="en-GB"/>
        </w:rPr>
      </w:pPr>
      <w:r>
        <w:rPr>
          <w:lang w:val="en-GB"/>
        </w:rPr>
        <w:t xml:space="preserve">The main objective of the </w:t>
      </w:r>
      <w:r w:rsidR="00CE00B2" w:rsidRPr="00BD2DB2">
        <w:rPr>
          <w:lang w:val="en-GB"/>
        </w:rPr>
        <w:t xml:space="preserve">  Mondorf-les-Bains</w:t>
      </w:r>
      <w:r>
        <w:rPr>
          <w:lang w:val="en-GB"/>
        </w:rPr>
        <w:t xml:space="preserve"> International School</w:t>
      </w:r>
      <w:r w:rsidR="00CE00B2" w:rsidRPr="00BD2DB2">
        <w:rPr>
          <w:lang w:val="en-GB"/>
        </w:rPr>
        <w:t xml:space="preserve"> </w:t>
      </w:r>
      <w:r>
        <w:rPr>
          <w:lang w:val="en-GB"/>
        </w:rPr>
        <w:t xml:space="preserve">– Accredited European School will be the introduction of an offer of schooling for the children and young people of </w:t>
      </w:r>
      <w:r w:rsidR="00DD4E19" w:rsidRPr="00BD2DB2">
        <w:rPr>
          <w:lang w:val="en-GB"/>
        </w:rPr>
        <w:t xml:space="preserve"> </w:t>
      </w:r>
      <w:r>
        <w:rPr>
          <w:lang w:val="en-GB"/>
        </w:rPr>
        <w:t>Mondorf-les-Bains and of the south east of the country.</w:t>
      </w:r>
      <w:r w:rsidR="00CE00B2" w:rsidRPr="00BD2DB2">
        <w:rPr>
          <w:lang w:val="en-GB"/>
        </w:rPr>
        <w:t xml:space="preserve"> </w:t>
      </w:r>
      <w:r w:rsidR="003A6347">
        <w:rPr>
          <w:lang w:val="en-GB"/>
        </w:rPr>
        <w:t xml:space="preserve">The municipality is booming demographically and the establishment of international companies in the south of the country has resulted in the population’s becoming increasingly </w:t>
      </w:r>
      <w:r w:rsidR="00CE00B2" w:rsidRPr="00BD2DB2">
        <w:rPr>
          <w:lang w:val="en-GB"/>
        </w:rPr>
        <w:t>inte</w:t>
      </w:r>
      <w:r w:rsidR="003A6347">
        <w:rPr>
          <w:lang w:val="en-GB"/>
        </w:rPr>
        <w:t xml:space="preserve">rnational. At that level, the decision of a company or of a foreign investor to set up </w:t>
      </w:r>
      <w:r w:rsidR="00491193">
        <w:rPr>
          <w:lang w:val="en-GB"/>
        </w:rPr>
        <w:t xml:space="preserve">or invest </w:t>
      </w:r>
      <w:r w:rsidR="003A6347">
        <w:rPr>
          <w:lang w:val="en-GB"/>
        </w:rPr>
        <w:t xml:space="preserve">in </w:t>
      </w:r>
      <w:r w:rsidR="00B421CE" w:rsidRPr="00BD2DB2">
        <w:rPr>
          <w:lang w:val="en-GB"/>
        </w:rPr>
        <w:t xml:space="preserve">Luxembourg </w:t>
      </w:r>
      <w:r w:rsidR="003A6347">
        <w:rPr>
          <w:lang w:val="en-GB"/>
        </w:rPr>
        <w:t xml:space="preserve">is largely influenced by the presence of a high-quality schooling offer. </w:t>
      </w:r>
    </w:p>
    <w:p w:rsidR="002C01B0" w:rsidRPr="00BD2DB2" w:rsidRDefault="008C1EE5" w:rsidP="001E6201">
      <w:pPr>
        <w:jc w:val="both"/>
        <w:rPr>
          <w:lang w:val="en-GB"/>
        </w:rPr>
      </w:pPr>
      <w:r>
        <w:rPr>
          <w:lang w:val="en-GB"/>
        </w:rPr>
        <w:t xml:space="preserve">Whilst the aim of putting in place an international schooling offer is to provide a response to the challenge of an increasingly heterogeneous pupil population, it also enables the needs to be met of children from language communities which have been present in the country for longer. It is indeed the Government’s </w:t>
      </w:r>
      <w:r w:rsidRPr="0028166E">
        <w:rPr>
          <w:lang w:val="en-GB"/>
        </w:rPr>
        <w:t xml:space="preserve">responsibility to offer a </w:t>
      </w:r>
      <w:r>
        <w:rPr>
          <w:lang w:val="en-GB"/>
        </w:rPr>
        <w:t xml:space="preserve">range of </w:t>
      </w:r>
      <w:r w:rsidRPr="0028166E">
        <w:rPr>
          <w:lang w:val="en-GB"/>
        </w:rPr>
        <w:t>state education</w:t>
      </w:r>
      <w:r>
        <w:rPr>
          <w:lang w:val="en-GB"/>
        </w:rPr>
        <w:t xml:space="preserve"> provision</w:t>
      </w:r>
      <w:r w:rsidRPr="0028166E">
        <w:rPr>
          <w:lang w:val="en-GB"/>
        </w:rPr>
        <w:t xml:space="preserve"> which </w:t>
      </w:r>
      <w:r>
        <w:rPr>
          <w:lang w:val="en-GB"/>
        </w:rPr>
        <w:t>allows each pupil to succeed according to his or her capabilities,</w:t>
      </w:r>
      <w:r w:rsidRPr="0028166E">
        <w:rPr>
          <w:lang w:val="en-GB"/>
        </w:rPr>
        <w:t xml:space="preserve"> irrespective of the language spoken at home.</w:t>
      </w:r>
      <w:r>
        <w:rPr>
          <w:lang w:val="en-GB"/>
        </w:rPr>
        <w:t xml:space="preserve"> Offering a new international school therefore pursues a threefold aim: </w:t>
      </w:r>
      <w:r w:rsidR="00AE33C1" w:rsidRPr="00BD2DB2">
        <w:rPr>
          <w:lang w:val="en-GB"/>
        </w:rPr>
        <w:t xml:space="preserve"> </w:t>
      </w:r>
      <w:r>
        <w:rPr>
          <w:lang w:val="en-GB"/>
        </w:rPr>
        <w:t xml:space="preserve">to </w:t>
      </w:r>
      <w:r w:rsidR="00280461">
        <w:rPr>
          <w:lang w:val="en-GB"/>
        </w:rPr>
        <w:t xml:space="preserve">ensure the integration of pupils of foreign origin, to provide schooling for young foreigners who are only temporarily resident in the Grand Duchy and are set to continue or indeed complete their education in another EU country and to promote a spirit of openness towards Europe amongst young Luxembourgers.  </w:t>
      </w:r>
      <w:r w:rsidR="00AE33C1" w:rsidRPr="00BD2DB2">
        <w:rPr>
          <w:lang w:val="en-GB"/>
        </w:rPr>
        <w:t xml:space="preserve"> </w:t>
      </w:r>
    </w:p>
    <w:p w:rsidR="00555BF1" w:rsidRPr="00BD2DB2" w:rsidRDefault="00555BF1">
      <w:pPr>
        <w:rPr>
          <w:lang w:val="en-GB"/>
        </w:rPr>
      </w:pPr>
    </w:p>
    <w:p w:rsidR="0086608A" w:rsidRPr="00BD2DB2" w:rsidRDefault="003E4CA1" w:rsidP="001E6201">
      <w:pPr>
        <w:jc w:val="both"/>
        <w:rPr>
          <w:lang w:val="en-GB"/>
        </w:rPr>
      </w:pPr>
      <w:r>
        <w:rPr>
          <w:lang w:val="en-GB"/>
        </w:rPr>
        <w:t>The proposed classes at the</w:t>
      </w:r>
      <w:r w:rsidR="00FD606F" w:rsidRPr="00BD2DB2">
        <w:rPr>
          <w:lang w:val="en-GB"/>
        </w:rPr>
        <w:t xml:space="preserve"> Mondorf-les-Bains</w:t>
      </w:r>
      <w:r>
        <w:rPr>
          <w:lang w:val="en-GB"/>
        </w:rPr>
        <w:t xml:space="preserve"> International School</w:t>
      </w:r>
      <w:r w:rsidR="00440442" w:rsidRPr="00BD2DB2">
        <w:rPr>
          <w:lang w:val="en-GB"/>
        </w:rPr>
        <w:t xml:space="preserve"> </w:t>
      </w:r>
      <w:r>
        <w:rPr>
          <w:lang w:val="en-GB"/>
        </w:rPr>
        <w:t xml:space="preserve">– Accredited European School are additional to the current international offer, namely: </w:t>
      </w:r>
      <w:r w:rsidR="00727ECD" w:rsidRPr="00BD2DB2">
        <w:rPr>
          <w:lang w:val="en-GB"/>
        </w:rPr>
        <w:t xml:space="preserve"> </w:t>
      </w:r>
    </w:p>
    <w:p w:rsidR="00440442" w:rsidRPr="00BD2DB2" w:rsidRDefault="003E4CA1" w:rsidP="001E6201">
      <w:pPr>
        <w:pStyle w:val="ListParagraph"/>
        <w:numPr>
          <w:ilvl w:val="0"/>
          <w:numId w:val="1"/>
        </w:numPr>
        <w:jc w:val="both"/>
        <w:rPr>
          <w:lang w:val="en-GB"/>
        </w:rPr>
      </w:pPr>
      <w:r>
        <w:rPr>
          <w:lang w:val="en-GB"/>
        </w:rPr>
        <w:t xml:space="preserve">the International Baccalaureate, Anglophone classes for which are offered at the </w:t>
      </w:r>
      <w:r w:rsidR="00440442" w:rsidRPr="003E4CA1">
        <w:rPr>
          <w:i/>
          <w:lang w:val="en-GB"/>
        </w:rPr>
        <w:t>Athénée de Luxembourg</w:t>
      </w:r>
      <w:r>
        <w:rPr>
          <w:lang w:val="en-GB"/>
        </w:rPr>
        <w:t xml:space="preserve">, and </w:t>
      </w:r>
      <w:r w:rsidR="00440442" w:rsidRPr="003E4CA1">
        <w:rPr>
          <w:i/>
          <w:lang w:val="en-GB"/>
        </w:rPr>
        <w:t xml:space="preserve"> </w:t>
      </w:r>
      <w:r>
        <w:rPr>
          <w:lang w:val="en-GB"/>
        </w:rPr>
        <w:t>Francophone classes for which are offered at the</w:t>
      </w:r>
      <w:r w:rsidR="00440442" w:rsidRPr="00BD2DB2">
        <w:rPr>
          <w:lang w:val="en-GB"/>
        </w:rPr>
        <w:t xml:space="preserve"> </w:t>
      </w:r>
      <w:r w:rsidR="00440442" w:rsidRPr="003E4CA1">
        <w:rPr>
          <w:i/>
          <w:lang w:val="en-GB"/>
        </w:rPr>
        <w:t>Lycée technique du Centre</w:t>
      </w:r>
      <w:r>
        <w:rPr>
          <w:lang w:val="en-GB"/>
        </w:rPr>
        <w:t>,</w:t>
      </w:r>
    </w:p>
    <w:p w:rsidR="00440442" w:rsidRPr="00BD2DB2" w:rsidRDefault="003E4CA1" w:rsidP="001E6201">
      <w:pPr>
        <w:pStyle w:val="ListParagraph"/>
        <w:numPr>
          <w:ilvl w:val="0"/>
          <w:numId w:val="1"/>
        </w:numPr>
        <w:jc w:val="both"/>
        <w:rPr>
          <w:lang w:val="en-GB"/>
        </w:rPr>
      </w:pPr>
      <w:r>
        <w:rPr>
          <w:lang w:val="en-GB"/>
        </w:rPr>
        <w:t>classes leading to the</w:t>
      </w:r>
      <w:r w:rsidR="00440442" w:rsidRPr="00BD2DB2">
        <w:rPr>
          <w:lang w:val="en-GB"/>
        </w:rPr>
        <w:t xml:space="preserve"> General Certificate of Secondary </w:t>
      </w:r>
      <w:r>
        <w:rPr>
          <w:lang w:val="en-GB"/>
        </w:rPr>
        <w:t xml:space="preserve">Education (GCSE) and to the A-level examinations offered at the </w:t>
      </w:r>
      <w:r w:rsidR="00440442" w:rsidRPr="003E4CA1">
        <w:rPr>
          <w:i/>
          <w:lang w:val="en-GB"/>
        </w:rPr>
        <w:t>Lycée Michel Lucius</w:t>
      </w:r>
      <w:r>
        <w:rPr>
          <w:lang w:val="en-GB"/>
        </w:rPr>
        <w:t>,</w:t>
      </w:r>
    </w:p>
    <w:p w:rsidR="00440442" w:rsidRPr="00BD2DB2" w:rsidRDefault="003E4CA1" w:rsidP="001E6201">
      <w:pPr>
        <w:pStyle w:val="ListParagraph"/>
        <w:numPr>
          <w:ilvl w:val="0"/>
          <w:numId w:val="1"/>
        </w:numPr>
        <w:jc w:val="both"/>
        <w:rPr>
          <w:lang w:val="en-GB"/>
        </w:rPr>
      </w:pPr>
      <w:r>
        <w:rPr>
          <w:lang w:val="en-GB"/>
        </w:rPr>
        <w:t>the English and French language</w:t>
      </w:r>
      <w:r w:rsidR="00440442" w:rsidRPr="00BD2DB2">
        <w:rPr>
          <w:lang w:val="en-GB"/>
        </w:rPr>
        <w:t xml:space="preserve"> sections </w:t>
      </w:r>
      <w:r>
        <w:rPr>
          <w:lang w:val="en-GB"/>
        </w:rPr>
        <w:t>of the Luxembourg-Kirchberg and</w:t>
      </w:r>
      <w:r w:rsidR="00440442" w:rsidRPr="00BD2DB2">
        <w:rPr>
          <w:lang w:val="en-GB"/>
        </w:rPr>
        <w:t xml:space="preserve"> Mamer</w:t>
      </w:r>
      <w:r>
        <w:rPr>
          <w:lang w:val="en-GB"/>
        </w:rPr>
        <w:t xml:space="preserve"> European Schools, </w:t>
      </w:r>
    </w:p>
    <w:p w:rsidR="00440442" w:rsidRPr="00BD2DB2" w:rsidRDefault="003E4CA1" w:rsidP="001E6201">
      <w:pPr>
        <w:jc w:val="both"/>
        <w:rPr>
          <w:lang w:val="en-GB"/>
        </w:rPr>
      </w:pPr>
      <w:r>
        <w:rPr>
          <w:lang w:val="en-GB"/>
        </w:rPr>
        <w:t>and supplement what is offered at the</w:t>
      </w:r>
      <w:r w:rsidR="00440442" w:rsidRPr="00BD2DB2">
        <w:rPr>
          <w:lang w:val="en-GB"/>
        </w:rPr>
        <w:t xml:space="preserve"> Differdange </w:t>
      </w:r>
      <w:r>
        <w:rPr>
          <w:lang w:val="en-GB"/>
        </w:rPr>
        <w:t xml:space="preserve">International School, whilst also extending it to the south east of the country. </w:t>
      </w:r>
    </w:p>
    <w:p w:rsidR="00440442" w:rsidRPr="00BD2DB2" w:rsidRDefault="00513C26" w:rsidP="001E6201">
      <w:pPr>
        <w:jc w:val="both"/>
        <w:rPr>
          <w:lang w:val="en-GB"/>
        </w:rPr>
      </w:pPr>
      <w:r>
        <w:rPr>
          <w:lang w:val="en-GB"/>
        </w:rPr>
        <w:t>The plan is for the</w:t>
      </w:r>
      <w:r w:rsidRPr="00513C26">
        <w:rPr>
          <w:lang w:val="en-GB"/>
        </w:rPr>
        <w:t xml:space="preserve"> </w:t>
      </w:r>
      <w:r w:rsidRPr="00BD2DB2">
        <w:rPr>
          <w:lang w:val="en-GB"/>
        </w:rPr>
        <w:t>Mondorf-les-Bains</w:t>
      </w:r>
      <w:r>
        <w:rPr>
          <w:lang w:val="en-GB"/>
        </w:rPr>
        <w:t xml:space="preserve"> International School</w:t>
      </w:r>
      <w:r w:rsidRPr="00BD2DB2">
        <w:rPr>
          <w:lang w:val="en-GB"/>
        </w:rPr>
        <w:t xml:space="preserve"> </w:t>
      </w:r>
      <w:r>
        <w:rPr>
          <w:lang w:val="en-GB"/>
        </w:rPr>
        <w:t xml:space="preserve">– Accredited European School to start operating on temporary premises set up on the </w:t>
      </w:r>
      <w:r w:rsidRPr="00513C26">
        <w:rPr>
          <w:i/>
          <w:lang w:val="en-GB"/>
        </w:rPr>
        <w:t>Bei Gremelter</w:t>
      </w:r>
      <w:r>
        <w:rPr>
          <w:lang w:val="en-GB"/>
        </w:rPr>
        <w:t xml:space="preserve"> site, where temporary buildings for the primary and the secondary will be constructed and completed for the beginning of the 2018-2019 school year in September </w:t>
      </w:r>
      <w:r w:rsidR="004857CA" w:rsidRPr="00BD2DB2">
        <w:rPr>
          <w:lang w:val="en-GB"/>
        </w:rPr>
        <w:t>2018</w:t>
      </w:r>
      <w:r>
        <w:rPr>
          <w:lang w:val="en-GB"/>
        </w:rPr>
        <w:t xml:space="preserve">. Work on the permanent buildings is scheduled to be completed by the beginning of the 2021-2022 school year.  </w:t>
      </w:r>
      <w:r w:rsidR="001E6201" w:rsidRPr="00BD2DB2">
        <w:rPr>
          <w:lang w:val="en-GB"/>
        </w:rPr>
        <w:t xml:space="preserve"> </w:t>
      </w:r>
    </w:p>
    <w:p w:rsidR="0086608A" w:rsidRPr="00BD2DB2" w:rsidRDefault="0086608A" w:rsidP="006320A9">
      <w:pPr>
        <w:jc w:val="both"/>
        <w:rPr>
          <w:lang w:val="en-GB"/>
        </w:rPr>
      </w:pPr>
    </w:p>
    <w:p w:rsidR="006326B9" w:rsidRPr="00BD2DB2" w:rsidRDefault="006326B9">
      <w:pPr>
        <w:rPr>
          <w:rFonts w:asciiTheme="majorHAnsi" w:eastAsiaTheme="majorEastAsia" w:hAnsiTheme="majorHAnsi" w:cstheme="majorBidi"/>
          <w:color w:val="2E74B5" w:themeColor="accent1" w:themeShade="BF"/>
          <w:sz w:val="32"/>
          <w:szCs w:val="32"/>
          <w:lang w:val="en-GB"/>
        </w:rPr>
      </w:pPr>
      <w:r w:rsidRPr="00BD2DB2">
        <w:rPr>
          <w:lang w:val="en-GB"/>
        </w:rPr>
        <w:br w:type="page"/>
      </w:r>
    </w:p>
    <w:p w:rsidR="00B421CE" w:rsidRPr="00BD2DB2" w:rsidRDefault="00D31512" w:rsidP="00C252A4">
      <w:pPr>
        <w:pStyle w:val="Heading1"/>
        <w:rPr>
          <w:lang w:val="en-GB"/>
        </w:rPr>
      </w:pPr>
      <w:bookmarkStart w:id="4" w:name="_Toc494880755"/>
      <w:r>
        <w:rPr>
          <w:lang w:val="en-GB"/>
        </w:rPr>
        <w:t>Totals of the</w:t>
      </w:r>
      <w:r w:rsidR="009A6B10" w:rsidRPr="00BD2DB2">
        <w:rPr>
          <w:lang w:val="en-GB"/>
        </w:rPr>
        <w:t xml:space="preserve"> popu</w:t>
      </w:r>
      <w:r>
        <w:rPr>
          <w:lang w:val="en-GB"/>
        </w:rPr>
        <w:t>lation of the European Schools in</w:t>
      </w:r>
      <w:r w:rsidR="009A6B10" w:rsidRPr="00BD2DB2">
        <w:rPr>
          <w:lang w:val="en-GB"/>
        </w:rPr>
        <w:t xml:space="preserve"> </w:t>
      </w:r>
      <w:r>
        <w:rPr>
          <w:lang w:val="en-GB"/>
        </w:rPr>
        <w:t>Luxembourg and of the pupil population in</w:t>
      </w:r>
      <w:r w:rsidR="00C252A4" w:rsidRPr="00BD2DB2">
        <w:rPr>
          <w:lang w:val="en-GB"/>
        </w:rPr>
        <w:t xml:space="preserve"> Luxembourg</w:t>
      </w:r>
      <w:bookmarkEnd w:id="4"/>
      <w:r w:rsidR="00C252A4" w:rsidRPr="00BD2DB2">
        <w:rPr>
          <w:lang w:val="en-GB"/>
        </w:rPr>
        <w:t xml:space="preserve"> </w:t>
      </w:r>
    </w:p>
    <w:p w:rsidR="00830221" w:rsidRPr="00BD2DB2" w:rsidRDefault="00830221" w:rsidP="006320A9">
      <w:pPr>
        <w:jc w:val="both"/>
        <w:rPr>
          <w:lang w:val="en-GB"/>
        </w:rPr>
      </w:pPr>
    </w:p>
    <w:p w:rsidR="00977877" w:rsidRPr="00BD2DB2" w:rsidRDefault="00D31512" w:rsidP="00977877">
      <w:pPr>
        <w:pStyle w:val="Heading2"/>
        <w:rPr>
          <w:lang w:val="en-GB"/>
        </w:rPr>
      </w:pPr>
      <w:bookmarkStart w:id="5" w:name="_Toc494880756"/>
      <w:r>
        <w:rPr>
          <w:lang w:val="en-GB"/>
        </w:rPr>
        <w:t>European schooling in</w:t>
      </w:r>
      <w:r w:rsidR="00977877" w:rsidRPr="00BD2DB2">
        <w:rPr>
          <w:lang w:val="en-GB"/>
        </w:rPr>
        <w:t xml:space="preserve"> Luxembourg</w:t>
      </w:r>
      <w:bookmarkEnd w:id="5"/>
    </w:p>
    <w:tbl>
      <w:tblPr>
        <w:tblStyle w:val="TableGrid"/>
        <w:tblW w:w="5000" w:type="pct"/>
        <w:tblLook w:val="04A0" w:firstRow="1" w:lastRow="0" w:firstColumn="1" w:lastColumn="0" w:noHBand="0" w:noVBand="1"/>
      </w:tblPr>
      <w:tblGrid>
        <w:gridCol w:w="1869"/>
        <w:gridCol w:w="1238"/>
        <w:gridCol w:w="1352"/>
        <w:gridCol w:w="1352"/>
        <w:gridCol w:w="1352"/>
        <w:gridCol w:w="1352"/>
        <w:gridCol w:w="1340"/>
      </w:tblGrid>
      <w:tr w:rsidR="007A13C6" w:rsidRPr="00BD2DB2" w:rsidTr="006326B9">
        <w:tc>
          <w:tcPr>
            <w:tcW w:w="948" w:type="pct"/>
            <w:shd w:val="clear" w:color="auto" w:fill="D9D9D9" w:themeFill="background1" w:themeFillShade="D9"/>
          </w:tcPr>
          <w:p w:rsidR="007A13C6" w:rsidRPr="00BD2DB2" w:rsidRDefault="00D31512">
            <w:pPr>
              <w:rPr>
                <w:b/>
                <w:lang w:val="en-GB"/>
              </w:rPr>
            </w:pPr>
            <w:r>
              <w:rPr>
                <w:b/>
                <w:lang w:val="en-GB"/>
              </w:rPr>
              <w:t>School</w:t>
            </w:r>
          </w:p>
        </w:tc>
        <w:tc>
          <w:tcPr>
            <w:tcW w:w="628" w:type="pct"/>
            <w:shd w:val="clear" w:color="auto" w:fill="D9D9D9" w:themeFill="background1" w:themeFillShade="D9"/>
          </w:tcPr>
          <w:p w:rsidR="007A13C6" w:rsidRPr="00BD2DB2" w:rsidRDefault="007A13C6" w:rsidP="00A14DE0">
            <w:pPr>
              <w:jc w:val="center"/>
              <w:rPr>
                <w:b/>
                <w:lang w:val="en-GB"/>
              </w:rPr>
            </w:pPr>
            <w:r w:rsidRPr="00BD2DB2">
              <w:rPr>
                <w:b/>
                <w:lang w:val="en-GB"/>
              </w:rPr>
              <w:t>Cycle</w:t>
            </w:r>
          </w:p>
        </w:tc>
        <w:tc>
          <w:tcPr>
            <w:tcW w:w="686" w:type="pct"/>
            <w:shd w:val="clear" w:color="auto" w:fill="D9D9D9" w:themeFill="background1" w:themeFillShade="D9"/>
          </w:tcPr>
          <w:p w:rsidR="007A13C6" w:rsidRPr="00BD2DB2" w:rsidRDefault="007A13C6" w:rsidP="00A14DE0">
            <w:pPr>
              <w:jc w:val="center"/>
              <w:rPr>
                <w:b/>
                <w:lang w:val="en-GB"/>
              </w:rPr>
            </w:pPr>
            <w:r w:rsidRPr="00BD2DB2">
              <w:rPr>
                <w:b/>
                <w:lang w:val="en-GB"/>
              </w:rPr>
              <w:t>2012/13</w:t>
            </w:r>
          </w:p>
        </w:tc>
        <w:tc>
          <w:tcPr>
            <w:tcW w:w="686" w:type="pct"/>
            <w:shd w:val="clear" w:color="auto" w:fill="D9D9D9" w:themeFill="background1" w:themeFillShade="D9"/>
          </w:tcPr>
          <w:p w:rsidR="007A13C6" w:rsidRPr="00BD2DB2" w:rsidRDefault="007A13C6" w:rsidP="00A14DE0">
            <w:pPr>
              <w:jc w:val="center"/>
              <w:rPr>
                <w:b/>
                <w:lang w:val="en-GB"/>
              </w:rPr>
            </w:pPr>
            <w:r w:rsidRPr="00BD2DB2">
              <w:rPr>
                <w:b/>
                <w:lang w:val="en-GB"/>
              </w:rPr>
              <w:t>2013</w:t>
            </w:r>
            <w:r w:rsidR="00C252A4" w:rsidRPr="00BD2DB2">
              <w:rPr>
                <w:b/>
                <w:lang w:val="en-GB"/>
              </w:rPr>
              <w:t>/14</w:t>
            </w:r>
          </w:p>
        </w:tc>
        <w:tc>
          <w:tcPr>
            <w:tcW w:w="686" w:type="pct"/>
            <w:shd w:val="clear" w:color="auto" w:fill="D9D9D9" w:themeFill="background1" w:themeFillShade="D9"/>
          </w:tcPr>
          <w:p w:rsidR="007A13C6" w:rsidRPr="00BD2DB2" w:rsidRDefault="007A13C6" w:rsidP="00A14DE0">
            <w:pPr>
              <w:jc w:val="center"/>
              <w:rPr>
                <w:b/>
                <w:lang w:val="en-GB"/>
              </w:rPr>
            </w:pPr>
            <w:r w:rsidRPr="00BD2DB2">
              <w:rPr>
                <w:b/>
                <w:lang w:val="en-GB"/>
              </w:rPr>
              <w:t>2014</w:t>
            </w:r>
            <w:r w:rsidR="00C252A4" w:rsidRPr="00BD2DB2">
              <w:rPr>
                <w:b/>
                <w:lang w:val="en-GB"/>
              </w:rPr>
              <w:t>/15</w:t>
            </w:r>
          </w:p>
        </w:tc>
        <w:tc>
          <w:tcPr>
            <w:tcW w:w="686" w:type="pct"/>
            <w:shd w:val="clear" w:color="auto" w:fill="D9D9D9" w:themeFill="background1" w:themeFillShade="D9"/>
          </w:tcPr>
          <w:p w:rsidR="007A13C6" w:rsidRPr="00BD2DB2" w:rsidRDefault="007A13C6" w:rsidP="00A14DE0">
            <w:pPr>
              <w:jc w:val="center"/>
              <w:rPr>
                <w:b/>
                <w:lang w:val="en-GB"/>
              </w:rPr>
            </w:pPr>
            <w:r w:rsidRPr="00BD2DB2">
              <w:rPr>
                <w:b/>
                <w:lang w:val="en-GB"/>
              </w:rPr>
              <w:t>2015</w:t>
            </w:r>
            <w:r w:rsidR="00C252A4" w:rsidRPr="00BD2DB2">
              <w:rPr>
                <w:b/>
                <w:lang w:val="en-GB"/>
              </w:rPr>
              <w:t>/16</w:t>
            </w:r>
          </w:p>
        </w:tc>
        <w:tc>
          <w:tcPr>
            <w:tcW w:w="680" w:type="pct"/>
            <w:shd w:val="clear" w:color="auto" w:fill="D9D9D9" w:themeFill="background1" w:themeFillShade="D9"/>
          </w:tcPr>
          <w:p w:rsidR="007A13C6" w:rsidRPr="00BD2DB2" w:rsidRDefault="007A13C6" w:rsidP="00A14DE0">
            <w:pPr>
              <w:jc w:val="center"/>
              <w:rPr>
                <w:b/>
                <w:lang w:val="en-GB"/>
              </w:rPr>
            </w:pPr>
            <w:r w:rsidRPr="00BD2DB2">
              <w:rPr>
                <w:b/>
                <w:lang w:val="en-GB"/>
              </w:rPr>
              <w:t>2016</w:t>
            </w:r>
            <w:r w:rsidR="00C252A4" w:rsidRPr="00BD2DB2">
              <w:rPr>
                <w:b/>
                <w:lang w:val="en-GB"/>
              </w:rPr>
              <w:t>/17</w:t>
            </w:r>
          </w:p>
        </w:tc>
      </w:tr>
      <w:tr w:rsidR="006326B9" w:rsidRPr="00BD2DB2" w:rsidTr="006326B9">
        <w:tc>
          <w:tcPr>
            <w:tcW w:w="948" w:type="pct"/>
            <w:vMerge w:val="restart"/>
            <w:shd w:val="clear" w:color="auto" w:fill="D9D9D9" w:themeFill="background1" w:themeFillShade="D9"/>
            <w:vAlign w:val="center"/>
          </w:tcPr>
          <w:p w:rsidR="006326B9" w:rsidRPr="00BD2DB2" w:rsidRDefault="006326B9" w:rsidP="006326B9">
            <w:pPr>
              <w:rPr>
                <w:b/>
                <w:lang w:val="en-GB"/>
              </w:rPr>
            </w:pPr>
            <w:r w:rsidRPr="00BD2DB2">
              <w:rPr>
                <w:b/>
                <w:lang w:val="en-GB"/>
              </w:rPr>
              <w:t>Luxembourg I</w:t>
            </w:r>
          </w:p>
        </w:tc>
        <w:tc>
          <w:tcPr>
            <w:tcW w:w="628" w:type="pct"/>
            <w:shd w:val="clear" w:color="auto" w:fill="D9D9D9" w:themeFill="background1" w:themeFillShade="D9"/>
          </w:tcPr>
          <w:p w:rsidR="006326B9" w:rsidRPr="00BD2DB2" w:rsidRDefault="00D31512" w:rsidP="00A14DE0">
            <w:pPr>
              <w:jc w:val="center"/>
              <w:rPr>
                <w:lang w:val="en-GB"/>
              </w:rPr>
            </w:pPr>
            <w:r>
              <w:rPr>
                <w:lang w:val="en-GB"/>
              </w:rPr>
              <w:t>Nursery</w:t>
            </w:r>
          </w:p>
        </w:tc>
        <w:tc>
          <w:tcPr>
            <w:tcW w:w="686" w:type="pct"/>
          </w:tcPr>
          <w:p w:rsidR="006326B9" w:rsidRPr="00BD2DB2" w:rsidRDefault="006326B9" w:rsidP="00A14DE0">
            <w:pPr>
              <w:jc w:val="center"/>
              <w:rPr>
                <w:lang w:val="en-GB"/>
              </w:rPr>
            </w:pPr>
            <w:r w:rsidRPr="00BD2DB2">
              <w:rPr>
                <w:lang w:val="en-GB"/>
              </w:rPr>
              <w:t>413</w:t>
            </w:r>
          </w:p>
        </w:tc>
        <w:tc>
          <w:tcPr>
            <w:tcW w:w="686" w:type="pct"/>
          </w:tcPr>
          <w:p w:rsidR="006326B9" w:rsidRPr="00BD2DB2" w:rsidRDefault="006326B9" w:rsidP="00A14DE0">
            <w:pPr>
              <w:jc w:val="center"/>
              <w:rPr>
                <w:lang w:val="en-GB"/>
              </w:rPr>
            </w:pPr>
            <w:r w:rsidRPr="00BD2DB2">
              <w:rPr>
                <w:lang w:val="en-GB"/>
              </w:rPr>
              <w:t>382</w:t>
            </w:r>
          </w:p>
        </w:tc>
        <w:tc>
          <w:tcPr>
            <w:tcW w:w="686" w:type="pct"/>
          </w:tcPr>
          <w:p w:rsidR="006326B9" w:rsidRPr="00BD2DB2" w:rsidRDefault="006326B9" w:rsidP="00A14DE0">
            <w:pPr>
              <w:jc w:val="center"/>
              <w:rPr>
                <w:lang w:val="en-GB"/>
              </w:rPr>
            </w:pPr>
            <w:r w:rsidRPr="00BD2DB2">
              <w:rPr>
                <w:lang w:val="en-GB"/>
              </w:rPr>
              <w:t>448</w:t>
            </w:r>
          </w:p>
        </w:tc>
        <w:tc>
          <w:tcPr>
            <w:tcW w:w="686" w:type="pct"/>
          </w:tcPr>
          <w:p w:rsidR="006326B9" w:rsidRPr="00BD2DB2" w:rsidRDefault="006326B9" w:rsidP="00A14DE0">
            <w:pPr>
              <w:jc w:val="center"/>
              <w:rPr>
                <w:lang w:val="en-GB"/>
              </w:rPr>
            </w:pPr>
            <w:r w:rsidRPr="00BD2DB2">
              <w:rPr>
                <w:lang w:val="en-GB"/>
              </w:rPr>
              <w:t>461</w:t>
            </w:r>
          </w:p>
        </w:tc>
        <w:tc>
          <w:tcPr>
            <w:tcW w:w="680" w:type="pct"/>
          </w:tcPr>
          <w:p w:rsidR="006326B9" w:rsidRPr="00BD2DB2" w:rsidRDefault="006326B9" w:rsidP="00A14DE0">
            <w:pPr>
              <w:jc w:val="center"/>
              <w:rPr>
                <w:lang w:val="en-GB"/>
              </w:rPr>
            </w:pPr>
            <w:r w:rsidRPr="00BD2DB2">
              <w:rPr>
                <w:lang w:val="en-GB"/>
              </w:rPr>
              <w:t>444</w:t>
            </w:r>
          </w:p>
        </w:tc>
      </w:tr>
      <w:tr w:rsidR="006326B9" w:rsidRPr="00BD2DB2" w:rsidTr="006326B9">
        <w:tc>
          <w:tcPr>
            <w:tcW w:w="948" w:type="pct"/>
            <w:vMerge/>
            <w:shd w:val="clear" w:color="auto" w:fill="D9D9D9" w:themeFill="background1" w:themeFillShade="D9"/>
          </w:tcPr>
          <w:p w:rsidR="006326B9" w:rsidRPr="00BD2DB2" w:rsidRDefault="006326B9">
            <w:pPr>
              <w:rPr>
                <w:b/>
                <w:lang w:val="en-GB"/>
              </w:rPr>
            </w:pPr>
          </w:p>
        </w:tc>
        <w:tc>
          <w:tcPr>
            <w:tcW w:w="628" w:type="pct"/>
            <w:shd w:val="clear" w:color="auto" w:fill="D9D9D9" w:themeFill="background1" w:themeFillShade="D9"/>
          </w:tcPr>
          <w:p w:rsidR="006326B9" w:rsidRPr="00BD2DB2" w:rsidRDefault="006326B9" w:rsidP="00A14DE0">
            <w:pPr>
              <w:jc w:val="center"/>
              <w:rPr>
                <w:lang w:val="en-GB"/>
              </w:rPr>
            </w:pPr>
            <w:r w:rsidRPr="00BD2DB2">
              <w:rPr>
                <w:lang w:val="en-GB"/>
              </w:rPr>
              <w:t>Pri</w:t>
            </w:r>
            <w:r w:rsidR="00D31512">
              <w:rPr>
                <w:lang w:val="en-GB"/>
              </w:rPr>
              <w:t>mary</w:t>
            </w:r>
          </w:p>
        </w:tc>
        <w:tc>
          <w:tcPr>
            <w:tcW w:w="686" w:type="pct"/>
          </w:tcPr>
          <w:p w:rsidR="006326B9" w:rsidRPr="00BD2DB2" w:rsidRDefault="006326B9" w:rsidP="00A14DE0">
            <w:pPr>
              <w:jc w:val="center"/>
              <w:rPr>
                <w:lang w:val="en-GB"/>
              </w:rPr>
            </w:pPr>
            <w:r w:rsidRPr="00BD2DB2">
              <w:rPr>
                <w:lang w:val="en-GB"/>
              </w:rPr>
              <w:t>949</w:t>
            </w:r>
          </w:p>
        </w:tc>
        <w:tc>
          <w:tcPr>
            <w:tcW w:w="686" w:type="pct"/>
          </w:tcPr>
          <w:p w:rsidR="006326B9" w:rsidRPr="00BD2DB2" w:rsidRDefault="006326B9" w:rsidP="00A14DE0">
            <w:pPr>
              <w:jc w:val="center"/>
              <w:rPr>
                <w:lang w:val="en-GB"/>
              </w:rPr>
            </w:pPr>
            <w:r w:rsidRPr="00BD2DB2">
              <w:rPr>
                <w:lang w:val="en-GB"/>
              </w:rPr>
              <w:t>1042</w:t>
            </w:r>
          </w:p>
        </w:tc>
        <w:tc>
          <w:tcPr>
            <w:tcW w:w="686" w:type="pct"/>
          </w:tcPr>
          <w:p w:rsidR="006326B9" w:rsidRPr="00BD2DB2" w:rsidRDefault="006326B9" w:rsidP="00A14DE0">
            <w:pPr>
              <w:jc w:val="center"/>
              <w:rPr>
                <w:lang w:val="en-GB"/>
              </w:rPr>
            </w:pPr>
            <w:r w:rsidRPr="00BD2DB2">
              <w:rPr>
                <w:lang w:val="en-GB"/>
              </w:rPr>
              <w:t>1138</w:t>
            </w:r>
          </w:p>
        </w:tc>
        <w:tc>
          <w:tcPr>
            <w:tcW w:w="686" w:type="pct"/>
          </w:tcPr>
          <w:p w:rsidR="006326B9" w:rsidRPr="00BD2DB2" w:rsidRDefault="006326B9" w:rsidP="00A14DE0">
            <w:pPr>
              <w:jc w:val="center"/>
              <w:rPr>
                <w:lang w:val="en-GB"/>
              </w:rPr>
            </w:pPr>
            <w:r w:rsidRPr="00BD2DB2">
              <w:rPr>
                <w:lang w:val="en-GB"/>
              </w:rPr>
              <w:t>1226</w:t>
            </w:r>
          </w:p>
        </w:tc>
        <w:tc>
          <w:tcPr>
            <w:tcW w:w="680" w:type="pct"/>
          </w:tcPr>
          <w:p w:rsidR="006326B9" w:rsidRPr="00BD2DB2" w:rsidRDefault="006326B9" w:rsidP="00A14DE0">
            <w:pPr>
              <w:jc w:val="center"/>
              <w:rPr>
                <w:lang w:val="en-GB"/>
              </w:rPr>
            </w:pPr>
            <w:r w:rsidRPr="00BD2DB2">
              <w:rPr>
                <w:lang w:val="en-GB"/>
              </w:rPr>
              <w:t>1320</w:t>
            </w:r>
          </w:p>
        </w:tc>
      </w:tr>
      <w:tr w:rsidR="006326B9" w:rsidRPr="00BD2DB2" w:rsidTr="006326B9">
        <w:tc>
          <w:tcPr>
            <w:tcW w:w="948" w:type="pct"/>
            <w:vMerge/>
            <w:shd w:val="clear" w:color="auto" w:fill="D9D9D9" w:themeFill="background1" w:themeFillShade="D9"/>
          </w:tcPr>
          <w:p w:rsidR="006326B9" w:rsidRPr="00BD2DB2" w:rsidRDefault="006326B9">
            <w:pPr>
              <w:rPr>
                <w:b/>
                <w:lang w:val="en-GB"/>
              </w:rPr>
            </w:pPr>
          </w:p>
        </w:tc>
        <w:tc>
          <w:tcPr>
            <w:tcW w:w="628" w:type="pct"/>
            <w:shd w:val="clear" w:color="auto" w:fill="D9D9D9" w:themeFill="background1" w:themeFillShade="D9"/>
          </w:tcPr>
          <w:p w:rsidR="006326B9" w:rsidRPr="00BD2DB2" w:rsidRDefault="006326B9" w:rsidP="00A14DE0">
            <w:pPr>
              <w:jc w:val="center"/>
              <w:rPr>
                <w:lang w:val="en-GB"/>
              </w:rPr>
            </w:pPr>
            <w:r w:rsidRPr="00BD2DB2">
              <w:rPr>
                <w:lang w:val="en-GB"/>
              </w:rPr>
              <w:t>Seconda</w:t>
            </w:r>
            <w:r w:rsidR="00D31512">
              <w:rPr>
                <w:lang w:val="en-GB"/>
              </w:rPr>
              <w:t>ry</w:t>
            </w:r>
          </w:p>
        </w:tc>
        <w:tc>
          <w:tcPr>
            <w:tcW w:w="686" w:type="pct"/>
          </w:tcPr>
          <w:p w:rsidR="006326B9" w:rsidRPr="00BD2DB2" w:rsidRDefault="006326B9" w:rsidP="00A14DE0">
            <w:pPr>
              <w:jc w:val="center"/>
              <w:rPr>
                <w:lang w:val="en-GB"/>
              </w:rPr>
            </w:pPr>
            <w:r w:rsidRPr="00BD2DB2">
              <w:rPr>
                <w:lang w:val="en-GB"/>
              </w:rPr>
              <w:t>1353</w:t>
            </w:r>
          </w:p>
        </w:tc>
        <w:tc>
          <w:tcPr>
            <w:tcW w:w="686" w:type="pct"/>
          </w:tcPr>
          <w:p w:rsidR="006326B9" w:rsidRPr="00BD2DB2" w:rsidRDefault="006326B9" w:rsidP="00A14DE0">
            <w:pPr>
              <w:jc w:val="center"/>
              <w:rPr>
                <w:lang w:val="en-GB"/>
              </w:rPr>
            </w:pPr>
            <w:r w:rsidRPr="00BD2DB2">
              <w:rPr>
                <w:lang w:val="en-GB"/>
              </w:rPr>
              <w:t>1362</w:t>
            </w:r>
          </w:p>
        </w:tc>
        <w:tc>
          <w:tcPr>
            <w:tcW w:w="686" w:type="pct"/>
          </w:tcPr>
          <w:p w:rsidR="006326B9" w:rsidRPr="00BD2DB2" w:rsidRDefault="006326B9" w:rsidP="00A14DE0">
            <w:pPr>
              <w:jc w:val="center"/>
              <w:rPr>
                <w:lang w:val="en-GB"/>
              </w:rPr>
            </w:pPr>
            <w:r w:rsidRPr="00BD2DB2">
              <w:rPr>
                <w:lang w:val="en-GB"/>
              </w:rPr>
              <w:t>1386</w:t>
            </w:r>
          </w:p>
        </w:tc>
        <w:tc>
          <w:tcPr>
            <w:tcW w:w="686" w:type="pct"/>
          </w:tcPr>
          <w:p w:rsidR="006326B9" w:rsidRPr="00BD2DB2" w:rsidRDefault="006326B9" w:rsidP="00A14DE0">
            <w:pPr>
              <w:jc w:val="center"/>
              <w:rPr>
                <w:lang w:val="en-GB"/>
              </w:rPr>
            </w:pPr>
            <w:r w:rsidRPr="00BD2DB2">
              <w:rPr>
                <w:lang w:val="en-GB"/>
              </w:rPr>
              <w:t>1394</w:t>
            </w:r>
          </w:p>
        </w:tc>
        <w:tc>
          <w:tcPr>
            <w:tcW w:w="680" w:type="pct"/>
          </w:tcPr>
          <w:p w:rsidR="006326B9" w:rsidRPr="00BD2DB2" w:rsidRDefault="006326B9" w:rsidP="00A14DE0">
            <w:pPr>
              <w:jc w:val="center"/>
              <w:rPr>
                <w:lang w:val="en-GB"/>
              </w:rPr>
            </w:pPr>
            <w:r w:rsidRPr="00BD2DB2">
              <w:rPr>
                <w:lang w:val="en-GB"/>
              </w:rPr>
              <w:t>1496</w:t>
            </w:r>
          </w:p>
        </w:tc>
      </w:tr>
      <w:tr w:rsidR="006326B9" w:rsidRPr="00BD2DB2" w:rsidTr="006326B9">
        <w:tc>
          <w:tcPr>
            <w:tcW w:w="1576" w:type="pct"/>
            <w:gridSpan w:val="2"/>
            <w:shd w:val="clear" w:color="auto" w:fill="D9D9D9" w:themeFill="background1" w:themeFillShade="D9"/>
            <w:vAlign w:val="center"/>
          </w:tcPr>
          <w:p w:rsidR="006326B9" w:rsidRPr="00BD2DB2" w:rsidRDefault="006326B9" w:rsidP="00A14DE0">
            <w:pPr>
              <w:jc w:val="center"/>
              <w:rPr>
                <w:b/>
                <w:lang w:val="en-GB"/>
              </w:rPr>
            </w:pPr>
            <w:r w:rsidRPr="00BD2DB2">
              <w:rPr>
                <w:b/>
                <w:lang w:val="en-GB"/>
              </w:rPr>
              <w:t>Total Luxbg I</w:t>
            </w:r>
          </w:p>
        </w:tc>
        <w:tc>
          <w:tcPr>
            <w:tcW w:w="686" w:type="pct"/>
          </w:tcPr>
          <w:p w:rsidR="006326B9" w:rsidRPr="00BD2DB2" w:rsidRDefault="006326B9" w:rsidP="00A14DE0">
            <w:pPr>
              <w:jc w:val="center"/>
              <w:rPr>
                <w:b/>
                <w:lang w:val="en-GB"/>
              </w:rPr>
            </w:pPr>
            <w:r w:rsidRPr="00BD2DB2">
              <w:rPr>
                <w:b/>
                <w:lang w:val="en-GB"/>
              </w:rPr>
              <w:t>2715</w:t>
            </w:r>
          </w:p>
          <w:p w:rsidR="006326B9" w:rsidRPr="00BD2DB2" w:rsidRDefault="00D31512" w:rsidP="00A14DE0">
            <w:pPr>
              <w:jc w:val="center"/>
              <w:rPr>
                <w:b/>
                <w:lang w:val="en-GB"/>
              </w:rPr>
            </w:pPr>
            <w:r>
              <w:rPr>
                <w:b/>
                <w:lang w:val="en-GB"/>
              </w:rPr>
              <w:t>-24.</w:t>
            </w:r>
            <w:r w:rsidR="006326B9" w:rsidRPr="00BD2DB2">
              <w:rPr>
                <w:b/>
                <w:lang w:val="en-GB"/>
              </w:rPr>
              <w:t>14%</w:t>
            </w:r>
          </w:p>
        </w:tc>
        <w:tc>
          <w:tcPr>
            <w:tcW w:w="686" w:type="pct"/>
          </w:tcPr>
          <w:p w:rsidR="006326B9" w:rsidRPr="00BD2DB2" w:rsidRDefault="006326B9" w:rsidP="00A14DE0">
            <w:pPr>
              <w:jc w:val="center"/>
              <w:rPr>
                <w:b/>
                <w:lang w:val="en-GB"/>
              </w:rPr>
            </w:pPr>
            <w:r w:rsidRPr="00BD2DB2">
              <w:rPr>
                <w:b/>
                <w:lang w:val="en-GB"/>
              </w:rPr>
              <w:t>2786</w:t>
            </w:r>
          </w:p>
          <w:p w:rsidR="006326B9" w:rsidRPr="00BD2DB2" w:rsidRDefault="006326B9" w:rsidP="00A14DE0">
            <w:pPr>
              <w:jc w:val="center"/>
              <w:rPr>
                <w:b/>
                <w:lang w:val="en-GB"/>
              </w:rPr>
            </w:pPr>
            <w:r w:rsidRPr="00BD2DB2">
              <w:rPr>
                <w:b/>
                <w:lang w:val="en-GB"/>
              </w:rPr>
              <w:t>+2</w:t>
            </w:r>
            <w:r w:rsidR="00D31512">
              <w:rPr>
                <w:b/>
                <w:lang w:val="en-GB"/>
              </w:rPr>
              <w:t>.</w:t>
            </w:r>
            <w:r w:rsidRPr="00BD2DB2">
              <w:rPr>
                <w:b/>
                <w:lang w:val="en-GB"/>
              </w:rPr>
              <w:t>6%</w:t>
            </w:r>
          </w:p>
        </w:tc>
        <w:tc>
          <w:tcPr>
            <w:tcW w:w="686" w:type="pct"/>
          </w:tcPr>
          <w:p w:rsidR="006326B9" w:rsidRPr="00BD2DB2" w:rsidRDefault="006326B9" w:rsidP="00A14DE0">
            <w:pPr>
              <w:jc w:val="center"/>
              <w:rPr>
                <w:b/>
                <w:lang w:val="en-GB"/>
              </w:rPr>
            </w:pPr>
            <w:r w:rsidRPr="00BD2DB2">
              <w:rPr>
                <w:b/>
                <w:lang w:val="en-GB"/>
              </w:rPr>
              <w:t>2972</w:t>
            </w:r>
          </w:p>
          <w:p w:rsidR="006326B9" w:rsidRPr="00BD2DB2" w:rsidRDefault="006326B9" w:rsidP="00A14DE0">
            <w:pPr>
              <w:jc w:val="center"/>
              <w:rPr>
                <w:b/>
                <w:lang w:val="en-GB"/>
              </w:rPr>
            </w:pPr>
            <w:r w:rsidRPr="00BD2DB2">
              <w:rPr>
                <w:b/>
                <w:lang w:val="en-GB"/>
              </w:rPr>
              <w:t>+6</w:t>
            </w:r>
            <w:r w:rsidR="00D31512">
              <w:rPr>
                <w:b/>
                <w:lang w:val="en-GB"/>
              </w:rPr>
              <w:t>.</w:t>
            </w:r>
            <w:r w:rsidRPr="00BD2DB2">
              <w:rPr>
                <w:b/>
                <w:lang w:val="en-GB"/>
              </w:rPr>
              <w:t>7%</w:t>
            </w:r>
          </w:p>
        </w:tc>
        <w:tc>
          <w:tcPr>
            <w:tcW w:w="686" w:type="pct"/>
          </w:tcPr>
          <w:p w:rsidR="006326B9" w:rsidRPr="00BD2DB2" w:rsidRDefault="006326B9" w:rsidP="00A14DE0">
            <w:pPr>
              <w:jc w:val="center"/>
              <w:rPr>
                <w:b/>
                <w:lang w:val="en-GB"/>
              </w:rPr>
            </w:pPr>
            <w:r w:rsidRPr="00BD2DB2">
              <w:rPr>
                <w:b/>
                <w:lang w:val="en-GB"/>
              </w:rPr>
              <w:t>3081</w:t>
            </w:r>
          </w:p>
          <w:p w:rsidR="006326B9" w:rsidRPr="00BD2DB2" w:rsidRDefault="006326B9" w:rsidP="00A14DE0">
            <w:pPr>
              <w:jc w:val="center"/>
              <w:rPr>
                <w:b/>
                <w:lang w:val="en-GB"/>
              </w:rPr>
            </w:pPr>
            <w:r w:rsidRPr="00BD2DB2">
              <w:rPr>
                <w:b/>
                <w:lang w:val="en-GB"/>
              </w:rPr>
              <w:t>+3</w:t>
            </w:r>
            <w:r w:rsidR="00D31512">
              <w:rPr>
                <w:b/>
                <w:lang w:val="en-GB"/>
              </w:rPr>
              <w:t>.</w:t>
            </w:r>
            <w:r w:rsidRPr="00BD2DB2">
              <w:rPr>
                <w:b/>
                <w:lang w:val="en-GB"/>
              </w:rPr>
              <w:t>7%</w:t>
            </w:r>
          </w:p>
        </w:tc>
        <w:tc>
          <w:tcPr>
            <w:tcW w:w="680" w:type="pct"/>
          </w:tcPr>
          <w:p w:rsidR="006326B9" w:rsidRPr="00BD2DB2" w:rsidRDefault="006326B9" w:rsidP="00A14DE0">
            <w:pPr>
              <w:jc w:val="center"/>
              <w:rPr>
                <w:b/>
                <w:lang w:val="en-GB"/>
              </w:rPr>
            </w:pPr>
            <w:r w:rsidRPr="00BD2DB2">
              <w:rPr>
                <w:b/>
                <w:lang w:val="en-GB"/>
              </w:rPr>
              <w:t>3260</w:t>
            </w:r>
          </w:p>
          <w:p w:rsidR="006326B9" w:rsidRPr="00BD2DB2" w:rsidRDefault="006326B9" w:rsidP="00A14DE0">
            <w:pPr>
              <w:jc w:val="center"/>
              <w:rPr>
                <w:b/>
                <w:lang w:val="en-GB"/>
              </w:rPr>
            </w:pPr>
            <w:r w:rsidRPr="00BD2DB2">
              <w:rPr>
                <w:b/>
                <w:lang w:val="en-GB"/>
              </w:rPr>
              <w:t>+5</w:t>
            </w:r>
            <w:r w:rsidR="00D31512">
              <w:rPr>
                <w:b/>
                <w:lang w:val="en-GB"/>
              </w:rPr>
              <w:t>.</w:t>
            </w:r>
            <w:r w:rsidRPr="00BD2DB2">
              <w:rPr>
                <w:b/>
                <w:lang w:val="en-GB"/>
              </w:rPr>
              <w:t>8</w:t>
            </w:r>
            <w:r w:rsidR="00C67A58">
              <w:rPr>
                <w:b/>
                <w:lang w:val="en-GB"/>
              </w:rPr>
              <w:t>%</w:t>
            </w:r>
          </w:p>
        </w:tc>
      </w:tr>
      <w:tr w:rsidR="00D31512" w:rsidRPr="00BD2DB2" w:rsidTr="006326B9">
        <w:tc>
          <w:tcPr>
            <w:tcW w:w="948" w:type="pct"/>
            <w:vMerge w:val="restart"/>
            <w:shd w:val="clear" w:color="auto" w:fill="D9D9D9" w:themeFill="background1" w:themeFillShade="D9"/>
            <w:vAlign w:val="center"/>
          </w:tcPr>
          <w:p w:rsidR="00D31512" w:rsidRPr="00BD2DB2" w:rsidRDefault="00D31512" w:rsidP="006326B9">
            <w:pPr>
              <w:rPr>
                <w:b/>
                <w:lang w:val="en-GB"/>
              </w:rPr>
            </w:pPr>
            <w:r w:rsidRPr="00BD2DB2">
              <w:rPr>
                <w:b/>
                <w:lang w:val="en-GB"/>
              </w:rPr>
              <w:t>Luxembourg II</w:t>
            </w:r>
          </w:p>
        </w:tc>
        <w:tc>
          <w:tcPr>
            <w:tcW w:w="628" w:type="pct"/>
            <w:shd w:val="clear" w:color="auto" w:fill="D9D9D9" w:themeFill="background1" w:themeFillShade="D9"/>
          </w:tcPr>
          <w:p w:rsidR="00D31512" w:rsidRPr="00BD2DB2" w:rsidRDefault="00D31512" w:rsidP="007D0F32">
            <w:pPr>
              <w:jc w:val="center"/>
              <w:rPr>
                <w:lang w:val="en-GB"/>
              </w:rPr>
            </w:pPr>
            <w:r>
              <w:rPr>
                <w:lang w:val="en-GB"/>
              </w:rPr>
              <w:t>Nursery</w:t>
            </w:r>
          </w:p>
        </w:tc>
        <w:tc>
          <w:tcPr>
            <w:tcW w:w="686" w:type="pct"/>
          </w:tcPr>
          <w:p w:rsidR="00D31512" w:rsidRPr="00BD2DB2" w:rsidRDefault="00D31512" w:rsidP="00A14DE0">
            <w:pPr>
              <w:jc w:val="center"/>
              <w:rPr>
                <w:lang w:val="en-GB"/>
              </w:rPr>
            </w:pPr>
            <w:r w:rsidRPr="00BD2DB2">
              <w:rPr>
                <w:lang w:val="en-GB"/>
              </w:rPr>
              <w:t>238</w:t>
            </w:r>
          </w:p>
        </w:tc>
        <w:tc>
          <w:tcPr>
            <w:tcW w:w="686" w:type="pct"/>
          </w:tcPr>
          <w:p w:rsidR="00D31512" w:rsidRPr="00BD2DB2" w:rsidRDefault="00D31512" w:rsidP="00A14DE0">
            <w:pPr>
              <w:jc w:val="center"/>
              <w:rPr>
                <w:lang w:val="en-GB"/>
              </w:rPr>
            </w:pPr>
            <w:r w:rsidRPr="00BD2DB2">
              <w:rPr>
                <w:lang w:val="en-GB"/>
              </w:rPr>
              <w:t>270</w:t>
            </w:r>
          </w:p>
        </w:tc>
        <w:tc>
          <w:tcPr>
            <w:tcW w:w="686" w:type="pct"/>
          </w:tcPr>
          <w:p w:rsidR="00D31512" w:rsidRPr="00BD2DB2" w:rsidRDefault="00D31512" w:rsidP="00A14DE0">
            <w:pPr>
              <w:jc w:val="center"/>
              <w:rPr>
                <w:lang w:val="en-GB"/>
              </w:rPr>
            </w:pPr>
            <w:r w:rsidRPr="00BD2DB2">
              <w:rPr>
                <w:lang w:val="en-GB"/>
              </w:rPr>
              <w:t>299</w:t>
            </w:r>
          </w:p>
        </w:tc>
        <w:tc>
          <w:tcPr>
            <w:tcW w:w="686" w:type="pct"/>
          </w:tcPr>
          <w:p w:rsidR="00D31512" w:rsidRPr="00BD2DB2" w:rsidRDefault="00D31512" w:rsidP="00A14DE0">
            <w:pPr>
              <w:jc w:val="center"/>
              <w:rPr>
                <w:lang w:val="en-GB"/>
              </w:rPr>
            </w:pPr>
            <w:r w:rsidRPr="00BD2DB2">
              <w:rPr>
                <w:lang w:val="en-GB"/>
              </w:rPr>
              <w:t>307</w:t>
            </w:r>
          </w:p>
        </w:tc>
        <w:tc>
          <w:tcPr>
            <w:tcW w:w="680" w:type="pct"/>
          </w:tcPr>
          <w:p w:rsidR="00D31512" w:rsidRPr="00BD2DB2" w:rsidRDefault="00D31512" w:rsidP="00A14DE0">
            <w:pPr>
              <w:jc w:val="center"/>
              <w:rPr>
                <w:lang w:val="en-GB"/>
              </w:rPr>
            </w:pPr>
            <w:r w:rsidRPr="00BD2DB2">
              <w:rPr>
                <w:lang w:val="en-GB"/>
              </w:rPr>
              <w:t>299</w:t>
            </w:r>
          </w:p>
        </w:tc>
      </w:tr>
      <w:tr w:rsidR="00D31512" w:rsidRPr="00BD2DB2" w:rsidTr="006326B9">
        <w:tc>
          <w:tcPr>
            <w:tcW w:w="948" w:type="pct"/>
            <w:vMerge/>
            <w:shd w:val="clear" w:color="auto" w:fill="D9D9D9" w:themeFill="background1" w:themeFillShade="D9"/>
          </w:tcPr>
          <w:p w:rsidR="00D31512" w:rsidRPr="00BD2DB2" w:rsidRDefault="00D31512" w:rsidP="001B64F3">
            <w:pPr>
              <w:rPr>
                <w:b/>
                <w:lang w:val="en-GB"/>
              </w:rPr>
            </w:pPr>
          </w:p>
        </w:tc>
        <w:tc>
          <w:tcPr>
            <w:tcW w:w="628" w:type="pct"/>
            <w:shd w:val="clear" w:color="auto" w:fill="D9D9D9" w:themeFill="background1" w:themeFillShade="D9"/>
          </w:tcPr>
          <w:p w:rsidR="00D31512" w:rsidRPr="00BD2DB2" w:rsidRDefault="00D31512" w:rsidP="007D0F32">
            <w:pPr>
              <w:jc w:val="center"/>
              <w:rPr>
                <w:lang w:val="en-GB"/>
              </w:rPr>
            </w:pPr>
            <w:r w:rsidRPr="00BD2DB2">
              <w:rPr>
                <w:lang w:val="en-GB"/>
              </w:rPr>
              <w:t>Pri</w:t>
            </w:r>
            <w:r>
              <w:rPr>
                <w:lang w:val="en-GB"/>
              </w:rPr>
              <w:t>mary</w:t>
            </w:r>
          </w:p>
        </w:tc>
        <w:tc>
          <w:tcPr>
            <w:tcW w:w="686" w:type="pct"/>
          </w:tcPr>
          <w:p w:rsidR="00D31512" w:rsidRPr="00BD2DB2" w:rsidRDefault="00D31512" w:rsidP="00A14DE0">
            <w:pPr>
              <w:jc w:val="center"/>
              <w:rPr>
                <w:lang w:val="en-GB"/>
              </w:rPr>
            </w:pPr>
            <w:r w:rsidRPr="00BD2DB2">
              <w:rPr>
                <w:lang w:val="en-GB"/>
              </w:rPr>
              <w:t>708</w:t>
            </w:r>
          </w:p>
        </w:tc>
        <w:tc>
          <w:tcPr>
            <w:tcW w:w="686" w:type="pct"/>
          </w:tcPr>
          <w:p w:rsidR="00D31512" w:rsidRPr="00BD2DB2" w:rsidRDefault="00D31512" w:rsidP="00A14DE0">
            <w:pPr>
              <w:jc w:val="center"/>
              <w:rPr>
                <w:lang w:val="en-GB"/>
              </w:rPr>
            </w:pPr>
            <w:r w:rsidRPr="00BD2DB2">
              <w:rPr>
                <w:lang w:val="en-GB"/>
              </w:rPr>
              <w:t>773</w:t>
            </w:r>
          </w:p>
        </w:tc>
        <w:tc>
          <w:tcPr>
            <w:tcW w:w="686" w:type="pct"/>
          </w:tcPr>
          <w:p w:rsidR="00D31512" w:rsidRPr="00BD2DB2" w:rsidRDefault="00D31512" w:rsidP="00A14DE0">
            <w:pPr>
              <w:jc w:val="center"/>
              <w:rPr>
                <w:lang w:val="en-GB"/>
              </w:rPr>
            </w:pPr>
            <w:r w:rsidRPr="00BD2DB2">
              <w:rPr>
                <w:lang w:val="en-GB"/>
              </w:rPr>
              <w:t>842</w:t>
            </w:r>
          </w:p>
        </w:tc>
        <w:tc>
          <w:tcPr>
            <w:tcW w:w="686" w:type="pct"/>
          </w:tcPr>
          <w:p w:rsidR="00D31512" w:rsidRPr="00BD2DB2" w:rsidRDefault="00D31512" w:rsidP="00A14DE0">
            <w:pPr>
              <w:jc w:val="center"/>
              <w:rPr>
                <w:lang w:val="en-GB"/>
              </w:rPr>
            </w:pPr>
            <w:r w:rsidRPr="00BD2DB2">
              <w:rPr>
                <w:lang w:val="en-GB"/>
              </w:rPr>
              <w:t>916</w:t>
            </w:r>
          </w:p>
        </w:tc>
        <w:tc>
          <w:tcPr>
            <w:tcW w:w="680" w:type="pct"/>
          </w:tcPr>
          <w:p w:rsidR="00D31512" w:rsidRPr="00BD2DB2" w:rsidRDefault="00D31512" w:rsidP="00A14DE0">
            <w:pPr>
              <w:jc w:val="center"/>
              <w:rPr>
                <w:lang w:val="en-GB"/>
              </w:rPr>
            </w:pPr>
            <w:r w:rsidRPr="00BD2DB2">
              <w:rPr>
                <w:lang w:val="en-GB"/>
              </w:rPr>
              <w:t>1023</w:t>
            </w:r>
          </w:p>
        </w:tc>
      </w:tr>
      <w:tr w:rsidR="00D31512" w:rsidRPr="00BD2DB2" w:rsidTr="006326B9">
        <w:tc>
          <w:tcPr>
            <w:tcW w:w="948" w:type="pct"/>
            <w:vMerge/>
            <w:shd w:val="clear" w:color="auto" w:fill="D9D9D9" w:themeFill="background1" w:themeFillShade="D9"/>
          </w:tcPr>
          <w:p w:rsidR="00D31512" w:rsidRPr="00BD2DB2" w:rsidRDefault="00D31512" w:rsidP="001B64F3">
            <w:pPr>
              <w:rPr>
                <w:b/>
                <w:lang w:val="en-GB"/>
              </w:rPr>
            </w:pPr>
          </w:p>
        </w:tc>
        <w:tc>
          <w:tcPr>
            <w:tcW w:w="628" w:type="pct"/>
            <w:shd w:val="clear" w:color="auto" w:fill="D9D9D9" w:themeFill="background1" w:themeFillShade="D9"/>
          </w:tcPr>
          <w:p w:rsidR="00D31512" w:rsidRPr="00BD2DB2" w:rsidRDefault="00D31512" w:rsidP="007D0F32">
            <w:pPr>
              <w:jc w:val="center"/>
              <w:rPr>
                <w:lang w:val="en-GB"/>
              </w:rPr>
            </w:pPr>
            <w:r w:rsidRPr="00BD2DB2">
              <w:rPr>
                <w:lang w:val="en-GB"/>
              </w:rPr>
              <w:t>Seconda</w:t>
            </w:r>
            <w:r>
              <w:rPr>
                <w:lang w:val="en-GB"/>
              </w:rPr>
              <w:t>ry</w:t>
            </w:r>
          </w:p>
        </w:tc>
        <w:tc>
          <w:tcPr>
            <w:tcW w:w="686" w:type="pct"/>
          </w:tcPr>
          <w:p w:rsidR="00D31512" w:rsidRPr="00BD2DB2" w:rsidRDefault="00D31512" w:rsidP="00A14DE0">
            <w:pPr>
              <w:jc w:val="center"/>
              <w:rPr>
                <w:lang w:val="en-GB"/>
              </w:rPr>
            </w:pPr>
            <w:r w:rsidRPr="00BD2DB2">
              <w:rPr>
                <w:lang w:val="en-GB"/>
              </w:rPr>
              <w:t>1019</w:t>
            </w:r>
          </w:p>
        </w:tc>
        <w:tc>
          <w:tcPr>
            <w:tcW w:w="686" w:type="pct"/>
          </w:tcPr>
          <w:p w:rsidR="00D31512" w:rsidRPr="00BD2DB2" w:rsidRDefault="00D31512" w:rsidP="00A14DE0">
            <w:pPr>
              <w:jc w:val="center"/>
              <w:rPr>
                <w:lang w:val="en-GB"/>
              </w:rPr>
            </w:pPr>
            <w:r w:rsidRPr="00BD2DB2">
              <w:rPr>
                <w:lang w:val="en-GB"/>
              </w:rPr>
              <w:t>1058</w:t>
            </w:r>
          </w:p>
        </w:tc>
        <w:tc>
          <w:tcPr>
            <w:tcW w:w="686" w:type="pct"/>
          </w:tcPr>
          <w:p w:rsidR="00D31512" w:rsidRPr="00BD2DB2" w:rsidRDefault="00D31512" w:rsidP="00A14DE0">
            <w:pPr>
              <w:jc w:val="center"/>
              <w:rPr>
                <w:lang w:val="en-GB"/>
              </w:rPr>
            </w:pPr>
            <w:r w:rsidRPr="00BD2DB2">
              <w:rPr>
                <w:lang w:val="en-GB"/>
              </w:rPr>
              <w:t>1102</w:t>
            </w:r>
          </w:p>
        </w:tc>
        <w:tc>
          <w:tcPr>
            <w:tcW w:w="686" w:type="pct"/>
          </w:tcPr>
          <w:p w:rsidR="00D31512" w:rsidRPr="00BD2DB2" w:rsidRDefault="00D31512" w:rsidP="00A14DE0">
            <w:pPr>
              <w:jc w:val="center"/>
              <w:rPr>
                <w:lang w:val="en-GB"/>
              </w:rPr>
            </w:pPr>
            <w:r w:rsidRPr="00BD2DB2">
              <w:rPr>
                <w:lang w:val="en-GB"/>
              </w:rPr>
              <w:t>1125</w:t>
            </w:r>
          </w:p>
        </w:tc>
        <w:tc>
          <w:tcPr>
            <w:tcW w:w="680" w:type="pct"/>
          </w:tcPr>
          <w:p w:rsidR="00D31512" w:rsidRPr="00BD2DB2" w:rsidRDefault="00D31512" w:rsidP="00A14DE0">
            <w:pPr>
              <w:jc w:val="center"/>
              <w:rPr>
                <w:lang w:val="en-GB"/>
              </w:rPr>
            </w:pPr>
            <w:r w:rsidRPr="00BD2DB2">
              <w:rPr>
                <w:lang w:val="en-GB"/>
              </w:rPr>
              <w:t>1209</w:t>
            </w:r>
          </w:p>
        </w:tc>
      </w:tr>
      <w:tr w:rsidR="006326B9" w:rsidRPr="00BD2DB2" w:rsidTr="006326B9">
        <w:tc>
          <w:tcPr>
            <w:tcW w:w="1576" w:type="pct"/>
            <w:gridSpan w:val="2"/>
            <w:shd w:val="clear" w:color="auto" w:fill="D9D9D9" w:themeFill="background1" w:themeFillShade="D9"/>
            <w:vAlign w:val="center"/>
          </w:tcPr>
          <w:p w:rsidR="006326B9" w:rsidRPr="00BD2DB2" w:rsidRDefault="006326B9">
            <w:pPr>
              <w:rPr>
                <w:lang w:val="en-GB"/>
              </w:rPr>
            </w:pPr>
            <w:r w:rsidRPr="00BD2DB2">
              <w:rPr>
                <w:b/>
                <w:lang w:val="en-GB"/>
              </w:rPr>
              <w:t>Total Luxbg II</w:t>
            </w:r>
          </w:p>
        </w:tc>
        <w:tc>
          <w:tcPr>
            <w:tcW w:w="686" w:type="pct"/>
          </w:tcPr>
          <w:p w:rsidR="006326B9" w:rsidRPr="00BD2DB2" w:rsidRDefault="006326B9" w:rsidP="00A14DE0">
            <w:pPr>
              <w:jc w:val="center"/>
              <w:rPr>
                <w:b/>
                <w:lang w:val="en-GB"/>
              </w:rPr>
            </w:pPr>
            <w:r w:rsidRPr="00BD2DB2">
              <w:rPr>
                <w:b/>
                <w:lang w:val="en-GB"/>
              </w:rPr>
              <w:t>1965</w:t>
            </w:r>
          </w:p>
          <w:p w:rsidR="006326B9" w:rsidRPr="00BD2DB2" w:rsidRDefault="00D31512" w:rsidP="00A14DE0">
            <w:pPr>
              <w:jc w:val="center"/>
              <w:rPr>
                <w:b/>
                <w:lang w:val="en-GB"/>
              </w:rPr>
            </w:pPr>
            <w:r>
              <w:rPr>
                <w:b/>
                <w:lang w:val="en-GB"/>
              </w:rPr>
              <w:t>+105.</w:t>
            </w:r>
            <w:r w:rsidR="006326B9" w:rsidRPr="00BD2DB2">
              <w:rPr>
                <w:b/>
                <w:lang w:val="en-GB"/>
              </w:rPr>
              <w:t>33%</w:t>
            </w:r>
          </w:p>
        </w:tc>
        <w:tc>
          <w:tcPr>
            <w:tcW w:w="686" w:type="pct"/>
          </w:tcPr>
          <w:p w:rsidR="006326B9" w:rsidRPr="00BD2DB2" w:rsidRDefault="006326B9" w:rsidP="00A14DE0">
            <w:pPr>
              <w:jc w:val="center"/>
              <w:rPr>
                <w:b/>
                <w:lang w:val="en-GB"/>
              </w:rPr>
            </w:pPr>
            <w:r w:rsidRPr="00BD2DB2">
              <w:rPr>
                <w:b/>
                <w:lang w:val="en-GB"/>
              </w:rPr>
              <w:t>2101</w:t>
            </w:r>
          </w:p>
          <w:p w:rsidR="006326B9" w:rsidRPr="00BD2DB2" w:rsidRDefault="006326B9" w:rsidP="00A14DE0">
            <w:pPr>
              <w:jc w:val="center"/>
              <w:rPr>
                <w:b/>
                <w:lang w:val="en-GB"/>
              </w:rPr>
            </w:pPr>
            <w:r w:rsidRPr="00BD2DB2">
              <w:rPr>
                <w:b/>
                <w:lang w:val="en-GB"/>
              </w:rPr>
              <w:t>+6</w:t>
            </w:r>
            <w:r w:rsidR="00D31512">
              <w:rPr>
                <w:b/>
                <w:lang w:val="en-GB"/>
              </w:rPr>
              <w:t>.</w:t>
            </w:r>
            <w:r w:rsidRPr="00BD2DB2">
              <w:rPr>
                <w:b/>
                <w:lang w:val="en-GB"/>
              </w:rPr>
              <w:t>9%</w:t>
            </w:r>
          </w:p>
        </w:tc>
        <w:tc>
          <w:tcPr>
            <w:tcW w:w="686" w:type="pct"/>
          </w:tcPr>
          <w:p w:rsidR="006326B9" w:rsidRPr="00BD2DB2" w:rsidRDefault="006326B9" w:rsidP="00A14DE0">
            <w:pPr>
              <w:jc w:val="center"/>
              <w:rPr>
                <w:b/>
                <w:lang w:val="en-GB"/>
              </w:rPr>
            </w:pPr>
            <w:r w:rsidRPr="00BD2DB2">
              <w:rPr>
                <w:b/>
                <w:lang w:val="en-GB"/>
              </w:rPr>
              <w:t>2243</w:t>
            </w:r>
          </w:p>
          <w:p w:rsidR="006326B9" w:rsidRPr="00BD2DB2" w:rsidRDefault="006326B9" w:rsidP="00A14DE0">
            <w:pPr>
              <w:jc w:val="center"/>
              <w:rPr>
                <w:b/>
                <w:lang w:val="en-GB"/>
              </w:rPr>
            </w:pPr>
            <w:r w:rsidRPr="00BD2DB2">
              <w:rPr>
                <w:b/>
                <w:lang w:val="en-GB"/>
              </w:rPr>
              <w:t>+6</w:t>
            </w:r>
            <w:r w:rsidR="00D31512">
              <w:rPr>
                <w:b/>
                <w:lang w:val="en-GB"/>
              </w:rPr>
              <w:t>.</w:t>
            </w:r>
            <w:r w:rsidRPr="00BD2DB2">
              <w:rPr>
                <w:b/>
                <w:lang w:val="en-GB"/>
              </w:rPr>
              <w:t>8%</w:t>
            </w:r>
          </w:p>
        </w:tc>
        <w:tc>
          <w:tcPr>
            <w:tcW w:w="686" w:type="pct"/>
          </w:tcPr>
          <w:p w:rsidR="006326B9" w:rsidRPr="00BD2DB2" w:rsidRDefault="006326B9" w:rsidP="00A14DE0">
            <w:pPr>
              <w:jc w:val="center"/>
              <w:rPr>
                <w:b/>
                <w:lang w:val="en-GB"/>
              </w:rPr>
            </w:pPr>
            <w:r w:rsidRPr="00BD2DB2">
              <w:rPr>
                <w:b/>
                <w:lang w:val="en-GB"/>
              </w:rPr>
              <w:t>2348</w:t>
            </w:r>
          </w:p>
          <w:p w:rsidR="006326B9" w:rsidRPr="00BD2DB2" w:rsidRDefault="006326B9" w:rsidP="00A14DE0">
            <w:pPr>
              <w:jc w:val="center"/>
              <w:rPr>
                <w:b/>
                <w:lang w:val="en-GB"/>
              </w:rPr>
            </w:pPr>
            <w:r w:rsidRPr="00BD2DB2">
              <w:rPr>
                <w:b/>
                <w:lang w:val="en-GB"/>
              </w:rPr>
              <w:t>+4</w:t>
            </w:r>
            <w:r w:rsidR="00D31512">
              <w:rPr>
                <w:b/>
                <w:lang w:val="en-GB"/>
              </w:rPr>
              <w:t>.</w:t>
            </w:r>
            <w:r w:rsidRPr="00BD2DB2">
              <w:rPr>
                <w:b/>
                <w:lang w:val="en-GB"/>
              </w:rPr>
              <w:t>7%</w:t>
            </w:r>
          </w:p>
        </w:tc>
        <w:tc>
          <w:tcPr>
            <w:tcW w:w="680" w:type="pct"/>
          </w:tcPr>
          <w:p w:rsidR="006326B9" w:rsidRPr="00BD2DB2" w:rsidRDefault="006326B9" w:rsidP="00A14DE0">
            <w:pPr>
              <w:jc w:val="center"/>
              <w:rPr>
                <w:b/>
                <w:lang w:val="en-GB"/>
              </w:rPr>
            </w:pPr>
            <w:r w:rsidRPr="00BD2DB2">
              <w:rPr>
                <w:b/>
                <w:lang w:val="en-GB"/>
              </w:rPr>
              <w:t>2531</w:t>
            </w:r>
          </w:p>
          <w:p w:rsidR="006326B9" w:rsidRPr="00BD2DB2" w:rsidRDefault="006326B9" w:rsidP="00A14DE0">
            <w:pPr>
              <w:jc w:val="center"/>
              <w:rPr>
                <w:b/>
                <w:lang w:val="en-GB"/>
              </w:rPr>
            </w:pPr>
            <w:r w:rsidRPr="00BD2DB2">
              <w:rPr>
                <w:b/>
                <w:lang w:val="en-GB"/>
              </w:rPr>
              <w:t>+7</w:t>
            </w:r>
            <w:r w:rsidR="00D31512">
              <w:rPr>
                <w:b/>
                <w:lang w:val="en-GB"/>
              </w:rPr>
              <w:t>.</w:t>
            </w:r>
            <w:r w:rsidRPr="00BD2DB2">
              <w:rPr>
                <w:b/>
                <w:lang w:val="en-GB"/>
              </w:rPr>
              <w:t>8%</w:t>
            </w:r>
          </w:p>
        </w:tc>
      </w:tr>
      <w:tr w:rsidR="006326B9" w:rsidRPr="00BD2DB2" w:rsidTr="006326B9">
        <w:tc>
          <w:tcPr>
            <w:tcW w:w="1576" w:type="pct"/>
            <w:gridSpan w:val="2"/>
            <w:shd w:val="clear" w:color="auto" w:fill="D9D9D9" w:themeFill="background1" w:themeFillShade="D9"/>
            <w:vAlign w:val="center"/>
          </w:tcPr>
          <w:p w:rsidR="006326B9" w:rsidRPr="00BD2DB2" w:rsidRDefault="006326B9" w:rsidP="006326B9">
            <w:pPr>
              <w:rPr>
                <w:lang w:val="en-GB"/>
              </w:rPr>
            </w:pPr>
            <w:r w:rsidRPr="00BD2DB2">
              <w:rPr>
                <w:b/>
                <w:lang w:val="en-GB"/>
              </w:rPr>
              <w:t>Grand total Luxbg</w:t>
            </w:r>
          </w:p>
        </w:tc>
        <w:tc>
          <w:tcPr>
            <w:tcW w:w="686" w:type="pct"/>
            <w:shd w:val="clear" w:color="auto" w:fill="D9D9D9" w:themeFill="background1" w:themeFillShade="D9"/>
          </w:tcPr>
          <w:p w:rsidR="006326B9" w:rsidRPr="00BD2DB2" w:rsidRDefault="006326B9" w:rsidP="00A14DE0">
            <w:pPr>
              <w:jc w:val="center"/>
              <w:rPr>
                <w:b/>
                <w:lang w:val="en-GB"/>
              </w:rPr>
            </w:pPr>
            <w:r w:rsidRPr="00BD2DB2">
              <w:rPr>
                <w:b/>
                <w:lang w:val="en-GB"/>
              </w:rPr>
              <w:t>4682</w:t>
            </w:r>
          </w:p>
          <w:p w:rsidR="006326B9" w:rsidRPr="00BD2DB2" w:rsidRDefault="00D31512" w:rsidP="00A14DE0">
            <w:pPr>
              <w:jc w:val="center"/>
              <w:rPr>
                <w:b/>
                <w:lang w:val="en-GB"/>
              </w:rPr>
            </w:pPr>
            <w:r>
              <w:rPr>
                <w:b/>
                <w:lang w:val="en-GB"/>
              </w:rPr>
              <w:t>+3.</w:t>
            </w:r>
            <w:r w:rsidR="006326B9" w:rsidRPr="00BD2DB2">
              <w:rPr>
                <w:b/>
                <w:lang w:val="en-GB"/>
              </w:rPr>
              <w:t>2%</w:t>
            </w:r>
          </w:p>
        </w:tc>
        <w:tc>
          <w:tcPr>
            <w:tcW w:w="686" w:type="pct"/>
            <w:shd w:val="clear" w:color="auto" w:fill="D9D9D9" w:themeFill="background1" w:themeFillShade="D9"/>
          </w:tcPr>
          <w:p w:rsidR="006326B9" w:rsidRPr="00BD2DB2" w:rsidRDefault="006326B9" w:rsidP="00A14DE0">
            <w:pPr>
              <w:jc w:val="center"/>
              <w:rPr>
                <w:b/>
                <w:lang w:val="en-GB"/>
              </w:rPr>
            </w:pPr>
            <w:r w:rsidRPr="00BD2DB2">
              <w:rPr>
                <w:b/>
                <w:lang w:val="en-GB"/>
              </w:rPr>
              <w:t>4887</w:t>
            </w:r>
          </w:p>
          <w:p w:rsidR="006326B9" w:rsidRPr="00BD2DB2" w:rsidRDefault="006326B9" w:rsidP="00A14DE0">
            <w:pPr>
              <w:jc w:val="center"/>
              <w:rPr>
                <w:b/>
                <w:lang w:val="en-GB"/>
              </w:rPr>
            </w:pPr>
            <w:r w:rsidRPr="00BD2DB2">
              <w:rPr>
                <w:b/>
                <w:lang w:val="en-GB"/>
              </w:rPr>
              <w:t>+4</w:t>
            </w:r>
            <w:r w:rsidR="00D31512">
              <w:rPr>
                <w:b/>
                <w:lang w:val="en-GB"/>
              </w:rPr>
              <w:t>.</w:t>
            </w:r>
            <w:r w:rsidRPr="00BD2DB2">
              <w:rPr>
                <w:b/>
                <w:lang w:val="en-GB"/>
              </w:rPr>
              <w:t>4%</w:t>
            </w:r>
          </w:p>
        </w:tc>
        <w:tc>
          <w:tcPr>
            <w:tcW w:w="686" w:type="pct"/>
            <w:shd w:val="clear" w:color="auto" w:fill="D9D9D9" w:themeFill="background1" w:themeFillShade="D9"/>
          </w:tcPr>
          <w:p w:rsidR="006326B9" w:rsidRPr="00BD2DB2" w:rsidRDefault="006326B9" w:rsidP="00A14DE0">
            <w:pPr>
              <w:jc w:val="center"/>
              <w:rPr>
                <w:b/>
                <w:lang w:val="en-GB"/>
              </w:rPr>
            </w:pPr>
            <w:r w:rsidRPr="00BD2DB2">
              <w:rPr>
                <w:b/>
                <w:lang w:val="en-GB"/>
              </w:rPr>
              <w:t>5215</w:t>
            </w:r>
          </w:p>
          <w:p w:rsidR="006326B9" w:rsidRPr="00BD2DB2" w:rsidRDefault="006326B9" w:rsidP="00A14DE0">
            <w:pPr>
              <w:jc w:val="center"/>
              <w:rPr>
                <w:b/>
                <w:lang w:val="en-GB"/>
              </w:rPr>
            </w:pPr>
            <w:r w:rsidRPr="00BD2DB2">
              <w:rPr>
                <w:b/>
                <w:lang w:val="en-GB"/>
              </w:rPr>
              <w:t>+6</w:t>
            </w:r>
            <w:r w:rsidR="00D31512">
              <w:rPr>
                <w:b/>
                <w:lang w:val="en-GB"/>
              </w:rPr>
              <w:t>.</w:t>
            </w:r>
            <w:r w:rsidRPr="00BD2DB2">
              <w:rPr>
                <w:b/>
                <w:lang w:val="en-GB"/>
              </w:rPr>
              <w:t>7%</w:t>
            </w:r>
          </w:p>
        </w:tc>
        <w:tc>
          <w:tcPr>
            <w:tcW w:w="686" w:type="pct"/>
            <w:shd w:val="clear" w:color="auto" w:fill="D9D9D9" w:themeFill="background1" w:themeFillShade="D9"/>
          </w:tcPr>
          <w:p w:rsidR="006326B9" w:rsidRPr="00BD2DB2" w:rsidRDefault="006326B9" w:rsidP="00A14DE0">
            <w:pPr>
              <w:jc w:val="center"/>
              <w:rPr>
                <w:b/>
                <w:lang w:val="en-GB"/>
              </w:rPr>
            </w:pPr>
            <w:r w:rsidRPr="00BD2DB2">
              <w:rPr>
                <w:b/>
                <w:lang w:val="en-GB"/>
              </w:rPr>
              <w:t>5429</w:t>
            </w:r>
          </w:p>
          <w:p w:rsidR="006326B9" w:rsidRPr="00BD2DB2" w:rsidRDefault="006326B9" w:rsidP="00A14DE0">
            <w:pPr>
              <w:jc w:val="center"/>
              <w:rPr>
                <w:b/>
                <w:lang w:val="en-GB"/>
              </w:rPr>
            </w:pPr>
            <w:r w:rsidRPr="00BD2DB2">
              <w:rPr>
                <w:b/>
                <w:lang w:val="en-GB"/>
              </w:rPr>
              <w:t>+4</w:t>
            </w:r>
            <w:r w:rsidR="00D31512">
              <w:rPr>
                <w:b/>
                <w:lang w:val="en-GB"/>
              </w:rPr>
              <w:t>.</w:t>
            </w:r>
            <w:r w:rsidRPr="00BD2DB2">
              <w:rPr>
                <w:b/>
                <w:lang w:val="en-GB"/>
              </w:rPr>
              <w:t>1%</w:t>
            </w:r>
          </w:p>
        </w:tc>
        <w:tc>
          <w:tcPr>
            <w:tcW w:w="680" w:type="pct"/>
            <w:shd w:val="clear" w:color="auto" w:fill="D9D9D9" w:themeFill="background1" w:themeFillShade="D9"/>
          </w:tcPr>
          <w:p w:rsidR="006326B9" w:rsidRPr="00BD2DB2" w:rsidRDefault="006326B9" w:rsidP="00A14DE0">
            <w:pPr>
              <w:jc w:val="center"/>
              <w:rPr>
                <w:b/>
                <w:lang w:val="en-GB"/>
              </w:rPr>
            </w:pPr>
            <w:r w:rsidRPr="00BD2DB2">
              <w:rPr>
                <w:b/>
                <w:lang w:val="en-GB"/>
              </w:rPr>
              <w:t>5791</w:t>
            </w:r>
          </w:p>
          <w:p w:rsidR="006326B9" w:rsidRPr="00BD2DB2" w:rsidRDefault="006326B9" w:rsidP="00A14DE0">
            <w:pPr>
              <w:jc w:val="center"/>
              <w:rPr>
                <w:b/>
                <w:lang w:val="en-GB"/>
              </w:rPr>
            </w:pPr>
            <w:r w:rsidRPr="00BD2DB2">
              <w:rPr>
                <w:b/>
                <w:lang w:val="en-GB"/>
              </w:rPr>
              <w:t>+6</w:t>
            </w:r>
            <w:r w:rsidR="00D31512">
              <w:rPr>
                <w:b/>
                <w:lang w:val="en-GB"/>
              </w:rPr>
              <w:t>.</w:t>
            </w:r>
            <w:r w:rsidRPr="00BD2DB2">
              <w:rPr>
                <w:b/>
                <w:lang w:val="en-GB"/>
              </w:rPr>
              <w:t>7%</w:t>
            </w:r>
          </w:p>
        </w:tc>
      </w:tr>
      <w:tr w:rsidR="006326B9" w:rsidRPr="00BD2DB2" w:rsidTr="006326B9">
        <w:tc>
          <w:tcPr>
            <w:tcW w:w="5000" w:type="pct"/>
            <w:gridSpan w:val="7"/>
          </w:tcPr>
          <w:p w:rsidR="006326B9" w:rsidRPr="00BD2DB2" w:rsidRDefault="006326B9" w:rsidP="00A14DE0">
            <w:pPr>
              <w:jc w:val="center"/>
              <w:rPr>
                <w:lang w:val="en-GB"/>
              </w:rPr>
            </w:pPr>
          </w:p>
        </w:tc>
      </w:tr>
      <w:tr w:rsidR="006326B9" w:rsidRPr="00BD2DB2" w:rsidTr="006326B9">
        <w:tc>
          <w:tcPr>
            <w:tcW w:w="1576" w:type="pct"/>
            <w:gridSpan w:val="2"/>
            <w:shd w:val="clear" w:color="auto" w:fill="D9D9D9" w:themeFill="background1" w:themeFillShade="D9"/>
            <w:vAlign w:val="center"/>
          </w:tcPr>
          <w:p w:rsidR="006326B9" w:rsidRPr="00BD2DB2" w:rsidRDefault="00D31512" w:rsidP="006326B9">
            <w:pPr>
              <w:rPr>
                <w:lang w:val="en-GB"/>
              </w:rPr>
            </w:pPr>
            <w:r>
              <w:rPr>
                <w:b/>
                <w:lang w:val="en-GB"/>
              </w:rPr>
              <w:t xml:space="preserve">Total of the </w:t>
            </w:r>
            <w:r w:rsidR="006326B9" w:rsidRPr="00BD2DB2">
              <w:rPr>
                <w:b/>
                <w:lang w:val="en-GB"/>
              </w:rPr>
              <w:t xml:space="preserve">14 </w:t>
            </w:r>
            <w:r>
              <w:rPr>
                <w:b/>
                <w:lang w:val="en-GB"/>
              </w:rPr>
              <w:t>European Schools</w:t>
            </w:r>
          </w:p>
        </w:tc>
        <w:tc>
          <w:tcPr>
            <w:tcW w:w="686" w:type="pct"/>
            <w:vAlign w:val="center"/>
          </w:tcPr>
          <w:p w:rsidR="006326B9" w:rsidRPr="00BD2DB2" w:rsidRDefault="006326B9" w:rsidP="006326B9">
            <w:pPr>
              <w:jc w:val="center"/>
              <w:rPr>
                <w:b/>
                <w:lang w:val="en-GB"/>
              </w:rPr>
            </w:pPr>
            <w:r w:rsidRPr="00BD2DB2">
              <w:rPr>
                <w:b/>
                <w:lang w:val="en-GB"/>
              </w:rPr>
              <w:t>23869</w:t>
            </w:r>
          </w:p>
        </w:tc>
        <w:tc>
          <w:tcPr>
            <w:tcW w:w="686" w:type="pct"/>
            <w:vAlign w:val="center"/>
          </w:tcPr>
          <w:p w:rsidR="006326B9" w:rsidRPr="00BD2DB2" w:rsidRDefault="006326B9" w:rsidP="006326B9">
            <w:pPr>
              <w:jc w:val="center"/>
              <w:rPr>
                <w:b/>
                <w:lang w:val="en-GB"/>
              </w:rPr>
            </w:pPr>
            <w:r w:rsidRPr="00BD2DB2">
              <w:rPr>
                <w:b/>
                <w:lang w:val="en-GB"/>
              </w:rPr>
              <w:t>24547</w:t>
            </w:r>
          </w:p>
        </w:tc>
        <w:tc>
          <w:tcPr>
            <w:tcW w:w="686" w:type="pct"/>
            <w:vAlign w:val="center"/>
          </w:tcPr>
          <w:p w:rsidR="006326B9" w:rsidRPr="00BD2DB2" w:rsidRDefault="006326B9" w:rsidP="006326B9">
            <w:pPr>
              <w:jc w:val="center"/>
              <w:rPr>
                <w:b/>
                <w:lang w:val="en-GB"/>
              </w:rPr>
            </w:pPr>
            <w:r w:rsidRPr="00BD2DB2">
              <w:rPr>
                <w:b/>
                <w:lang w:val="en-GB"/>
              </w:rPr>
              <w:t>25385</w:t>
            </w:r>
          </w:p>
        </w:tc>
        <w:tc>
          <w:tcPr>
            <w:tcW w:w="686" w:type="pct"/>
            <w:vAlign w:val="center"/>
          </w:tcPr>
          <w:p w:rsidR="006326B9" w:rsidRPr="00BD2DB2" w:rsidRDefault="006326B9" w:rsidP="006326B9">
            <w:pPr>
              <w:jc w:val="center"/>
              <w:rPr>
                <w:b/>
                <w:lang w:val="en-GB"/>
              </w:rPr>
            </w:pPr>
            <w:r w:rsidRPr="00BD2DB2">
              <w:rPr>
                <w:b/>
                <w:lang w:val="en-GB"/>
              </w:rPr>
              <w:t>25903</w:t>
            </w:r>
          </w:p>
        </w:tc>
        <w:tc>
          <w:tcPr>
            <w:tcW w:w="680" w:type="pct"/>
            <w:vAlign w:val="center"/>
          </w:tcPr>
          <w:p w:rsidR="006326B9" w:rsidRPr="00BD2DB2" w:rsidRDefault="006326B9" w:rsidP="006326B9">
            <w:pPr>
              <w:jc w:val="center"/>
              <w:rPr>
                <w:b/>
                <w:lang w:val="en-GB"/>
              </w:rPr>
            </w:pPr>
            <w:r w:rsidRPr="00BD2DB2">
              <w:rPr>
                <w:b/>
                <w:lang w:val="en-GB"/>
              </w:rPr>
              <w:t>26691</w:t>
            </w:r>
          </w:p>
        </w:tc>
      </w:tr>
    </w:tbl>
    <w:p w:rsidR="00977877" w:rsidRPr="00BD2DB2" w:rsidRDefault="00977877" w:rsidP="00977877">
      <w:pPr>
        <w:jc w:val="both"/>
        <w:rPr>
          <w:lang w:val="en-GB"/>
        </w:rPr>
      </w:pPr>
    </w:p>
    <w:p w:rsidR="00977877" w:rsidRPr="00BD2DB2" w:rsidRDefault="00FD6132" w:rsidP="00977877">
      <w:pPr>
        <w:jc w:val="both"/>
        <w:rPr>
          <w:lang w:val="en-GB"/>
        </w:rPr>
      </w:pPr>
      <w:r>
        <w:rPr>
          <w:lang w:val="en-GB"/>
        </w:rPr>
        <w:t>The above table, the figures in which are taken from the report of the Board of Governors of the European Schools on the facts and figures on the beginning of the 2016-2017 school year in the European Schools, show</w:t>
      </w:r>
      <w:r w:rsidR="00491193">
        <w:rPr>
          <w:lang w:val="en-GB"/>
        </w:rPr>
        <w:t>s</w:t>
      </w:r>
      <w:r>
        <w:rPr>
          <w:lang w:val="en-GB"/>
        </w:rPr>
        <w:t xml:space="preserve"> that the population of the two European Schools in</w:t>
      </w:r>
      <w:r w:rsidR="00977877" w:rsidRPr="00BD2DB2">
        <w:rPr>
          <w:lang w:val="en-GB"/>
        </w:rPr>
        <w:t xml:space="preserve"> </w:t>
      </w:r>
      <w:r>
        <w:rPr>
          <w:lang w:val="en-GB"/>
        </w:rPr>
        <w:t xml:space="preserve">Luxembourg is increasingly significantly and steadily. </w:t>
      </w:r>
      <w:r w:rsidR="00977877" w:rsidRPr="00BD2DB2">
        <w:rPr>
          <w:lang w:val="en-GB"/>
        </w:rPr>
        <w:t xml:space="preserve"> </w:t>
      </w:r>
    </w:p>
    <w:p w:rsidR="00977877" w:rsidRPr="00BD2DB2" w:rsidRDefault="00977877" w:rsidP="00977877">
      <w:pPr>
        <w:jc w:val="both"/>
        <w:rPr>
          <w:lang w:val="en-GB"/>
        </w:rPr>
      </w:pPr>
    </w:p>
    <w:p w:rsidR="00C4647B" w:rsidRPr="00BD2DB2" w:rsidRDefault="00FD6132" w:rsidP="00C4647B">
      <w:pPr>
        <w:pStyle w:val="Heading2"/>
        <w:rPr>
          <w:lang w:val="en-GB"/>
        </w:rPr>
      </w:pPr>
      <w:bookmarkStart w:id="6" w:name="_Toc494880757"/>
      <w:r>
        <w:rPr>
          <w:lang w:val="en-GB"/>
        </w:rPr>
        <w:t xml:space="preserve">National primary education in </w:t>
      </w:r>
      <w:r w:rsidR="00C4647B" w:rsidRPr="00BD2DB2">
        <w:rPr>
          <w:lang w:val="en-GB"/>
        </w:rPr>
        <w:t>Luxembourg</w:t>
      </w:r>
      <w:bookmarkEnd w:id="6"/>
    </w:p>
    <w:tbl>
      <w:tblPr>
        <w:tblStyle w:val="TableGrid"/>
        <w:tblW w:w="5000" w:type="pct"/>
        <w:tblLook w:val="04A0" w:firstRow="1" w:lastRow="0" w:firstColumn="1" w:lastColumn="0" w:noHBand="0" w:noVBand="1"/>
      </w:tblPr>
      <w:tblGrid>
        <w:gridCol w:w="3107"/>
        <w:gridCol w:w="1352"/>
        <w:gridCol w:w="1352"/>
        <w:gridCol w:w="1352"/>
        <w:gridCol w:w="1352"/>
        <w:gridCol w:w="1340"/>
      </w:tblGrid>
      <w:tr w:rsidR="00177AF0" w:rsidRPr="00BD2DB2" w:rsidTr="00CF2433">
        <w:tc>
          <w:tcPr>
            <w:tcW w:w="1576" w:type="pct"/>
            <w:tcBorders>
              <w:top w:val="nil"/>
              <w:left w:val="nil"/>
            </w:tcBorders>
          </w:tcPr>
          <w:p w:rsidR="00177AF0" w:rsidRPr="00BD2DB2" w:rsidRDefault="00177AF0" w:rsidP="00C4647B">
            <w:pPr>
              <w:rPr>
                <w:lang w:val="en-GB"/>
              </w:rPr>
            </w:pPr>
          </w:p>
        </w:tc>
        <w:tc>
          <w:tcPr>
            <w:tcW w:w="686" w:type="pct"/>
            <w:shd w:val="clear" w:color="auto" w:fill="D9D9D9" w:themeFill="background1" w:themeFillShade="D9"/>
          </w:tcPr>
          <w:p w:rsidR="00177AF0" w:rsidRPr="00BD2DB2" w:rsidRDefault="00177AF0" w:rsidP="00C4647B">
            <w:pPr>
              <w:jc w:val="center"/>
              <w:rPr>
                <w:b/>
                <w:lang w:val="en-GB"/>
              </w:rPr>
            </w:pPr>
            <w:r w:rsidRPr="00BD2DB2">
              <w:rPr>
                <w:b/>
                <w:lang w:val="en-GB"/>
              </w:rPr>
              <w:t>2012/13</w:t>
            </w:r>
          </w:p>
        </w:tc>
        <w:tc>
          <w:tcPr>
            <w:tcW w:w="686" w:type="pct"/>
            <w:shd w:val="clear" w:color="auto" w:fill="D9D9D9" w:themeFill="background1" w:themeFillShade="D9"/>
          </w:tcPr>
          <w:p w:rsidR="00177AF0" w:rsidRPr="00BD2DB2" w:rsidRDefault="00177AF0" w:rsidP="00C4647B">
            <w:pPr>
              <w:jc w:val="center"/>
              <w:rPr>
                <w:b/>
                <w:lang w:val="en-GB"/>
              </w:rPr>
            </w:pPr>
            <w:r w:rsidRPr="00BD2DB2">
              <w:rPr>
                <w:b/>
                <w:lang w:val="en-GB"/>
              </w:rPr>
              <w:t>2013/14</w:t>
            </w:r>
          </w:p>
        </w:tc>
        <w:tc>
          <w:tcPr>
            <w:tcW w:w="686" w:type="pct"/>
            <w:shd w:val="clear" w:color="auto" w:fill="D9D9D9" w:themeFill="background1" w:themeFillShade="D9"/>
          </w:tcPr>
          <w:p w:rsidR="00177AF0" w:rsidRPr="00BD2DB2" w:rsidRDefault="00177AF0" w:rsidP="00C4647B">
            <w:pPr>
              <w:jc w:val="center"/>
              <w:rPr>
                <w:b/>
                <w:lang w:val="en-GB"/>
              </w:rPr>
            </w:pPr>
            <w:r w:rsidRPr="00BD2DB2">
              <w:rPr>
                <w:b/>
                <w:lang w:val="en-GB"/>
              </w:rPr>
              <w:t>2014/15</w:t>
            </w:r>
          </w:p>
        </w:tc>
        <w:tc>
          <w:tcPr>
            <w:tcW w:w="686" w:type="pct"/>
            <w:shd w:val="clear" w:color="auto" w:fill="D9D9D9" w:themeFill="background1" w:themeFillShade="D9"/>
          </w:tcPr>
          <w:p w:rsidR="00177AF0" w:rsidRPr="00BD2DB2" w:rsidRDefault="00177AF0" w:rsidP="00C4647B">
            <w:pPr>
              <w:jc w:val="center"/>
              <w:rPr>
                <w:b/>
                <w:lang w:val="en-GB"/>
              </w:rPr>
            </w:pPr>
            <w:r w:rsidRPr="00BD2DB2">
              <w:rPr>
                <w:b/>
                <w:lang w:val="en-GB"/>
              </w:rPr>
              <w:t>2015/16</w:t>
            </w:r>
          </w:p>
        </w:tc>
        <w:tc>
          <w:tcPr>
            <w:tcW w:w="680" w:type="pct"/>
            <w:shd w:val="clear" w:color="auto" w:fill="D9D9D9" w:themeFill="background1" w:themeFillShade="D9"/>
          </w:tcPr>
          <w:p w:rsidR="00177AF0" w:rsidRPr="00BD2DB2" w:rsidRDefault="00177AF0" w:rsidP="00C4647B">
            <w:pPr>
              <w:jc w:val="center"/>
              <w:rPr>
                <w:b/>
                <w:lang w:val="en-GB"/>
              </w:rPr>
            </w:pPr>
            <w:r w:rsidRPr="00BD2DB2">
              <w:rPr>
                <w:b/>
                <w:lang w:val="en-GB"/>
              </w:rPr>
              <w:t>2016/17</w:t>
            </w:r>
          </w:p>
        </w:tc>
      </w:tr>
      <w:tr w:rsidR="006B363A" w:rsidRPr="00BD2DB2" w:rsidTr="006326B9">
        <w:tc>
          <w:tcPr>
            <w:tcW w:w="1576" w:type="pct"/>
            <w:shd w:val="clear" w:color="auto" w:fill="D9D9D9" w:themeFill="background1" w:themeFillShade="D9"/>
          </w:tcPr>
          <w:p w:rsidR="006B363A" w:rsidRPr="00BD2DB2" w:rsidRDefault="006B363A" w:rsidP="006B363A">
            <w:pPr>
              <w:rPr>
                <w:lang w:val="en-GB"/>
              </w:rPr>
            </w:pPr>
            <w:r w:rsidRPr="00BD2DB2">
              <w:rPr>
                <w:b/>
                <w:lang w:val="en-GB"/>
              </w:rPr>
              <w:t xml:space="preserve">Total </w:t>
            </w:r>
            <w:r w:rsidR="003F0248">
              <w:rPr>
                <w:b/>
                <w:lang w:val="en-GB"/>
              </w:rPr>
              <w:t>Luxembourg elementary education</w:t>
            </w:r>
          </w:p>
        </w:tc>
        <w:tc>
          <w:tcPr>
            <w:tcW w:w="686" w:type="pct"/>
            <w:shd w:val="clear" w:color="auto" w:fill="D9D9D9" w:themeFill="background1" w:themeFillShade="D9"/>
            <w:vAlign w:val="center"/>
          </w:tcPr>
          <w:p w:rsidR="006B363A" w:rsidRPr="00BD2DB2" w:rsidRDefault="006B363A" w:rsidP="006326B9">
            <w:pPr>
              <w:jc w:val="center"/>
              <w:rPr>
                <w:b/>
                <w:lang w:val="en-GB"/>
              </w:rPr>
            </w:pPr>
            <w:r w:rsidRPr="00BD2DB2">
              <w:rPr>
                <w:b/>
                <w:lang w:val="en-GB"/>
              </w:rPr>
              <w:t>47608</w:t>
            </w:r>
          </w:p>
        </w:tc>
        <w:tc>
          <w:tcPr>
            <w:tcW w:w="686" w:type="pct"/>
            <w:shd w:val="clear" w:color="auto" w:fill="D9D9D9" w:themeFill="background1" w:themeFillShade="D9"/>
            <w:vAlign w:val="center"/>
          </w:tcPr>
          <w:p w:rsidR="006B363A" w:rsidRPr="00BD2DB2" w:rsidRDefault="006B363A" w:rsidP="006326B9">
            <w:pPr>
              <w:jc w:val="center"/>
              <w:rPr>
                <w:b/>
                <w:lang w:val="en-GB"/>
              </w:rPr>
            </w:pPr>
            <w:r w:rsidRPr="00BD2DB2">
              <w:rPr>
                <w:b/>
                <w:lang w:val="en-GB"/>
              </w:rPr>
              <w:t>47694</w:t>
            </w:r>
          </w:p>
        </w:tc>
        <w:tc>
          <w:tcPr>
            <w:tcW w:w="686" w:type="pct"/>
            <w:shd w:val="clear" w:color="auto" w:fill="D9D9D9" w:themeFill="background1" w:themeFillShade="D9"/>
            <w:vAlign w:val="center"/>
          </w:tcPr>
          <w:p w:rsidR="006B363A" w:rsidRPr="00BD2DB2" w:rsidRDefault="006B363A" w:rsidP="006326B9">
            <w:pPr>
              <w:jc w:val="center"/>
              <w:rPr>
                <w:b/>
                <w:lang w:val="en-GB"/>
              </w:rPr>
            </w:pPr>
            <w:r w:rsidRPr="00BD2DB2">
              <w:rPr>
                <w:b/>
                <w:lang w:val="en-GB"/>
              </w:rPr>
              <w:t>47145</w:t>
            </w:r>
          </w:p>
        </w:tc>
        <w:tc>
          <w:tcPr>
            <w:tcW w:w="686" w:type="pct"/>
            <w:shd w:val="clear" w:color="auto" w:fill="D9D9D9" w:themeFill="background1" w:themeFillShade="D9"/>
            <w:vAlign w:val="center"/>
          </w:tcPr>
          <w:p w:rsidR="006B363A" w:rsidRPr="00BD2DB2" w:rsidRDefault="006B363A" w:rsidP="006326B9">
            <w:pPr>
              <w:jc w:val="center"/>
              <w:rPr>
                <w:b/>
                <w:lang w:val="en-GB"/>
              </w:rPr>
            </w:pPr>
            <w:r w:rsidRPr="00BD2DB2">
              <w:rPr>
                <w:b/>
                <w:lang w:val="en-GB"/>
              </w:rPr>
              <w:t>47766</w:t>
            </w:r>
          </w:p>
        </w:tc>
        <w:tc>
          <w:tcPr>
            <w:tcW w:w="680" w:type="pct"/>
            <w:shd w:val="clear" w:color="auto" w:fill="D9D9D9" w:themeFill="background1" w:themeFillShade="D9"/>
            <w:vAlign w:val="center"/>
          </w:tcPr>
          <w:p w:rsidR="006B363A" w:rsidRPr="00BD2DB2" w:rsidRDefault="0096122C" w:rsidP="006326B9">
            <w:pPr>
              <w:jc w:val="center"/>
              <w:rPr>
                <w:b/>
                <w:lang w:val="en-GB"/>
              </w:rPr>
            </w:pPr>
            <w:r w:rsidRPr="00BD2DB2">
              <w:rPr>
                <w:b/>
                <w:lang w:val="en-GB"/>
              </w:rPr>
              <w:t>48495</w:t>
            </w:r>
          </w:p>
        </w:tc>
      </w:tr>
      <w:tr w:rsidR="00177AF0" w:rsidRPr="00BD2DB2" w:rsidTr="006326B9">
        <w:tc>
          <w:tcPr>
            <w:tcW w:w="1576" w:type="pct"/>
            <w:shd w:val="clear" w:color="auto" w:fill="D9D9D9" w:themeFill="background1" w:themeFillShade="D9"/>
          </w:tcPr>
          <w:p w:rsidR="00177AF0" w:rsidRPr="00BD2DB2" w:rsidRDefault="003F0248" w:rsidP="00C4647B">
            <w:pPr>
              <w:rPr>
                <w:lang w:val="en-GB"/>
              </w:rPr>
            </w:pPr>
            <w:r>
              <w:rPr>
                <w:b/>
                <w:lang w:val="en-GB"/>
              </w:rPr>
              <w:t>National</w:t>
            </w:r>
            <w:r w:rsidR="00177AF0" w:rsidRPr="00BD2DB2">
              <w:rPr>
                <w:b/>
                <w:lang w:val="en-GB"/>
              </w:rPr>
              <w:t xml:space="preserve"> </w:t>
            </w:r>
            <w:r>
              <w:rPr>
                <w:b/>
                <w:u w:val="single"/>
                <w:lang w:val="en-GB"/>
              </w:rPr>
              <w:t>nursery</w:t>
            </w:r>
            <w:r>
              <w:rPr>
                <w:b/>
                <w:lang w:val="en-GB"/>
              </w:rPr>
              <w:t xml:space="preserve"> education</w:t>
            </w:r>
            <w:r w:rsidR="00177AF0" w:rsidRPr="00BD2DB2">
              <w:rPr>
                <w:b/>
                <w:lang w:val="en-GB"/>
              </w:rPr>
              <w:br/>
              <w:t>Cycle 1</w:t>
            </w:r>
          </w:p>
        </w:tc>
        <w:tc>
          <w:tcPr>
            <w:tcW w:w="686" w:type="pct"/>
            <w:vAlign w:val="center"/>
          </w:tcPr>
          <w:p w:rsidR="0009055C" w:rsidRPr="00BD2DB2" w:rsidRDefault="0009055C" w:rsidP="006326B9">
            <w:pPr>
              <w:jc w:val="center"/>
              <w:rPr>
                <w:b/>
                <w:lang w:val="en-GB"/>
              </w:rPr>
            </w:pPr>
            <w:r w:rsidRPr="00BD2DB2">
              <w:rPr>
                <w:b/>
                <w:lang w:val="en-GB"/>
              </w:rPr>
              <w:t>10740</w:t>
            </w:r>
          </w:p>
        </w:tc>
        <w:tc>
          <w:tcPr>
            <w:tcW w:w="686" w:type="pct"/>
            <w:vAlign w:val="center"/>
          </w:tcPr>
          <w:p w:rsidR="0009055C" w:rsidRPr="00BD2DB2" w:rsidRDefault="0009055C" w:rsidP="006326B9">
            <w:pPr>
              <w:jc w:val="center"/>
              <w:rPr>
                <w:b/>
                <w:lang w:val="en-GB"/>
              </w:rPr>
            </w:pPr>
            <w:r w:rsidRPr="00BD2DB2">
              <w:rPr>
                <w:b/>
                <w:lang w:val="en-GB"/>
              </w:rPr>
              <w:t>10748</w:t>
            </w:r>
          </w:p>
        </w:tc>
        <w:tc>
          <w:tcPr>
            <w:tcW w:w="686" w:type="pct"/>
            <w:vAlign w:val="center"/>
          </w:tcPr>
          <w:p w:rsidR="0009055C" w:rsidRPr="00BD2DB2" w:rsidRDefault="0009055C" w:rsidP="006326B9">
            <w:pPr>
              <w:jc w:val="center"/>
              <w:rPr>
                <w:b/>
                <w:lang w:val="en-GB"/>
              </w:rPr>
            </w:pPr>
            <w:r w:rsidRPr="00BD2DB2">
              <w:rPr>
                <w:b/>
                <w:lang w:val="en-GB"/>
              </w:rPr>
              <w:t>10948</w:t>
            </w:r>
          </w:p>
        </w:tc>
        <w:tc>
          <w:tcPr>
            <w:tcW w:w="686" w:type="pct"/>
            <w:vAlign w:val="center"/>
          </w:tcPr>
          <w:p w:rsidR="0009055C" w:rsidRPr="00BD2DB2" w:rsidRDefault="0009055C" w:rsidP="006326B9">
            <w:pPr>
              <w:jc w:val="center"/>
              <w:rPr>
                <w:b/>
                <w:lang w:val="en-GB"/>
              </w:rPr>
            </w:pPr>
            <w:r w:rsidRPr="00BD2DB2">
              <w:rPr>
                <w:b/>
                <w:lang w:val="en-GB"/>
              </w:rPr>
              <w:t>11027</w:t>
            </w:r>
          </w:p>
        </w:tc>
        <w:tc>
          <w:tcPr>
            <w:tcW w:w="680" w:type="pct"/>
            <w:vAlign w:val="center"/>
          </w:tcPr>
          <w:p w:rsidR="00177AF0" w:rsidRPr="00BD2DB2" w:rsidRDefault="0096122C" w:rsidP="006326B9">
            <w:pPr>
              <w:jc w:val="center"/>
              <w:rPr>
                <w:b/>
                <w:lang w:val="en-GB"/>
              </w:rPr>
            </w:pPr>
            <w:r w:rsidRPr="00BD2DB2">
              <w:rPr>
                <w:b/>
                <w:lang w:val="en-GB"/>
              </w:rPr>
              <w:t>11008</w:t>
            </w:r>
          </w:p>
        </w:tc>
      </w:tr>
      <w:tr w:rsidR="00177AF0" w:rsidRPr="00BD2DB2" w:rsidTr="006326B9">
        <w:tc>
          <w:tcPr>
            <w:tcW w:w="1576" w:type="pct"/>
            <w:shd w:val="clear" w:color="auto" w:fill="D9D9D9" w:themeFill="background1" w:themeFillShade="D9"/>
          </w:tcPr>
          <w:p w:rsidR="00177AF0" w:rsidRPr="00BD2DB2" w:rsidRDefault="003F0248" w:rsidP="00C4647B">
            <w:pPr>
              <w:rPr>
                <w:lang w:val="en-GB"/>
              </w:rPr>
            </w:pPr>
            <w:r>
              <w:rPr>
                <w:b/>
                <w:lang w:val="en-GB"/>
              </w:rPr>
              <w:t>of which foreigners</w:t>
            </w:r>
          </w:p>
        </w:tc>
        <w:tc>
          <w:tcPr>
            <w:tcW w:w="686" w:type="pct"/>
            <w:vAlign w:val="center"/>
          </w:tcPr>
          <w:p w:rsidR="00177AF0" w:rsidRPr="00BD2DB2" w:rsidRDefault="0009055C" w:rsidP="006326B9">
            <w:pPr>
              <w:jc w:val="center"/>
              <w:rPr>
                <w:b/>
                <w:lang w:val="en-GB"/>
              </w:rPr>
            </w:pPr>
            <w:r w:rsidRPr="00BD2DB2">
              <w:rPr>
                <w:b/>
                <w:lang w:val="en-GB"/>
              </w:rPr>
              <w:t>47</w:t>
            </w:r>
            <w:r w:rsidR="008E6571">
              <w:rPr>
                <w:b/>
                <w:lang w:val="en-GB"/>
              </w:rPr>
              <w:t>.</w:t>
            </w:r>
            <w:r w:rsidRPr="00BD2DB2">
              <w:rPr>
                <w:b/>
                <w:lang w:val="en-GB"/>
              </w:rPr>
              <w:t>4%</w:t>
            </w:r>
          </w:p>
        </w:tc>
        <w:tc>
          <w:tcPr>
            <w:tcW w:w="686" w:type="pct"/>
            <w:vAlign w:val="center"/>
          </w:tcPr>
          <w:p w:rsidR="00177AF0" w:rsidRPr="00BD2DB2" w:rsidRDefault="0009055C" w:rsidP="006326B9">
            <w:pPr>
              <w:jc w:val="center"/>
              <w:rPr>
                <w:b/>
                <w:lang w:val="en-GB"/>
              </w:rPr>
            </w:pPr>
            <w:r w:rsidRPr="00BD2DB2">
              <w:rPr>
                <w:b/>
                <w:lang w:val="en-GB"/>
              </w:rPr>
              <w:t>47</w:t>
            </w:r>
            <w:r w:rsidR="008E6571">
              <w:rPr>
                <w:b/>
                <w:lang w:val="en-GB"/>
              </w:rPr>
              <w:t>.</w:t>
            </w:r>
            <w:r w:rsidRPr="00BD2DB2">
              <w:rPr>
                <w:b/>
                <w:lang w:val="en-GB"/>
              </w:rPr>
              <w:t>2%</w:t>
            </w:r>
          </w:p>
        </w:tc>
        <w:tc>
          <w:tcPr>
            <w:tcW w:w="686" w:type="pct"/>
            <w:vAlign w:val="center"/>
          </w:tcPr>
          <w:p w:rsidR="00177AF0" w:rsidRPr="00BD2DB2" w:rsidRDefault="0009055C" w:rsidP="006326B9">
            <w:pPr>
              <w:jc w:val="center"/>
              <w:rPr>
                <w:b/>
                <w:lang w:val="en-GB"/>
              </w:rPr>
            </w:pPr>
            <w:r w:rsidRPr="00BD2DB2">
              <w:rPr>
                <w:b/>
                <w:lang w:val="en-GB"/>
              </w:rPr>
              <w:t>46</w:t>
            </w:r>
            <w:r w:rsidR="008E6571">
              <w:rPr>
                <w:b/>
                <w:lang w:val="en-GB"/>
              </w:rPr>
              <w:t>.</w:t>
            </w:r>
            <w:r w:rsidRPr="00BD2DB2">
              <w:rPr>
                <w:b/>
                <w:lang w:val="en-GB"/>
              </w:rPr>
              <w:t>5%</w:t>
            </w:r>
          </w:p>
        </w:tc>
        <w:tc>
          <w:tcPr>
            <w:tcW w:w="686" w:type="pct"/>
            <w:vAlign w:val="center"/>
          </w:tcPr>
          <w:p w:rsidR="00177AF0" w:rsidRPr="00BD2DB2" w:rsidRDefault="00177AF0" w:rsidP="006326B9">
            <w:pPr>
              <w:jc w:val="center"/>
              <w:rPr>
                <w:b/>
                <w:lang w:val="en-GB"/>
              </w:rPr>
            </w:pPr>
            <w:r w:rsidRPr="00BD2DB2">
              <w:rPr>
                <w:b/>
                <w:lang w:val="en-GB"/>
              </w:rPr>
              <w:t>45</w:t>
            </w:r>
            <w:r w:rsidR="008E6571">
              <w:rPr>
                <w:b/>
                <w:lang w:val="en-GB"/>
              </w:rPr>
              <w:t>.</w:t>
            </w:r>
            <w:r w:rsidRPr="00BD2DB2">
              <w:rPr>
                <w:b/>
                <w:lang w:val="en-GB"/>
              </w:rPr>
              <w:t>7%</w:t>
            </w:r>
          </w:p>
        </w:tc>
        <w:tc>
          <w:tcPr>
            <w:tcW w:w="680" w:type="pct"/>
            <w:vAlign w:val="center"/>
          </w:tcPr>
          <w:p w:rsidR="00177AF0" w:rsidRPr="00BD2DB2" w:rsidRDefault="0096122C" w:rsidP="006326B9">
            <w:pPr>
              <w:jc w:val="center"/>
              <w:rPr>
                <w:b/>
                <w:lang w:val="en-GB"/>
              </w:rPr>
            </w:pPr>
            <w:r w:rsidRPr="00BD2DB2">
              <w:rPr>
                <w:b/>
                <w:lang w:val="en-GB"/>
              </w:rPr>
              <w:t>45</w:t>
            </w:r>
            <w:r w:rsidR="008E6571">
              <w:rPr>
                <w:b/>
                <w:lang w:val="en-GB"/>
              </w:rPr>
              <w:t>.</w:t>
            </w:r>
            <w:r w:rsidRPr="00BD2DB2">
              <w:rPr>
                <w:b/>
                <w:lang w:val="en-GB"/>
              </w:rPr>
              <w:t>5%</w:t>
            </w:r>
          </w:p>
        </w:tc>
      </w:tr>
      <w:tr w:rsidR="006B363A" w:rsidRPr="00BD2DB2" w:rsidTr="006326B9">
        <w:tc>
          <w:tcPr>
            <w:tcW w:w="1576" w:type="pct"/>
            <w:shd w:val="clear" w:color="auto" w:fill="D9D9D9" w:themeFill="background1" w:themeFillShade="D9"/>
          </w:tcPr>
          <w:p w:rsidR="006B363A" w:rsidRPr="00BD2DB2" w:rsidRDefault="003F0248" w:rsidP="006B363A">
            <w:pPr>
              <w:rPr>
                <w:lang w:val="en-GB"/>
              </w:rPr>
            </w:pPr>
            <w:r>
              <w:rPr>
                <w:b/>
                <w:u w:val="single"/>
                <w:lang w:val="en-GB"/>
              </w:rPr>
              <w:t>Nursery</w:t>
            </w:r>
            <w:r>
              <w:rPr>
                <w:b/>
                <w:lang w:val="en-GB"/>
              </w:rPr>
              <w:t xml:space="preserve"> education</w:t>
            </w:r>
            <w:r>
              <w:rPr>
                <w:b/>
                <w:lang w:val="en-GB"/>
              </w:rPr>
              <w:br/>
              <w:t xml:space="preserve">private and </w:t>
            </w:r>
            <w:r w:rsidR="006B363A" w:rsidRPr="00BD2DB2">
              <w:rPr>
                <w:b/>
                <w:lang w:val="en-GB"/>
              </w:rPr>
              <w:t>international</w:t>
            </w:r>
            <w:r>
              <w:rPr>
                <w:b/>
                <w:lang w:val="en-GB"/>
              </w:rPr>
              <w:t xml:space="preserve"> schools</w:t>
            </w:r>
          </w:p>
        </w:tc>
        <w:tc>
          <w:tcPr>
            <w:tcW w:w="686" w:type="pct"/>
            <w:vAlign w:val="center"/>
          </w:tcPr>
          <w:p w:rsidR="006B363A" w:rsidRPr="00BD2DB2" w:rsidRDefault="00D23F2D" w:rsidP="006326B9">
            <w:pPr>
              <w:jc w:val="center"/>
              <w:rPr>
                <w:b/>
                <w:lang w:val="en-GB"/>
              </w:rPr>
            </w:pPr>
            <w:r w:rsidRPr="00BD2DB2">
              <w:rPr>
                <w:b/>
                <w:lang w:val="en-GB"/>
              </w:rPr>
              <w:t>1300</w:t>
            </w:r>
          </w:p>
        </w:tc>
        <w:tc>
          <w:tcPr>
            <w:tcW w:w="686" w:type="pct"/>
            <w:vAlign w:val="center"/>
          </w:tcPr>
          <w:p w:rsidR="006B363A" w:rsidRPr="00BD2DB2" w:rsidRDefault="006B363A" w:rsidP="006326B9">
            <w:pPr>
              <w:jc w:val="center"/>
              <w:rPr>
                <w:b/>
                <w:lang w:val="en-GB"/>
              </w:rPr>
            </w:pPr>
            <w:r w:rsidRPr="00BD2DB2">
              <w:rPr>
                <w:b/>
                <w:lang w:val="en-GB"/>
              </w:rPr>
              <w:t>1321</w:t>
            </w:r>
          </w:p>
        </w:tc>
        <w:tc>
          <w:tcPr>
            <w:tcW w:w="686" w:type="pct"/>
            <w:vAlign w:val="center"/>
          </w:tcPr>
          <w:p w:rsidR="006B363A" w:rsidRPr="00BD2DB2" w:rsidRDefault="006B363A" w:rsidP="006326B9">
            <w:pPr>
              <w:jc w:val="center"/>
              <w:rPr>
                <w:b/>
                <w:lang w:val="en-GB"/>
              </w:rPr>
            </w:pPr>
            <w:r w:rsidRPr="00BD2DB2">
              <w:rPr>
                <w:b/>
                <w:lang w:val="en-GB"/>
              </w:rPr>
              <w:t>1461</w:t>
            </w:r>
          </w:p>
        </w:tc>
        <w:tc>
          <w:tcPr>
            <w:tcW w:w="686" w:type="pct"/>
            <w:vAlign w:val="center"/>
          </w:tcPr>
          <w:p w:rsidR="006B363A" w:rsidRPr="00BD2DB2" w:rsidRDefault="006B363A" w:rsidP="006326B9">
            <w:pPr>
              <w:jc w:val="center"/>
              <w:rPr>
                <w:b/>
                <w:lang w:val="en-GB"/>
              </w:rPr>
            </w:pPr>
            <w:r w:rsidRPr="00BD2DB2">
              <w:rPr>
                <w:b/>
                <w:lang w:val="en-GB"/>
              </w:rPr>
              <w:t>1540</w:t>
            </w:r>
          </w:p>
        </w:tc>
        <w:tc>
          <w:tcPr>
            <w:tcW w:w="680" w:type="pct"/>
            <w:vAlign w:val="center"/>
          </w:tcPr>
          <w:p w:rsidR="006B363A" w:rsidRPr="00BD2DB2" w:rsidRDefault="00E263D9" w:rsidP="006326B9">
            <w:pPr>
              <w:jc w:val="center"/>
              <w:rPr>
                <w:b/>
                <w:lang w:val="en-GB"/>
              </w:rPr>
            </w:pPr>
            <w:r w:rsidRPr="00BD2DB2">
              <w:rPr>
                <w:b/>
                <w:lang w:val="en-GB"/>
              </w:rPr>
              <w:t>1620</w:t>
            </w:r>
          </w:p>
        </w:tc>
      </w:tr>
      <w:tr w:rsidR="006B363A" w:rsidRPr="00BD2DB2" w:rsidTr="006326B9">
        <w:tc>
          <w:tcPr>
            <w:tcW w:w="5000" w:type="pct"/>
            <w:gridSpan w:val="6"/>
            <w:vAlign w:val="center"/>
          </w:tcPr>
          <w:p w:rsidR="006B363A" w:rsidRPr="00BD2DB2" w:rsidRDefault="006B363A" w:rsidP="006326B9">
            <w:pPr>
              <w:jc w:val="center"/>
              <w:rPr>
                <w:b/>
                <w:lang w:val="en-GB"/>
              </w:rPr>
            </w:pPr>
          </w:p>
        </w:tc>
      </w:tr>
      <w:tr w:rsidR="00177AF0" w:rsidRPr="00BD2DB2" w:rsidTr="006326B9">
        <w:tc>
          <w:tcPr>
            <w:tcW w:w="1576" w:type="pct"/>
            <w:shd w:val="clear" w:color="auto" w:fill="D9D9D9" w:themeFill="background1" w:themeFillShade="D9"/>
          </w:tcPr>
          <w:p w:rsidR="00177AF0" w:rsidRPr="00BD2DB2" w:rsidRDefault="003F0248" w:rsidP="00C4647B">
            <w:pPr>
              <w:rPr>
                <w:lang w:val="en-GB"/>
              </w:rPr>
            </w:pPr>
            <w:r>
              <w:rPr>
                <w:b/>
                <w:lang w:val="en-GB"/>
              </w:rPr>
              <w:t>National</w:t>
            </w:r>
            <w:r w:rsidR="00177AF0" w:rsidRPr="00BD2DB2">
              <w:rPr>
                <w:b/>
                <w:lang w:val="en-GB"/>
              </w:rPr>
              <w:t xml:space="preserve"> </w:t>
            </w:r>
            <w:r w:rsidR="00177AF0" w:rsidRPr="00BD2DB2">
              <w:rPr>
                <w:b/>
                <w:u w:val="single"/>
                <w:lang w:val="en-GB"/>
              </w:rPr>
              <w:t>prima</w:t>
            </w:r>
            <w:r>
              <w:rPr>
                <w:b/>
                <w:u w:val="single"/>
                <w:lang w:val="en-GB"/>
              </w:rPr>
              <w:t>ry</w:t>
            </w:r>
            <w:r>
              <w:rPr>
                <w:b/>
                <w:lang w:val="en-GB"/>
              </w:rPr>
              <w:t xml:space="preserve"> education</w:t>
            </w:r>
            <w:r w:rsidR="00177AF0" w:rsidRPr="00BD2DB2">
              <w:rPr>
                <w:b/>
                <w:lang w:val="en-GB"/>
              </w:rPr>
              <w:br/>
              <w:t>Cycles 2-4</w:t>
            </w:r>
          </w:p>
        </w:tc>
        <w:tc>
          <w:tcPr>
            <w:tcW w:w="686" w:type="pct"/>
            <w:vAlign w:val="center"/>
          </w:tcPr>
          <w:p w:rsidR="0009055C" w:rsidRPr="00BD2DB2" w:rsidRDefault="0009055C" w:rsidP="006326B9">
            <w:pPr>
              <w:jc w:val="center"/>
              <w:rPr>
                <w:b/>
                <w:lang w:val="en-GB"/>
              </w:rPr>
            </w:pPr>
            <w:r w:rsidRPr="00BD2DB2">
              <w:rPr>
                <w:b/>
                <w:lang w:val="en-GB"/>
              </w:rPr>
              <w:t>31975</w:t>
            </w:r>
          </w:p>
        </w:tc>
        <w:tc>
          <w:tcPr>
            <w:tcW w:w="686" w:type="pct"/>
            <w:vAlign w:val="center"/>
          </w:tcPr>
          <w:p w:rsidR="0009055C" w:rsidRPr="00BD2DB2" w:rsidRDefault="0009055C" w:rsidP="006326B9">
            <w:pPr>
              <w:jc w:val="center"/>
              <w:rPr>
                <w:b/>
                <w:lang w:val="en-GB"/>
              </w:rPr>
            </w:pPr>
            <w:r w:rsidRPr="00BD2DB2">
              <w:rPr>
                <w:b/>
                <w:lang w:val="en-GB"/>
              </w:rPr>
              <w:t>31894</w:t>
            </w:r>
          </w:p>
        </w:tc>
        <w:tc>
          <w:tcPr>
            <w:tcW w:w="686" w:type="pct"/>
            <w:vAlign w:val="center"/>
          </w:tcPr>
          <w:p w:rsidR="0009055C" w:rsidRPr="00BD2DB2" w:rsidRDefault="0009055C" w:rsidP="006326B9">
            <w:pPr>
              <w:jc w:val="center"/>
              <w:rPr>
                <w:b/>
                <w:lang w:val="en-GB"/>
              </w:rPr>
            </w:pPr>
            <w:r w:rsidRPr="00BD2DB2">
              <w:rPr>
                <w:b/>
                <w:lang w:val="en-GB"/>
              </w:rPr>
              <w:t>32152</w:t>
            </w:r>
          </w:p>
        </w:tc>
        <w:tc>
          <w:tcPr>
            <w:tcW w:w="686" w:type="pct"/>
            <w:vAlign w:val="center"/>
          </w:tcPr>
          <w:p w:rsidR="0009055C" w:rsidRPr="00BD2DB2" w:rsidRDefault="0009055C" w:rsidP="006326B9">
            <w:pPr>
              <w:jc w:val="center"/>
              <w:rPr>
                <w:b/>
                <w:lang w:val="en-GB"/>
              </w:rPr>
            </w:pPr>
            <w:r w:rsidRPr="00BD2DB2">
              <w:rPr>
                <w:b/>
                <w:lang w:val="en-GB"/>
              </w:rPr>
              <w:t>32556</w:t>
            </w:r>
          </w:p>
        </w:tc>
        <w:tc>
          <w:tcPr>
            <w:tcW w:w="680" w:type="pct"/>
            <w:vAlign w:val="center"/>
          </w:tcPr>
          <w:p w:rsidR="00177AF0" w:rsidRPr="00BD2DB2" w:rsidRDefault="0096122C" w:rsidP="006326B9">
            <w:pPr>
              <w:jc w:val="center"/>
              <w:rPr>
                <w:b/>
                <w:lang w:val="en-GB"/>
              </w:rPr>
            </w:pPr>
            <w:r w:rsidRPr="00BD2DB2">
              <w:rPr>
                <w:b/>
                <w:lang w:val="en-GB"/>
              </w:rPr>
              <w:t>33107</w:t>
            </w:r>
          </w:p>
        </w:tc>
      </w:tr>
      <w:tr w:rsidR="00177AF0" w:rsidRPr="00BD2DB2" w:rsidTr="006326B9">
        <w:tc>
          <w:tcPr>
            <w:tcW w:w="1576" w:type="pct"/>
            <w:shd w:val="clear" w:color="auto" w:fill="D9D9D9" w:themeFill="background1" w:themeFillShade="D9"/>
          </w:tcPr>
          <w:p w:rsidR="00177AF0" w:rsidRPr="00BD2DB2" w:rsidRDefault="003F0248" w:rsidP="00C4647B">
            <w:pPr>
              <w:rPr>
                <w:lang w:val="en-GB"/>
              </w:rPr>
            </w:pPr>
            <w:r>
              <w:rPr>
                <w:b/>
                <w:lang w:val="en-GB"/>
              </w:rPr>
              <w:t>of which foreigners</w:t>
            </w:r>
          </w:p>
        </w:tc>
        <w:tc>
          <w:tcPr>
            <w:tcW w:w="686" w:type="pct"/>
            <w:vAlign w:val="center"/>
          </w:tcPr>
          <w:p w:rsidR="00177AF0" w:rsidRPr="00BD2DB2" w:rsidRDefault="0009055C" w:rsidP="006326B9">
            <w:pPr>
              <w:jc w:val="center"/>
              <w:rPr>
                <w:b/>
                <w:lang w:val="en-GB"/>
              </w:rPr>
            </w:pPr>
            <w:r w:rsidRPr="00BD2DB2">
              <w:rPr>
                <w:b/>
                <w:lang w:val="en-GB"/>
              </w:rPr>
              <w:t>50</w:t>
            </w:r>
            <w:r w:rsidR="008E6571">
              <w:rPr>
                <w:b/>
                <w:lang w:val="en-GB"/>
              </w:rPr>
              <w:t>.</w:t>
            </w:r>
            <w:r w:rsidRPr="00BD2DB2">
              <w:rPr>
                <w:b/>
                <w:lang w:val="en-GB"/>
              </w:rPr>
              <w:t>0%</w:t>
            </w:r>
          </w:p>
        </w:tc>
        <w:tc>
          <w:tcPr>
            <w:tcW w:w="686" w:type="pct"/>
            <w:vAlign w:val="center"/>
          </w:tcPr>
          <w:p w:rsidR="00177AF0" w:rsidRPr="00BD2DB2" w:rsidRDefault="0009055C" w:rsidP="006326B9">
            <w:pPr>
              <w:jc w:val="center"/>
              <w:rPr>
                <w:b/>
                <w:lang w:val="en-GB"/>
              </w:rPr>
            </w:pPr>
            <w:r w:rsidRPr="00BD2DB2">
              <w:rPr>
                <w:b/>
                <w:lang w:val="en-GB"/>
              </w:rPr>
              <w:t>50</w:t>
            </w:r>
            <w:r w:rsidR="008E6571">
              <w:rPr>
                <w:b/>
                <w:lang w:val="en-GB"/>
              </w:rPr>
              <w:t>.</w:t>
            </w:r>
            <w:r w:rsidRPr="00BD2DB2">
              <w:rPr>
                <w:b/>
                <w:lang w:val="en-GB"/>
              </w:rPr>
              <w:t>3%</w:t>
            </w:r>
          </w:p>
        </w:tc>
        <w:tc>
          <w:tcPr>
            <w:tcW w:w="686" w:type="pct"/>
            <w:vAlign w:val="center"/>
          </w:tcPr>
          <w:p w:rsidR="00177AF0" w:rsidRPr="00BD2DB2" w:rsidRDefault="0009055C" w:rsidP="006326B9">
            <w:pPr>
              <w:jc w:val="center"/>
              <w:rPr>
                <w:b/>
                <w:lang w:val="en-GB"/>
              </w:rPr>
            </w:pPr>
            <w:r w:rsidRPr="00BD2DB2">
              <w:rPr>
                <w:b/>
                <w:lang w:val="en-GB"/>
              </w:rPr>
              <w:t>50</w:t>
            </w:r>
            <w:r w:rsidR="008E6571">
              <w:rPr>
                <w:b/>
                <w:lang w:val="en-GB"/>
              </w:rPr>
              <w:t>.</w:t>
            </w:r>
            <w:r w:rsidRPr="00BD2DB2">
              <w:rPr>
                <w:b/>
                <w:lang w:val="en-GB"/>
              </w:rPr>
              <w:t>4%</w:t>
            </w:r>
          </w:p>
        </w:tc>
        <w:tc>
          <w:tcPr>
            <w:tcW w:w="686" w:type="pct"/>
            <w:vAlign w:val="center"/>
          </w:tcPr>
          <w:p w:rsidR="00177AF0" w:rsidRPr="00BD2DB2" w:rsidRDefault="00177AF0" w:rsidP="006326B9">
            <w:pPr>
              <w:jc w:val="center"/>
              <w:rPr>
                <w:b/>
                <w:lang w:val="en-GB"/>
              </w:rPr>
            </w:pPr>
            <w:r w:rsidRPr="00BD2DB2">
              <w:rPr>
                <w:b/>
                <w:lang w:val="en-GB"/>
              </w:rPr>
              <w:t>46</w:t>
            </w:r>
            <w:r w:rsidR="008E6571">
              <w:rPr>
                <w:b/>
                <w:lang w:val="en-GB"/>
              </w:rPr>
              <w:t>.</w:t>
            </w:r>
            <w:r w:rsidRPr="00BD2DB2">
              <w:rPr>
                <w:b/>
                <w:lang w:val="en-GB"/>
              </w:rPr>
              <w:t>1%</w:t>
            </w:r>
          </w:p>
        </w:tc>
        <w:tc>
          <w:tcPr>
            <w:tcW w:w="680" w:type="pct"/>
            <w:vAlign w:val="center"/>
          </w:tcPr>
          <w:p w:rsidR="00177AF0" w:rsidRPr="00BD2DB2" w:rsidRDefault="0096122C" w:rsidP="006326B9">
            <w:pPr>
              <w:jc w:val="center"/>
              <w:rPr>
                <w:b/>
                <w:lang w:val="en-GB"/>
              </w:rPr>
            </w:pPr>
            <w:r w:rsidRPr="00BD2DB2">
              <w:rPr>
                <w:b/>
                <w:lang w:val="en-GB"/>
              </w:rPr>
              <w:t>46</w:t>
            </w:r>
            <w:r w:rsidR="008E6571">
              <w:rPr>
                <w:b/>
                <w:lang w:val="en-GB"/>
              </w:rPr>
              <w:t>.</w:t>
            </w:r>
            <w:r w:rsidRPr="00BD2DB2">
              <w:rPr>
                <w:b/>
                <w:lang w:val="en-GB"/>
              </w:rPr>
              <w:t>2%</w:t>
            </w:r>
          </w:p>
        </w:tc>
      </w:tr>
      <w:tr w:rsidR="006B363A" w:rsidRPr="00BD2DB2" w:rsidTr="006326B9">
        <w:tc>
          <w:tcPr>
            <w:tcW w:w="1576" w:type="pct"/>
            <w:shd w:val="clear" w:color="auto" w:fill="D9D9D9" w:themeFill="background1" w:themeFillShade="D9"/>
          </w:tcPr>
          <w:p w:rsidR="006B363A" w:rsidRPr="00BD2DB2" w:rsidRDefault="003F0248" w:rsidP="006B363A">
            <w:pPr>
              <w:rPr>
                <w:lang w:val="en-GB"/>
              </w:rPr>
            </w:pPr>
            <w:r w:rsidRPr="003F0248">
              <w:rPr>
                <w:b/>
                <w:u w:val="single"/>
                <w:lang w:val="en-GB"/>
              </w:rPr>
              <w:t>Primary</w:t>
            </w:r>
            <w:r>
              <w:rPr>
                <w:b/>
                <w:lang w:val="en-GB"/>
              </w:rPr>
              <w:t xml:space="preserve"> education</w:t>
            </w:r>
            <w:r>
              <w:rPr>
                <w:b/>
                <w:lang w:val="en-GB"/>
              </w:rPr>
              <w:br/>
              <w:t xml:space="preserve">private and </w:t>
            </w:r>
            <w:r w:rsidRPr="00BD2DB2">
              <w:rPr>
                <w:b/>
                <w:lang w:val="en-GB"/>
              </w:rPr>
              <w:t>international</w:t>
            </w:r>
            <w:r>
              <w:rPr>
                <w:b/>
                <w:lang w:val="en-GB"/>
              </w:rPr>
              <w:t xml:space="preserve"> schools</w:t>
            </w:r>
          </w:p>
        </w:tc>
        <w:tc>
          <w:tcPr>
            <w:tcW w:w="686" w:type="pct"/>
            <w:vAlign w:val="center"/>
          </w:tcPr>
          <w:p w:rsidR="006B363A" w:rsidRPr="00BD2DB2" w:rsidRDefault="00D23F2D" w:rsidP="006326B9">
            <w:pPr>
              <w:jc w:val="center"/>
              <w:rPr>
                <w:b/>
                <w:lang w:val="en-GB"/>
              </w:rPr>
            </w:pPr>
            <w:r w:rsidRPr="00BD2DB2">
              <w:rPr>
                <w:b/>
                <w:lang w:val="en-GB"/>
              </w:rPr>
              <w:t>3275</w:t>
            </w:r>
          </w:p>
        </w:tc>
        <w:tc>
          <w:tcPr>
            <w:tcW w:w="686" w:type="pct"/>
            <w:vAlign w:val="center"/>
          </w:tcPr>
          <w:p w:rsidR="006B363A" w:rsidRPr="00BD2DB2" w:rsidRDefault="006B363A" w:rsidP="006326B9">
            <w:pPr>
              <w:jc w:val="center"/>
              <w:rPr>
                <w:b/>
                <w:lang w:val="en-GB"/>
              </w:rPr>
            </w:pPr>
            <w:r w:rsidRPr="00BD2DB2">
              <w:rPr>
                <w:b/>
                <w:lang w:val="en-GB"/>
              </w:rPr>
              <w:t>3541</w:t>
            </w:r>
          </w:p>
        </w:tc>
        <w:tc>
          <w:tcPr>
            <w:tcW w:w="686" w:type="pct"/>
            <w:vAlign w:val="center"/>
          </w:tcPr>
          <w:p w:rsidR="006B363A" w:rsidRPr="00BD2DB2" w:rsidRDefault="006B363A" w:rsidP="006326B9">
            <w:pPr>
              <w:jc w:val="center"/>
              <w:rPr>
                <w:b/>
                <w:lang w:val="en-GB"/>
              </w:rPr>
            </w:pPr>
            <w:r w:rsidRPr="00BD2DB2">
              <w:rPr>
                <w:b/>
                <w:lang w:val="en-GB"/>
              </w:rPr>
              <w:t>3768</w:t>
            </w:r>
          </w:p>
        </w:tc>
        <w:tc>
          <w:tcPr>
            <w:tcW w:w="686" w:type="pct"/>
            <w:vAlign w:val="center"/>
          </w:tcPr>
          <w:p w:rsidR="006B363A" w:rsidRPr="00BD2DB2" w:rsidRDefault="006B363A" w:rsidP="006326B9">
            <w:pPr>
              <w:jc w:val="center"/>
              <w:rPr>
                <w:b/>
                <w:lang w:val="en-GB"/>
              </w:rPr>
            </w:pPr>
            <w:r w:rsidRPr="00BD2DB2">
              <w:rPr>
                <w:b/>
                <w:lang w:val="en-GB"/>
              </w:rPr>
              <w:t>4070</w:t>
            </w:r>
          </w:p>
        </w:tc>
        <w:tc>
          <w:tcPr>
            <w:tcW w:w="680" w:type="pct"/>
            <w:vAlign w:val="center"/>
          </w:tcPr>
          <w:p w:rsidR="006B363A" w:rsidRPr="00BD2DB2" w:rsidRDefault="0096122C" w:rsidP="006326B9">
            <w:pPr>
              <w:jc w:val="center"/>
              <w:rPr>
                <w:b/>
                <w:lang w:val="en-GB"/>
              </w:rPr>
            </w:pPr>
            <w:r w:rsidRPr="00BD2DB2">
              <w:rPr>
                <w:b/>
                <w:lang w:val="en-GB"/>
              </w:rPr>
              <w:t>4356</w:t>
            </w:r>
          </w:p>
        </w:tc>
      </w:tr>
      <w:tr w:rsidR="00177AF0" w:rsidRPr="00BD2DB2" w:rsidTr="00177AF0">
        <w:tc>
          <w:tcPr>
            <w:tcW w:w="5000" w:type="pct"/>
            <w:gridSpan w:val="6"/>
          </w:tcPr>
          <w:p w:rsidR="00177AF0" w:rsidRPr="00BD2DB2" w:rsidRDefault="00177AF0" w:rsidP="00C4647B">
            <w:pPr>
              <w:jc w:val="center"/>
              <w:rPr>
                <w:b/>
                <w:lang w:val="en-GB"/>
              </w:rPr>
            </w:pPr>
          </w:p>
        </w:tc>
      </w:tr>
      <w:tr w:rsidR="00177AF0" w:rsidRPr="00BD2DB2" w:rsidTr="00CF2433">
        <w:tc>
          <w:tcPr>
            <w:tcW w:w="1576" w:type="pct"/>
            <w:shd w:val="clear" w:color="auto" w:fill="D9D9D9" w:themeFill="background1" w:themeFillShade="D9"/>
          </w:tcPr>
          <w:p w:rsidR="00177AF0" w:rsidRPr="00BD2DB2" w:rsidRDefault="003F0248" w:rsidP="00C4647B">
            <w:pPr>
              <w:jc w:val="right"/>
              <w:rPr>
                <w:lang w:val="en-GB"/>
              </w:rPr>
            </w:pPr>
            <w:r>
              <w:rPr>
                <w:b/>
                <w:lang w:val="en-GB"/>
              </w:rPr>
              <w:t>1st language spoken at home</w:t>
            </w:r>
          </w:p>
        </w:tc>
        <w:tc>
          <w:tcPr>
            <w:tcW w:w="3424" w:type="pct"/>
            <w:gridSpan w:val="5"/>
          </w:tcPr>
          <w:p w:rsidR="00177AF0" w:rsidRPr="00BD2DB2" w:rsidRDefault="00177AF0" w:rsidP="00C4647B">
            <w:pPr>
              <w:jc w:val="center"/>
              <w:rPr>
                <w:b/>
                <w:lang w:val="en-GB"/>
              </w:rPr>
            </w:pPr>
          </w:p>
        </w:tc>
      </w:tr>
      <w:tr w:rsidR="00C4647B" w:rsidRPr="00BD2DB2" w:rsidTr="00CF2433">
        <w:tc>
          <w:tcPr>
            <w:tcW w:w="1576" w:type="pct"/>
            <w:shd w:val="clear" w:color="auto" w:fill="D9D9D9" w:themeFill="background1" w:themeFillShade="D9"/>
          </w:tcPr>
          <w:p w:rsidR="00C4647B" w:rsidRPr="003F0248" w:rsidRDefault="003F0248" w:rsidP="00C4647B">
            <w:pPr>
              <w:jc w:val="right"/>
              <w:rPr>
                <w:b/>
                <w:lang w:val="en-GB"/>
              </w:rPr>
            </w:pPr>
            <w:r w:rsidRPr="003F0248">
              <w:rPr>
                <w:b/>
                <w:bCs/>
                <w:lang w:val="en-GB"/>
              </w:rPr>
              <w:t>Lëtzebuergesch</w:t>
            </w:r>
          </w:p>
        </w:tc>
        <w:tc>
          <w:tcPr>
            <w:tcW w:w="686" w:type="pct"/>
          </w:tcPr>
          <w:p w:rsidR="00C4647B" w:rsidRPr="00BD2DB2" w:rsidRDefault="0060251D" w:rsidP="00C4647B">
            <w:pPr>
              <w:jc w:val="center"/>
              <w:rPr>
                <w:b/>
                <w:lang w:val="en-GB"/>
              </w:rPr>
            </w:pPr>
            <w:r w:rsidRPr="00BD2DB2">
              <w:rPr>
                <w:b/>
                <w:lang w:val="en-GB"/>
              </w:rPr>
              <w:t>39</w:t>
            </w:r>
            <w:r w:rsidR="008E6571">
              <w:rPr>
                <w:b/>
                <w:lang w:val="en-GB"/>
              </w:rPr>
              <w:t>.</w:t>
            </w:r>
            <w:r w:rsidRPr="00BD2DB2">
              <w:rPr>
                <w:b/>
                <w:lang w:val="en-GB"/>
              </w:rPr>
              <w:t>8%</w:t>
            </w:r>
          </w:p>
        </w:tc>
        <w:tc>
          <w:tcPr>
            <w:tcW w:w="686" w:type="pct"/>
          </w:tcPr>
          <w:p w:rsidR="00C4647B" w:rsidRPr="00BD2DB2" w:rsidRDefault="0060251D" w:rsidP="00C4647B">
            <w:pPr>
              <w:jc w:val="center"/>
              <w:rPr>
                <w:b/>
                <w:lang w:val="en-GB"/>
              </w:rPr>
            </w:pPr>
            <w:r w:rsidRPr="00BD2DB2">
              <w:rPr>
                <w:b/>
                <w:lang w:val="en-GB"/>
              </w:rPr>
              <w:t>38</w:t>
            </w:r>
            <w:r w:rsidR="008E6571">
              <w:rPr>
                <w:b/>
                <w:lang w:val="en-GB"/>
              </w:rPr>
              <w:t>.</w:t>
            </w:r>
            <w:r w:rsidRPr="00BD2DB2">
              <w:rPr>
                <w:b/>
                <w:lang w:val="en-GB"/>
              </w:rPr>
              <w:t>7%</w:t>
            </w:r>
          </w:p>
        </w:tc>
        <w:tc>
          <w:tcPr>
            <w:tcW w:w="686" w:type="pct"/>
          </w:tcPr>
          <w:p w:rsidR="00C4647B" w:rsidRPr="00BD2DB2" w:rsidRDefault="0060251D" w:rsidP="00C4647B">
            <w:pPr>
              <w:jc w:val="center"/>
              <w:rPr>
                <w:b/>
                <w:lang w:val="en-GB"/>
              </w:rPr>
            </w:pPr>
            <w:r w:rsidRPr="00BD2DB2">
              <w:rPr>
                <w:b/>
                <w:lang w:val="en-GB"/>
              </w:rPr>
              <w:t>37</w:t>
            </w:r>
            <w:r w:rsidR="008E6571">
              <w:rPr>
                <w:b/>
                <w:lang w:val="en-GB"/>
              </w:rPr>
              <w:t>.</w:t>
            </w:r>
            <w:r w:rsidRPr="00BD2DB2">
              <w:rPr>
                <w:b/>
                <w:lang w:val="en-GB"/>
              </w:rPr>
              <w:t>6%</w:t>
            </w:r>
          </w:p>
        </w:tc>
        <w:tc>
          <w:tcPr>
            <w:tcW w:w="686" w:type="pct"/>
          </w:tcPr>
          <w:p w:rsidR="00C4647B" w:rsidRPr="00BD2DB2" w:rsidRDefault="0060251D" w:rsidP="00C4647B">
            <w:pPr>
              <w:jc w:val="center"/>
              <w:rPr>
                <w:b/>
                <w:lang w:val="en-GB"/>
              </w:rPr>
            </w:pPr>
            <w:r w:rsidRPr="00BD2DB2">
              <w:rPr>
                <w:b/>
                <w:lang w:val="en-GB"/>
              </w:rPr>
              <w:t>36</w:t>
            </w:r>
            <w:r w:rsidR="008E6571">
              <w:rPr>
                <w:b/>
                <w:lang w:val="en-GB"/>
              </w:rPr>
              <w:t>.</w:t>
            </w:r>
            <w:r w:rsidRPr="00BD2DB2">
              <w:rPr>
                <w:b/>
                <w:lang w:val="en-GB"/>
              </w:rPr>
              <w:t>5%</w:t>
            </w:r>
          </w:p>
        </w:tc>
        <w:tc>
          <w:tcPr>
            <w:tcW w:w="680" w:type="pct"/>
          </w:tcPr>
          <w:p w:rsidR="00C4647B" w:rsidRPr="00BD2DB2" w:rsidRDefault="0096122C" w:rsidP="00C4647B">
            <w:pPr>
              <w:jc w:val="center"/>
              <w:rPr>
                <w:b/>
                <w:lang w:val="en-GB"/>
              </w:rPr>
            </w:pPr>
            <w:r w:rsidRPr="00BD2DB2">
              <w:rPr>
                <w:b/>
                <w:lang w:val="en-GB"/>
              </w:rPr>
              <w:t>35</w:t>
            </w:r>
            <w:r w:rsidR="008E6571">
              <w:rPr>
                <w:b/>
                <w:lang w:val="en-GB"/>
              </w:rPr>
              <w:t>.</w:t>
            </w:r>
            <w:r w:rsidRPr="00BD2DB2">
              <w:rPr>
                <w:b/>
                <w:lang w:val="en-GB"/>
              </w:rPr>
              <w:t>8%</w:t>
            </w:r>
          </w:p>
        </w:tc>
      </w:tr>
      <w:tr w:rsidR="00C4647B" w:rsidRPr="00BD2DB2" w:rsidTr="00CF2433">
        <w:tc>
          <w:tcPr>
            <w:tcW w:w="1576" w:type="pct"/>
            <w:shd w:val="clear" w:color="auto" w:fill="D9D9D9" w:themeFill="background1" w:themeFillShade="D9"/>
          </w:tcPr>
          <w:p w:rsidR="00C4647B" w:rsidRPr="00BD2DB2" w:rsidRDefault="003F0248" w:rsidP="00C4647B">
            <w:pPr>
              <w:jc w:val="right"/>
              <w:rPr>
                <w:lang w:val="en-GB"/>
              </w:rPr>
            </w:pPr>
            <w:r>
              <w:rPr>
                <w:b/>
                <w:lang w:val="en-GB"/>
              </w:rPr>
              <w:t>Other</w:t>
            </w:r>
          </w:p>
        </w:tc>
        <w:tc>
          <w:tcPr>
            <w:tcW w:w="686" w:type="pct"/>
          </w:tcPr>
          <w:p w:rsidR="00C4647B" w:rsidRPr="00BD2DB2" w:rsidRDefault="00FB507E" w:rsidP="00C4647B">
            <w:pPr>
              <w:jc w:val="center"/>
              <w:rPr>
                <w:b/>
                <w:lang w:val="en-GB"/>
              </w:rPr>
            </w:pPr>
            <w:r w:rsidRPr="00BD2DB2">
              <w:rPr>
                <w:b/>
                <w:lang w:val="en-GB"/>
              </w:rPr>
              <w:t>60</w:t>
            </w:r>
            <w:r w:rsidR="008E6571">
              <w:rPr>
                <w:b/>
                <w:lang w:val="en-GB"/>
              </w:rPr>
              <w:t>.</w:t>
            </w:r>
            <w:r w:rsidRPr="00BD2DB2">
              <w:rPr>
                <w:b/>
                <w:lang w:val="en-GB"/>
              </w:rPr>
              <w:t>2%</w:t>
            </w:r>
          </w:p>
        </w:tc>
        <w:tc>
          <w:tcPr>
            <w:tcW w:w="686" w:type="pct"/>
          </w:tcPr>
          <w:p w:rsidR="00C4647B" w:rsidRPr="00BD2DB2" w:rsidRDefault="00FB507E" w:rsidP="00C4647B">
            <w:pPr>
              <w:jc w:val="center"/>
              <w:rPr>
                <w:b/>
                <w:lang w:val="en-GB"/>
              </w:rPr>
            </w:pPr>
            <w:r w:rsidRPr="00BD2DB2">
              <w:rPr>
                <w:b/>
                <w:lang w:val="en-GB"/>
              </w:rPr>
              <w:t>61</w:t>
            </w:r>
            <w:r w:rsidR="008E6571">
              <w:rPr>
                <w:b/>
                <w:lang w:val="en-GB"/>
              </w:rPr>
              <w:t>.</w:t>
            </w:r>
            <w:r w:rsidRPr="00BD2DB2">
              <w:rPr>
                <w:b/>
                <w:lang w:val="en-GB"/>
              </w:rPr>
              <w:t>3%</w:t>
            </w:r>
          </w:p>
        </w:tc>
        <w:tc>
          <w:tcPr>
            <w:tcW w:w="686" w:type="pct"/>
          </w:tcPr>
          <w:p w:rsidR="00C4647B" w:rsidRPr="00BD2DB2" w:rsidRDefault="00FB507E" w:rsidP="00C4647B">
            <w:pPr>
              <w:jc w:val="center"/>
              <w:rPr>
                <w:b/>
                <w:lang w:val="en-GB"/>
              </w:rPr>
            </w:pPr>
            <w:r w:rsidRPr="00BD2DB2">
              <w:rPr>
                <w:b/>
                <w:lang w:val="en-GB"/>
              </w:rPr>
              <w:t>62</w:t>
            </w:r>
            <w:r w:rsidR="008E6571">
              <w:rPr>
                <w:b/>
                <w:lang w:val="en-GB"/>
              </w:rPr>
              <w:t>.</w:t>
            </w:r>
            <w:r w:rsidRPr="00BD2DB2">
              <w:rPr>
                <w:b/>
                <w:lang w:val="en-GB"/>
              </w:rPr>
              <w:t>3%</w:t>
            </w:r>
          </w:p>
        </w:tc>
        <w:tc>
          <w:tcPr>
            <w:tcW w:w="686" w:type="pct"/>
          </w:tcPr>
          <w:p w:rsidR="00C4647B" w:rsidRPr="00BD2DB2" w:rsidRDefault="00FB507E" w:rsidP="00C4647B">
            <w:pPr>
              <w:jc w:val="center"/>
              <w:rPr>
                <w:b/>
                <w:lang w:val="en-GB"/>
              </w:rPr>
            </w:pPr>
            <w:r w:rsidRPr="00BD2DB2">
              <w:rPr>
                <w:b/>
                <w:lang w:val="en-GB"/>
              </w:rPr>
              <w:t>63</w:t>
            </w:r>
            <w:r w:rsidR="008E6571">
              <w:rPr>
                <w:b/>
                <w:lang w:val="en-GB"/>
              </w:rPr>
              <w:t>.</w:t>
            </w:r>
            <w:r w:rsidRPr="00BD2DB2">
              <w:rPr>
                <w:b/>
                <w:lang w:val="en-GB"/>
              </w:rPr>
              <w:t>5%</w:t>
            </w:r>
          </w:p>
        </w:tc>
        <w:tc>
          <w:tcPr>
            <w:tcW w:w="680" w:type="pct"/>
          </w:tcPr>
          <w:p w:rsidR="00C4647B" w:rsidRPr="00BD2DB2" w:rsidRDefault="0096122C" w:rsidP="00C4647B">
            <w:pPr>
              <w:jc w:val="center"/>
              <w:rPr>
                <w:b/>
                <w:lang w:val="en-GB"/>
              </w:rPr>
            </w:pPr>
            <w:r w:rsidRPr="00BD2DB2">
              <w:rPr>
                <w:b/>
                <w:lang w:val="en-GB"/>
              </w:rPr>
              <w:t>64</w:t>
            </w:r>
            <w:r w:rsidR="008E6571">
              <w:rPr>
                <w:b/>
                <w:lang w:val="en-GB"/>
              </w:rPr>
              <w:t>.</w:t>
            </w:r>
            <w:r w:rsidRPr="00BD2DB2">
              <w:rPr>
                <w:b/>
                <w:lang w:val="en-GB"/>
              </w:rPr>
              <w:t>2%</w:t>
            </w:r>
          </w:p>
        </w:tc>
      </w:tr>
    </w:tbl>
    <w:p w:rsidR="003F0248" w:rsidRDefault="003F0248" w:rsidP="0060251D">
      <w:pPr>
        <w:jc w:val="both"/>
        <w:rPr>
          <w:lang w:val="en-GB"/>
        </w:rPr>
      </w:pPr>
    </w:p>
    <w:p w:rsidR="0060251D" w:rsidRPr="00BD2DB2" w:rsidRDefault="00041CB9" w:rsidP="0060251D">
      <w:pPr>
        <w:jc w:val="both"/>
        <w:rPr>
          <w:lang w:val="en-GB"/>
        </w:rPr>
      </w:pPr>
      <w:r>
        <w:rPr>
          <w:lang w:val="en-GB"/>
        </w:rPr>
        <w:t xml:space="preserve">At the level of national primary education, the above table documents certain trends: </w:t>
      </w:r>
      <w:r w:rsidR="0060251D" w:rsidRPr="00BD2DB2">
        <w:rPr>
          <w:lang w:val="en-GB"/>
        </w:rPr>
        <w:t xml:space="preserve"> </w:t>
      </w:r>
    </w:p>
    <w:p w:rsidR="0060251D" w:rsidRPr="00814926" w:rsidRDefault="00814926" w:rsidP="00814926">
      <w:pPr>
        <w:pStyle w:val="ListParagraph"/>
        <w:numPr>
          <w:ilvl w:val="0"/>
          <w:numId w:val="5"/>
        </w:numPr>
        <w:jc w:val="both"/>
        <w:rPr>
          <w:lang w:val="en-GB"/>
        </w:rPr>
      </w:pPr>
      <w:r>
        <w:rPr>
          <w:lang w:val="en-GB"/>
        </w:rPr>
        <w:t xml:space="preserve">Luxembourg society is becoming increasingly international. </w:t>
      </w:r>
      <w:r w:rsidR="0060251D" w:rsidRPr="00814926">
        <w:rPr>
          <w:lang w:val="en-GB"/>
        </w:rPr>
        <w:t xml:space="preserve"> </w:t>
      </w:r>
      <w:r>
        <w:rPr>
          <w:lang w:val="en-GB"/>
        </w:rPr>
        <w:t xml:space="preserve">Whilst </w:t>
      </w:r>
      <w:r w:rsidRPr="00814926">
        <w:rPr>
          <w:bCs/>
          <w:lang w:val="en-GB"/>
        </w:rPr>
        <w:t>Lëtzebuergesch</w:t>
      </w:r>
      <w:r w:rsidRPr="00814926">
        <w:rPr>
          <w:lang w:val="en-GB"/>
        </w:rPr>
        <w:t xml:space="preserve"> </w:t>
      </w:r>
      <w:r>
        <w:rPr>
          <w:lang w:val="en-GB"/>
        </w:rPr>
        <w:t>remains the most widely spoken language and the language of integration, it is now the first language spoken in only a third of families</w:t>
      </w:r>
      <w:r w:rsidR="0060251D" w:rsidRPr="00814926">
        <w:rPr>
          <w:lang w:val="en-GB"/>
        </w:rPr>
        <w:t>.</w:t>
      </w:r>
      <w:r w:rsidR="0060251D" w:rsidRPr="00BD2DB2">
        <w:rPr>
          <w:rStyle w:val="FootnoteReference"/>
          <w:lang w:val="en-GB"/>
        </w:rPr>
        <w:footnoteReference w:id="1"/>
      </w:r>
    </w:p>
    <w:p w:rsidR="004C6DE3" w:rsidRPr="00BD2DB2" w:rsidRDefault="007D0F32" w:rsidP="0060251D">
      <w:pPr>
        <w:pStyle w:val="ListParagraph"/>
        <w:numPr>
          <w:ilvl w:val="0"/>
          <w:numId w:val="5"/>
        </w:numPr>
        <w:jc w:val="both"/>
        <w:rPr>
          <w:lang w:val="en-GB"/>
        </w:rPr>
      </w:pPr>
      <w:r>
        <w:rPr>
          <w:lang w:val="en-GB"/>
        </w:rPr>
        <w:t xml:space="preserve">Whilst the total number of pupils in nursery and primary education is increasing, the number of pupils on roll in the national education system remains roughly constant. </w:t>
      </w:r>
      <w:r w:rsidR="004C6DE3" w:rsidRPr="00BD2DB2">
        <w:rPr>
          <w:lang w:val="en-GB"/>
        </w:rPr>
        <w:t xml:space="preserve"> </w:t>
      </w:r>
      <w:r>
        <w:rPr>
          <w:lang w:val="en-GB"/>
        </w:rPr>
        <w:t xml:space="preserve">On the other hand, demand for international schooling offers is </w:t>
      </w:r>
      <w:r w:rsidR="00D54D3D">
        <w:rPr>
          <w:lang w:val="en-GB"/>
        </w:rPr>
        <w:t xml:space="preserve">going up. </w:t>
      </w:r>
    </w:p>
    <w:p w:rsidR="00C4647B" w:rsidRPr="00BD2DB2" w:rsidRDefault="00C4647B" w:rsidP="00977877">
      <w:pPr>
        <w:jc w:val="both"/>
        <w:rPr>
          <w:lang w:val="en-GB"/>
        </w:rPr>
      </w:pPr>
    </w:p>
    <w:p w:rsidR="00977877" w:rsidRPr="00BD2DB2" w:rsidRDefault="00D54D3D" w:rsidP="00977877">
      <w:pPr>
        <w:pStyle w:val="Heading2"/>
        <w:rPr>
          <w:lang w:val="en-GB"/>
        </w:rPr>
      </w:pPr>
      <w:bookmarkStart w:id="7" w:name="_Toc494880758"/>
      <w:r>
        <w:rPr>
          <w:lang w:val="en-GB"/>
        </w:rPr>
        <w:t>National secondary education in</w:t>
      </w:r>
      <w:r w:rsidR="00977877" w:rsidRPr="00BD2DB2">
        <w:rPr>
          <w:lang w:val="en-GB"/>
        </w:rPr>
        <w:t xml:space="preserve"> Luxembourg</w:t>
      </w:r>
      <w:bookmarkEnd w:id="7"/>
    </w:p>
    <w:tbl>
      <w:tblPr>
        <w:tblStyle w:val="TableGrid"/>
        <w:tblW w:w="5000" w:type="pct"/>
        <w:tblLook w:val="04A0" w:firstRow="1" w:lastRow="0" w:firstColumn="1" w:lastColumn="0" w:noHBand="0" w:noVBand="1"/>
      </w:tblPr>
      <w:tblGrid>
        <w:gridCol w:w="3107"/>
        <w:gridCol w:w="1352"/>
        <w:gridCol w:w="1352"/>
        <w:gridCol w:w="1352"/>
        <w:gridCol w:w="1352"/>
        <w:gridCol w:w="1340"/>
      </w:tblGrid>
      <w:tr w:rsidR="00CF2433" w:rsidRPr="00BD2DB2" w:rsidTr="00CF2433">
        <w:tc>
          <w:tcPr>
            <w:tcW w:w="1576" w:type="pct"/>
            <w:tcBorders>
              <w:top w:val="nil"/>
              <w:left w:val="nil"/>
            </w:tcBorders>
          </w:tcPr>
          <w:p w:rsidR="00CF2433" w:rsidRPr="00BD2DB2" w:rsidRDefault="00CF2433" w:rsidP="00C252A4">
            <w:pPr>
              <w:rPr>
                <w:lang w:val="en-GB"/>
              </w:rPr>
            </w:pPr>
          </w:p>
        </w:tc>
        <w:tc>
          <w:tcPr>
            <w:tcW w:w="686" w:type="pct"/>
            <w:shd w:val="clear" w:color="auto" w:fill="D9D9D9" w:themeFill="background1" w:themeFillShade="D9"/>
          </w:tcPr>
          <w:p w:rsidR="00CF2433" w:rsidRPr="00BD2DB2" w:rsidRDefault="00CF2433" w:rsidP="00C252A4">
            <w:pPr>
              <w:jc w:val="center"/>
              <w:rPr>
                <w:b/>
                <w:lang w:val="en-GB"/>
              </w:rPr>
            </w:pPr>
            <w:r w:rsidRPr="00BD2DB2">
              <w:rPr>
                <w:b/>
                <w:lang w:val="en-GB"/>
              </w:rPr>
              <w:t>2012/13</w:t>
            </w:r>
          </w:p>
        </w:tc>
        <w:tc>
          <w:tcPr>
            <w:tcW w:w="686" w:type="pct"/>
            <w:shd w:val="clear" w:color="auto" w:fill="D9D9D9" w:themeFill="background1" w:themeFillShade="D9"/>
          </w:tcPr>
          <w:p w:rsidR="00CF2433" w:rsidRPr="00BD2DB2" w:rsidRDefault="00CF2433" w:rsidP="00C252A4">
            <w:pPr>
              <w:jc w:val="center"/>
              <w:rPr>
                <w:b/>
                <w:lang w:val="en-GB"/>
              </w:rPr>
            </w:pPr>
            <w:r w:rsidRPr="00BD2DB2">
              <w:rPr>
                <w:b/>
                <w:lang w:val="en-GB"/>
              </w:rPr>
              <w:t>2013/14</w:t>
            </w:r>
          </w:p>
        </w:tc>
        <w:tc>
          <w:tcPr>
            <w:tcW w:w="686" w:type="pct"/>
            <w:shd w:val="clear" w:color="auto" w:fill="D9D9D9" w:themeFill="background1" w:themeFillShade="D9"/>
          </w:tcPr>
          <w:p w:rsidR="00CF2433" w:rsidRPr="00BD2DB2" w:rsidRDefault="00CF2433" w:rsidP="00C252A4">
            <w:pPr>
              <w:jc w:val="center"/>
              <w:rPr>
                <w:b/>
                <w:lang w:val="en-GB"/>
              </w:rPr>
            </w:pPr>
            <w:r w:rsidRPr="00BD2DB2">
              <w:rPr>
                <w:b/>
                <w:lang w:val="en-GB"/>
              </w:rPr>
              <w:t>2014/15</w:t>
            </w:r>
          </w:p>
        </w:tc>
        <w:tc>
          <w:tcPr>
            <w:tcW w:w="686" w:type="pct"/>
            <w:shd w:val="clear" w:color="auto" w:fill="D9D9D9" w:themeFill="background1" w:themeFillShade="D9"/>
          </w:tcPr>
          <w:p w:rsidR="00CF2433" w:rsidRPr="00BD2DB2" w:rsidRDefault="00CF2433" w:rsidP="00C252A4">
            <w:pPr>
              <w:jc w:val="center"/>
              <w:rPr>
                <w:b/>
                <w:lang w:val="en-GB"/>
              </w:rPr>
            </w:pPr>
            <w:r w:rsidRPr="00BD2DB2">
              <w:rPr>
                <w:b/>
                <w:lang w:val="en-GB"/>
              </w:rPr>
              <w:t>2015/16</w:t>
            </w:r>
          </w:p>
        </w:tc>
        <w:tc>
          <w:tcPr>
            <w:tcW w:w="680" w:type="pct"/>
            <w:shd w:val="clear" w:color="auto" w:fill="D9D9D9" w:themeFill="background1" w:themeFillShade="D9"/>
          </w:tcPr>
          <w:p w:rsidR="00CF2433" w:rsidRPr="00BD2DB2" w:rsidRDefault="00CF2433" w:rsidP="00C252A4">
            <w:pPr>
              <w:jc w:val="center"/>
              <w:rPr>
                <w:b/>
                <w:lang w:val="en-GB"/>
              </w:rPr>
            </w:pPr>
            <w:r w:rsidRPr="00BD2DB2">
              <w:rPr>
                <w:b/>
                <w:lang w:val="en-GB"/>
              </w:rPr>
              <w:t>2016/17</w:t>
            </w:r>
          </w:p>
        </w:tc>
      </w:tr>
      <w:tr w:rsidR="00CF2433" w:rsidRPr="00BD2DB2" w:rsidTr="006326B9">
        <w:tc>
          <w:tcPr>
            <w:tcW w:w="1576" w:type="pct"/>
            <w:shd w:val="clear" w:color="auto" w:fill="D9D9D9" w:themeFill="background1" w:themeFillShade="D9"/>
          </w:tcPr>
          <w:p w:rsidR="00CF2433" w:rsidRPr="00BD2DB2" w:rsidRDefault="00CF2433">
            <w:pPr>
              <w:rPr>
                <w:lang w:val="en-GB"/>
              </w:rPr>
            </w:pPr>
            <w:r w:rsidRPr="00BD2DB2">
              <w:rPr>
                <w:b/>
                <w:lang w:val="en-GB"/>
              </w:rPr>
              <w:t xml:space="preserve">Total </w:t>
            </w:r>
            <w:r w:rsidR="00D54D3D">
              <w:rPr>
                <w:b/>
                <w:lang w:val="en-GB"/>
              </w:rPr>
              <w:t>Luxembourg secondary education</w:t>
            </w:r>
          </w:p>
        </w:tc>
        <w:tc>
          <w:tcPr>
            <w:tcW w:w="686" w:type="pct"/>
            <w:vAlign w:val="center"/>
          </w:tcPr>
          <w:p w:rsidR="00CF2433" w:rsidRPr="00BD2DB2" w:rsidRDefault="00CF2433" w:rsidP="006326B9">
            <w:pPr>
              <w:jc w:val="center"/>
              <w:rPr>
                <w:b/>
                <w:lang w:val="en-GB"/>
              </w:rPr>
            </w:pPr>
            <w:r w:rsidRPr="00BD2DB2">
              <w:rPr>
                <w:b/>
                <w:lang w:val="en-GB"/>
              </w:rPr>
              <w:t>39585</w:t>
            </w:r>
          </w:p>
        </w:tc>
        <w:tc>
          <w:tcPr>
            <w:tcW w:w="686" w:type="pct"/>
            <w:vAlign w:val="center"/>
          </w:tcPr>
          <w:p w:rsidR="00CF2433" w:rsidRPr="00BD2DB2" w:rsidRDefault="00CF2433" w:rsidP="006326B9">
            <w:pPr>
              <w:jc w:val="center"/>
              <w:rPr>
                <w:b/>
                <w:lang w:val="en-GB"/>
              </w:rPr>
            </w:pPr>
            <w:r w:rsidRPr="00BD2DB2">
              <w:rPr>
                <w:b/>
                <w:lang w:val="en-GB"/>
              </w:rPr>
              <w:t>39830</w:t>
            </w:r>
          </w:p>
        </w:tc>
        <w:tc>
          <w:tcPr>
            <w:tcW w:w="686" w:type="pct"/>
            <w:vAlign w:val="center"/>
          </w:tcPr>
          <w:p w:rsidR="00CF2433" w:rsidRPr="00BD2DB2" w:rsidRDefault="00CF2433" w:rsidP="006326B9">
            <w:pPr>
              <w:jc w:val="center"/>
              <w:rPr>
                <w:b/>
                <w:lang w:val="en-GB"/>
              </w:rPr>
            </w:pPr>
            <w:r w:rsidRPr="00BD2DB2">
              <w:rPr>
                <w:b/>
                <w:lang w:val="en-GB"/>
              </w:rPr>
              <w:t>39653</w:t>
            </w:r>
          </w:p>
        </w:tc>
        <w:tc>
          <w:tcPr>
            <w:tcW w:w="686" w:type="pct"/>
            <w:vAlign w:val="center"/>
          </w:tcPr>
          <w:p w:rsidR="00CF2433" w:rsidRPr="00BD2DB2" w:rsidRDefault="00CF2433" w:rsidP="006326B9">
            <w:pPr>
              <w:jc w:val="center"/>
              <w:rPr>
                <w:b/>
                <w:lang w:val="en-GB"/>
              </w:rPr>
            </w:pPr>
            <w:r w:rsidRPr="00BD2DB2">
              <w:rPr>
                <w:b/>
                <w:lang w:val="en-GB"/>
              </w:rPr>
              <w:t>39582</w:t>
            </w:r>
          </w:p>
        </w:tc>
        <w:tc>
          <w:tcPr>
            <w:tcW w:w="680" w:type="pct"/>
            <w:vAlign w:val="center"/>
          </w:tcPr>
          <w:p w:rsidR="00CF2433" w:rsidRPr="00BD2DB2" w:rsidRDefault="00CF2433" w:rsidP="006326B9">
            <w:pPr>
              <w:jc w:val="center"/>
              <w:rPr>
                <w:b/>
                <w:lang w:val="en-GB"/>
              </w:rPr>
            </w:pPr>
            <w:r w:rsidRPr="00BD2DB2">
              <w:rPr>
                <w:b/>
                <w:lang w:val="en-GB"/>
              </w:rPr>
              <w:t>39314</w:t>
            </w:r>
          </w:p>
        </w:tc>
      </w:tr>
      <w:tr w:rsidR="00CF2433" w:rsidRPr="00BD2DB2" w:rsidTr="006326B9">
        <w:tc>
          <w:tcPr>
            <w:tcW w:w="1576" w:type="pct"/>
            <w:shd w:val="clear" w:color="auto" w:fill="D9D9D9" w:themeFill="background1" w:themeFillShade="D9"/>
          </w:tcPr>
          <w:p w:rsidR="00CF2433" w:rsidRPr="00BD2DB2" w:rsidRDefault="00D54D3D" w:rsidP="00EC679E">
            <w:pPr>
              <w:rPr>
                <w:b/>
                <w:lang w:val="en-GB"/>
              </w:rPr>
            </w:pPr>
            <w:r>
              <w:rPr>
                <w:b/>
                <w:lang w:val="en-GB"/>
              </w:rPr>
              <w:t>Classical secondary education</w:t>
            </w:r>
            <w:r w:rsidR="00CF2433" w:rsidRPr="00BD2DB2">
              <w:rPr>
                <w:b/>
                <w:lang w:val="en-GB"/>
              </w:rPr>
              <w:t xml:space="preserve"> </w:t>
            </w:r>
            <w:r w:rsidR="00951A7C" w:rsidRPr="00E32FDF">
              <w:rPr>
                <w:b/>
                <w:i/>
                <w:lang w:val="en-GB"/>
              </w:rPr>
              <w:t>ESC</w:t>
            </w:r>
          </w:p>
          <w:p w:rsidR="00CF2433" w:rsidRPr="00BD2DB2" w:rsidRDefault="00D54D3D">
            <w:pPr>
              <w:rPr>
                <w:lang w:val="en-GB"/>
              </w:rPr>
            </w:pPr>
            <w:r>
              <w:rPr>
                <w:lang w:val="en-GB"/>
              </w:rPr>
              <w:t>Upper and lower</w:t>
            </w:r>
          </w:p>
        </w:tc>
        <w:tc>
          <w:tcPr>
            <w:tcW w:w="686" w:type="pct"/>
            <w:vAlign w:val="center"/>
          </w:tcPr>
          <w:p w:rsidR="00CF2433" w:rsidRPr="00BD2DB2" w:rsidRDefault="00CF2433" w:rsidP="006326B9">
            <w:pPr>
              <w:jc w:val="center"/>
              <w:rPr>
                <w:b/>
                <w:lang w:val="en-GB"/>
              </w:rPr>
            </w:pPr>
            <w:r w:rsidRPr="00BD2DB2">
              <w:rPr>
                <w:b/>
                <w:lang w:val="en-GB"/>
              </w:rPr>
              <w:t>12958</w:t>
            </w:r>
          </w:p>
        </w:tc>
        <w:tc>
          <w:tcPr>
            <w:tcW w:w="686" w:type="pct"/>
            <w:vAlign w:val="center"/>
          </w:tcPr>
          <w:p w:rsidR="00CF2433" w:rsidRPr="00BD2DB2" w:rsidRDefault="00CF2433" w:rsidP="006326B9">
            <w:pPr>
              <w:jc w:val="center"/>
              <w:rPr>
                <w:b/>
                <w:lang w:val="en-GB"/>
              </w:rPr>
            </w:pPr>
            <w:r w:rsidRPr="00BD2DB2">
              <w:rPr>
                <w:b/>
                <w:lang w:val="en-GB"/>
              </w:rPr>
              <w:t>12832</w:t>
            </w:r>
          </w:p>
        </w:tc>
        <w:tc>
          <w:tcPr>
            <w:tcW w:w="686" w:type="pct"/>
            <w:vAlign w:val="center"/>
          </w:tcPr>
          <w:p w:rsidR="00CF2433" w:rsidRPr="00BD2DB2" w:rsidRDefault="00CF2433" w:rsidP="006326B9">
            <w:pPr>
              <w:jc w:val="center"/>
              <w:rPr>
                <w:b/>
                <w:lang w:val="en-GB"/>
              </w:rPr>
            </w:pPr>
            <w:r w:rsidRPr="00BD2DB2">
              <w:rPr>
                <w:b/>
                <w:lang w:val="en-GB"/>
              </w:rPr>
              <w:t>12501</w:t>
            </w:r>
          </w:p>
        </w:tc>
        <w:tc>
          <w:tcPr>
            <w:tcW w:w="686" w:type="pct"/>
            <w:vAlign w:val="center"/>
          </w:tcPr>
          <w:p w:rsidR="00CF2433" w:rsidRPr="00BD2DB2" w:rsidRDefault="00CF2433" w:rsidP="006326B9">
            <w:pPr>
              <w:jc w:val="center"/>
              <w:rPr>
                <w:b/>
                <w:lang w:val="en-GB"/>
              </w:rPr>
            </w:pPr>
            <w:r w:rsidRPr="00BD2DB2">
              <w:rPr>
                <w:b/>
                <w:lang w:val="en-GB"/>
              </w:rPr>
              <w:t>12057</w:t>
            </w:r>
            <w:r w:rsidRPr="00BD2DB2">
              <w:rPr>
                <w:rStyle w:val="FootnoteReference"/>
                <w:b/>
                <w:lang w:val="en-GB"/>
              </w:rPr>
              <w:footnoteReference w:id="2"/>
            </w:r>
          </w:p>
        </w:tc>
        <w:tc>
          <w:tcPr>
            <w:tcW w:w="680" w:type="pct"/>
            <w:vAlign w:val="center"/>
          </w:tcPr>
          <w:p w:rsidR="00CF2433" w:rsidRPr="00BD2DB2" w:rsidRDefault="00CF2433" w:rsidP="006326B9">
            <w:pPr>
              <w:jc w:val="center"/>
              <w:rPr>
                <w:b/>
                <w:lang w:val="en-GB"/>
              </w:rPr>
            </w:pPr>
            <w:r w:rsidRPr="00BD2DB2">
              <w:rPr>
                <w:b/>
                <w:lang w:val="en-GB"/>
              </w:rPr>
              <w:t>12022</w:t>
            </w:r>
            <w:r w:rsidRPr="00BD2DB2">
              <w:rPr>
                <w:rStyle w:val="FootnoteReference"/>
                <w:b/>
                <w:lang w:val="en-GB"/>
              </w:rPr>
              <w:footnoteReference w:id="3"/>
            </w:r>
          </w:p>
        </w:tc>
      </w:tr>
      <w:tr w:rsidR="00CF2433" w:rsidRPr="00BD2DB2" w:rsidTr="006326B9">
        <w:tc>
          <w:tcPr>
            <w:tcW w:w="1576" w:type="pct"/>
            <w:shd w:val="clear" w:color="auto" w:fill="D9D9D9" w:themeFill="background1" w:themeFillShade="D9"/>
          </w:tcPr>
          <w:p w:rsidR="00CF2433" w:rsidRPr="00BD2DB2" w:rsidRDefault="00D54D3D">
            <w:pPr>
              <w:rPr>
                <w:lang w:val="en-GB"/>
              </w:rPr>
            </w:pPr>
            <w:r>
              <w:rPr>
                <w:b/>
                <w:lang w:val="en-GB"/>
              </w:rPr>
              <w:t>of which foreigners</w:t>
            </w:r>
          </w:p>
        </w:tc>
        <w:tc>
          <w:tcPr>
            <w:tcW w:w="686" w:type="pct"/>
            <w:vAlign w:val="center"/>
          </w:tcPr>
          <w:p w:rsidR="00CF2433" w:rsidRPr="00BD2DB2" w:rsidRDefault="00CF2433" w:rsidP="006326B9">
            <w:pPr>
              <w:jc w:val="center"/>
              <w:rPr>
                <w:b/>
                <w:lang w:val="en-GB"/>
              </w:rPr>
            </w:pPr>
            <w:r w:rsidRPr="00BD2DB2">
              <w:rPr>
                <w:b/>
                <w:lang w:val="en-GB"/>
              </w:rPr>
              <w:t>20</w:t>
            </w:r>
            <w:r w:rsidR="00D54D3D">
              <w:rPr>
                <w:b/>
                <w:lang w:val="en-GB"/>
              </w:rPr>
              <w:t>.</w:t>
            </w:r>
            <w:r w:rsidRPr="00BD2DB2">
              <w:rPr>
                <w:b/>
                <w:lang w:val="en-GB"/>
              </w:rPr>
              <w:t>0%</w:t>
            </w:r>
          </w:p>
        </w:tc>
        <w:tc>
          <w:tcPr>
            <w:tcW w:w="686" w:type="pct"/>
            <w:vAlign w:val="center"/>
          </w:tcPr>
          <w:p w:rsidR="00CF2433" w:rsidRPr="00BD2DB2" w:rsidRDefault="00CF2433" w:rsidP="006326B9">
            <w:pPr>
              <w:jc w:val="center"/>
              <w:rPr>
                <w:b/>
                <w:lang w:val="en-GB"/>
              </w:rPr>
            </w:pPr>
            <w:r w:rsidRPr="00BD2DB2">
              <w:rPr>
                <w:b/>
                <w:lang w:val="en-GB"/>
              </w:rPr>
              <w:t>21</w:t>
            </w:r>
            <w:r w:rsidR="00D54D3D">
              <w:rPr>
                <w:b/>
                <w:lang w:val="en-GB"/>
              </w:rPr>
              <w:t>.</w:t>
            </w:r>
            <w:r w:rsidRPr="00BD2DB2">
              <w:rPr>
                <w:b/>
                <w:lang w:val="en-GB"/>
              </w:rPr>
              <w:t>3%</w:t>
            </w:r>
          </w:p>
        </w:tc>
        <w:tc>
          <w:tcPr>
            <w:tcW w:w="686" w:type="pct"/>
            <w:vAlign w:val="center"/>
          </w:tcPr>
          <w:p w:rsidR="00CF2433" w:rsidRPr="00BD2DB2" w:rsidRDefault="00CF2433" w:rsidP="006326B9">
            <w:pPr>
              <w:jc w:val="center"/>
              <w:rPr>
                <w:b/>
                <w:lang w:val="en-GB"/>
              </w:rPr>
            </w:pPr>
            <w:r w:rsidRPr="00BD2DB2">
              <w:rPr>
                <w:b/>
                <w:lang w:val="en-GB"/>
              </w:rPr>
              <w:t>21</w:t>
            </w:r>
            <w:r w:rsidR="00D54D3D">
              <w:rPr>
                <w:b/>
                <w:lang w:val="en-GB"/>
              </w:rPr>
              <w:t>.</w:t>
            </w:r>
            <w:r w:rsidRPr="00BD2DB2">
              <w:rPr>
                <w:b/>
                <w:lang w:val="en-GB"/>
              </w:rPr>
              <w:t>6%</w:t>
            </w:r>
          </w:p>
        </w:tc>
        <w:tc>
          <w:tcPr>
            <w:tcW w:w="686" w:type="pct"/>
            <w:vAlign w:val="center"/>
          </w:tcPr>
          <w:p w:rsidR="00CF2433" w:rsidRPr="00BD2DB2" w:rsidRDefault="00CF2433" w:rsidP="006326B9">
            <w:pPr>
              <w:jc w:val="center"/>
              <w:rPr>
                <w:b/>
                <w:lang w:val="en-GB"/>
              </w:rPr>
            </w:pPr>
            <w:r w:rsidRPr="00BD2DB2">
              <w:rPr>
                <w:b/>
                <w:lang w:val="en-GB"/>
              </w:rPr>
              <w:t>21</w:t>
            </w:r>
            <w:r w:rsidR="00D54D3D">
              <w:rPr>
                <w:b/>
                <w:lang w:val="en-GB"/>
              </w:rPr>
              <w:t>.</w:t>
            </w:r>
            <w:r w:rsidRPr="00BD2DB2">
              <w:rPr>
                <w:b/>
                <w:lang w:val="en-GB"/>
              </w:rPr>
              <w:t>8%</w:t>
            </w:r>
          </w:p>
        </w:tc>
        <w:tc>
          <w:tcPr>
            <w:tcW w:w="680" w:type="pct"/>
            <w:vAlign w:val="center"/>
          </w:tcPr>
          <w:p w:rsidR="00CF2433" w:rsidRPr="00BD2DB2" w:rsidRDefault="00CF2433" w:rsidP="006326B9">
            <w:pPr>
              <w:jc w:val="center"/>
              <w:rPr>
                <w:b/>
                <w:lang w:val="en-GB"/>
              </w:rPr>
            </w:pPr>
            <w:r w:rsidRPr="00BD2DB2">
              <w:rPr>
                <w:b/>
                <w:lang w:val="en-GB"/>
              </w:rPr>
              <w:t>20</w:t>
            </w:r>
            <w:r w:rsidR="00D54D3D">
              <w:rPr>
                <w:b/>
                <w:lang w:val="en-GB"/>
              </w:rPr>
              <w:t>.</w:t>
            </w:r>
            <w:r w:rsidRPr="00BD2DB2">
              <w:rPr>
                <w:b/>
                <w:lang w:val="en-GB"/>
              </w:rPr>
              <w:t>7%</w:t>
            </w:r>
          </w:p>
        </w:tc>
      </w:tr>
      <w:tr w:rsidR="00CF2433" w:rsidRPr="00BD2DB2" w:rsidTr="006326B9">
        <w:tc>
          <w:tcPr>
            <w:tcW w:w="1576" w:type="pct"/>
            <w:shd w:val="clear" w:color="auto" w:fill="D9D9D9" w:themeFill="background1" w:themeFillShade="D9"/>
          </w:tcPr>
          <w:p w:rsidR="00CF2433" w:rsidRPr="00BD2DB2" w:rsidRDefault="00D54D3D" w:rsidP="002E4510">
            <w:pPr>
              <w:rPr>
                <w:b/>
                <w:lang w:val="en-GB"/>
              </w:rPr>
            </w:pPr>
            <w:r>
              <w:rPr>
                <w:b/>
                <w:lang w:val="en-GB"/>
              </w:rPr>
              <w:t>General secondary education</w:t>
            </w:r>
            <w:r w:rsidR="00CF2433" w:rsidRPr="00BD2DB2">
              <w:rPr>
                <w:b/>
                <w:lang w:val="en-GB"/>
              </w:rPr>
              <w:t xml:space="preserve"> </w:t>
            </w:r>
            <w:r w:rsidR="00951A7C" w:rsidRPr="00E32FDF">
              <w:rPr>
                <w:b/>
                <w:i/>
                <w:lang w:val="en-GB"/>
              </w:rPr>
              <w:t>ESG</w:t>
            </w:r>
          </w:p>
          <w:p w:rsidR="00CF2433" w:rsidRPr="00BD2DB2" w:rsidRDefault="00D54D3D">
            <w:pPr>
              <w:rPr>
                <w:lang w:val="en-GB"/>
              </w:rPr>
            </w:pPr>
            <w:r>
              <w:rPr>
                <w:lang w:val="en-GB"/>
              </w:rPr>
              <w:t>Lower classes and technician’s regime</w:t>
            </w:r>
            <w:r w:rsidR="00CF2433" w:rsidRPr="00BD2DB2">
              <w:rPr>
                <w:lang w:val="en-GB"/>
              </w:rPr>
              <w:t xml:space="preserve"> </w:t>
            </w:r>
          </w:p>
        </w:tc>
        <w:tc>
          <w:tcPr>
            <w:tcW w:w="686" w:type="pct"/>
            <w:vAlign w:val="center"/>
          </w:tcPr>
          <w:p w:rsidR="00CF2433" w:rsidRPr="00BD2DB2" w:rsidRDefault="00CF2433" w:rsidP="006326B9">
            <w:pPr>
              <w:jc w:val="center"/>
              <w:rPr>
                <w:b/>
                <w:lang w:val="en-GB"/>
              </w:rPr>
            </w:pPr>
            <w:r w:rsidRPr="00BD2DB2">
              <w:rPr>
                <w:b/>
                <w:lang w:val="en-GB"/>
              </w:rPr>
              <w:t>19049</w:t>
            </w:r>
          </w:p>
        </w:tc>
        <w:tc>
          <w:tcPr>
            <w:tcW w:w="686" w:type="pct"/>
            <w:vAlign w:val="center"/>
          </w:tcPr>
          <w:p w:rsidR="00CF2433" w:rsidRPr="00BD2DB2" w:rsidRDefault="00CF2433" w:rsidP="006326B9">
            <w:pPr>
              <w:jc w:val="center"/>
              <w:rPr>
                <w:b/>
                <w:lang w:val="en-GB"/>
              </w:rPr>
            </w:pPr>
            <w:r w:rsidRPr="00BD2DB2">
              <w:rPr>
                <w:b/>
                <w:lang w:val="en-GB"/>
              </w:rPr>
              <w:t>19555</w:t>
            </w:r>
          </w:p>
        </w:tc>
        <w:tc>
          <w:tcPr>
            <w:tcW w:w="686" w:type="pct"/>
            <w:vAlign w:val="center"/>
          </w:tcPr>
          <w:p w:rsidR="00CF2433" w:rsidRPr="00BD2DB2" w:rsidRDefault="00CF2433" w:rsidP="006326B9">
            <w:pPr>
              <w:jc w:val="center"/>
              <w:rPr>
                <w:b/>
                <w:lang w:val="en-GB"/>
              </w:rPr>
            </w:pPr>
            <w:r w:rsidRPr="00BD2DB2">
              <w:rPr>
                <w:b/>
                <w:lang w:val="en-GB"/>
              </w:rPr>
              <w:t>19753</w:t>
            </w:r>
          </w:p>
        </w:tc>
        <w:tc>
          <w:tcPr>
            <w:tcW w:w="686" w:type="pct"/>
            <w:vAlign w:val="center"/>
          </w:tcPr>
          <w:p w:rsidR="00CF2433" w:rsidRPr="00BD2DB2" w:rsidRDefault="00CF2433" w:rsidP="006326B9">
            <w:pPr>
              <w:jc w:val="center"/>
              <w:rPr>
                <w:b/>
                <w:lang w:val="en-GB"/>
              </w:rPr>
            </w:pPr>
            <w:r w:rsidRPr="00BD2DB2">
              <w:rPr>
                <w:b/>
                <w:lang w:val="en-GB"/>
              </w:rPr>
              <w:t>20017</w:t>
            </w:r>
          </w:p>
        </w:tc>
        <w:tc>
          <w:tcPr>
            <w:tcW w:w="680" w:type="pct"/>
            <w:vAlign w:val="center"/>
          </w:tcPr>
          <w:p w:rsidR="00CF2433" w:rsidRPr="00BD2DB2" w:rsidRDefault="00CF2433" w:rsidP="006326B9">
            <w:pPr>
              <w:jc w:val="center"/>
              <w:rPr>
                <w:b/>
                <w:lang w:val="en-GB"/>
              </w:rPr>
            </w:pPr>
            <w:r w:rsidRPr="00BD2DB2">
              <w:rPr>
                <w:b/>
                <w:lang w:val="en-GB"/>
              </w:rPr>
              <w:t>19856</w:t>
            </w:r>
          </w:p>
        </w:tc>
      </w:tr>
      <w:tr w:rsidR="00CF2433" w:rsidRPr="00BD2DB2" w:rsidTr="006326B9">
        <w:tc>
          <w:tcPr>
            <w:tcW w:w="1576" w:type="pct"/>
            <w:shd w:val="clear" w:color="auto" w:fill="D9D9D9" w:themeFill="background1" w:themeFillShade="D9"/>
          </w:tcPr>
          <w:p w:rsidR="00CF2433" w:rsidRPr="00BD2DB2" w:rsidRDefault="00D54D3D">
            <w:pPr>
              <w:rPr>
                <w:lang w:val="en-GB"/>
              </w:rPr>
            </w:pPr>
            <w:r>
              <w:rPr>
                <w:b/>
                <w:lang w:val="en-GB"/>
              </w:rPr>
              <w:t>of which foreigners</w:t>
            </w:r>
          </w:p>
        </w:tc>
        <w:tc>
          <w:tcPr>
            <w:tcW w:w="686" w:type="pct"/>
            <w:vAlign w:val="center"/>
          </w:tcPr>
          <w:p w:rsidR="00CF2433" w:rsidRPr="00BD2DB2" w:rsidRDefault="00CF2433" w:rsidP="006326B9">
            <w:pPr>
              <w:jc w:val="center"/>
              <w:rPr>
                <w:b/>
                <w:lang w:val="en-GB"/>
              </w:rPr>
            </w:pPr>
            <w:r w:rsidRPr="00BD2DB2">
              <w:rPr>
                <w:b/>
                <w:lang w:val="en-GB"/>
              </w:rPr>
              <w:t>44</w:t>
            </w:r>
            <w:r w:rsidR="00D54D3D">
              <w:rPr>
                <w:b/>
                <w:lang w:val="en-GB"/>
              </w:rPr>
              <w:t>.</w:t>
            </w:r>
            <w:r w:rsidRPr="00BD2DB2">
              <w:rPr>
                <w:b/>
                <w:lang w:val="en-GB"/>
              </w:rPr>
              <w:t>2%</w:t>
            </w:r>
          </w:p>
        </w:tc>
        <w:tc>
          <w:tcPr>
            <w:tcW w:w="686" w:type="pct"/>
            <w:vAlign w:val="center"/>
          </w:tcPr>
          <w:p w:rsidR="00CF2433" w:rsidRPr="00BD2DB2" w:rsidRDefault="00CF2433" w:rsidP="006326B9">
            <w:pPr>
              <w:jc w:val="center"/>
              <w:rPr>
                <w:b/>
                <w:lang w:val="en-GB"/>
              </w:rPr>
            </w:pPr>
            <w:r w:rsidRPr="00BD2DB2">
              <w:rPr>
                <w:b/>
                <w:lang w:val="en-GB"/>
              </w:rPr>
              <w:t>45</w:t>
            </w:r>
            <w:r w:rsidR="00D54D3D">
              <w:rPr>
                <w:b/>
                <w:lang w:val="en-GB"/>
              </w:rPr>
              <w:t>.</w:t>
            </w:r>
            <w:r w:rsidRPr="00BD2DB2">
              <w:rPr>
                <w:b/>
                <w:lang w:val="en-GB"/>
              </w:rPr>
              <w:t>3%</w:t>
            </w:r>
          </w:p>
        </w:tc>
        <w:tc>
          <w:tcPr>
            <w:tcW w:w="686" w:type="pct"/>
            <w:vAlign w:val="center"/>
          </w:tcPr>
          <w:p w:rsidR="00CF2433" w:rsidRPr="00BD2DB2" w:rsidRDefault="00CF2433" w:rsidP="006326B9">
            <w:pPr>
              <w:jc w:val="center"/>
              <w:rPr>
                <w:b/>
                <w:lang w:val="en-GB"/>
              </w:rPr>
            </w:pPr>
            <w:r w:rsidRPr="00BD2DB2">
              <w:rPr>
                <w:b/>
                <w:lang w:val="en-GB"/>
              </w:rPr>
              <w:t>45</w:t>
            </w:r>
            <w:r w:rsidR="00D54D3D">
              <w:rPr>
                <w:b/>
                <w:lang w:val="en-GB"/>
              </w:rPr>
              <w:t>.</w:t>
            </w:r>
            <w:r w:rsidRPr="00BD2DB2">
              <w:rPr>
                <w:b/>
                <w:lang w:val="en-GB"/>
              </w:rPr>
              <w:t>7</w:t>
            </w:r>
          </w:p>
        </w:tc>
        <w:tc>
          <w:tcPr>
            <w:tcW w:w="686" w:type="pct"/>
            <w:vAlign w:val="center"/>
          </w:tcPr>
          <w:p w:rsidR="00CF2433" w:rsidRPr="00BD2DB2" w:rsidRDefault="00CF2433" w:rsidP="006326B9">
            <w:pPr>
              <w:jc w:val="center"/>
              <w:rPr>
                <w:b/>
                <w:lang w:val="en-GB"/>
              </w:rPr>
            </w:pPr>
            <w:r w:rsidRPr="00BD2DB2">
              <w:rPr>
                <w:b/>
                <w:lang w:val="en-GB"/>
              </w:rPr>
              <w:t>46</w:t>
            </w:r>
            <w:r w:rsidR="00D54D3D">
              <w:rPr>
                <w:b/>
                <w:lang w:val="en-GB"/>
              </w:rPr>
              <w:t>.</w:t>
            </w:r>
            <w:r w:rsidRPr="00BD2DB2">
              <w:rPr>
                <w:b/>
                <w:lang w:val="en-GB"/>
              </w:rPr>
              <w:t>1%</w:t>
            </w:r>
          </w:p>
        </w:tc>
        <w:tc>
          <w:tcPr>
            <w:tcW w:w="680" w:type="pct"/>
            <w:vAlign w:val="center"/>
          </w:tcPr>
          <w:p w:rsidR="00CF2433" w:rsidRPr="00BD2DB2" w:rsidRDefault="00CF2433" w:rsidP="006326B9">
            <w:pPr>
              <w:jc w:val="center"/>
              <w:rPr>
                <w:b/>
                <w:lang w:val="en-GB"/>
              </w:rPr>
            </w:pPr>
            <w:r w:rsidRPr="00BD2DB2">
              <w:rPr>
                <w:b/>
                <w:lang w:val="en-GB"/>
              </w:rPr>
              <w:t>48</w:t>
            </w:r>
            <w:r w:rsidR="00D54D3D">
              <w:rPr>
                <w:b/>
                <w:lang w:val="en-GB"/>
              </w:rPr>
              <w:t>.</w:t>
            </w:r>
            <w:r w:rsidRPr="00BD2DB2">
              <w:rPr>
                <w:b/>
                <w:lang w:val="en-GB"/>
              </w:rPr>
              <w:t>2%</w:t>
            </w:r>
          </w:p>
        </w:tc>
      </w:tr>
      <w:tr w:rsidR="00CF2433" w:rsidRPr="00BD2DB2" w:rsidTr="00CF2433">
        <w:tc>
          <w:tcPr>
            <w:tcW w:w="5000" w:type="pct"/>
            <w:gridSpan w:val="6"/>
          </w:tcPr>
          <w:p w:rsidR="00CF2433" w:rsidRPr="00BD2DB2" w:rsidRDefault="00CF2433" w:rsidP="00A14DE0">
            <w:pPr>
              <w:jc w:val="center"/>
              <w:rPr>
                <w:lang w:val="en-GB"/>
              </w:rPr>
            </w:pPr>
          </w:p>
        </w:tc>
      </w:tr>
      <w:tr w:rsidR="006326B9" w:rsidRPr="00BD2DB2" w:rsidTr="006326B9">
        <w:tc>
          <w:tcPr>
            <w:tcW w:w="1576" w:type="pct"/>
            <w:shd w:val="clear" w:color="auto" w:fill="D9D9D9" w:themeFill="background1" w:themeFillShade="D9"/>
          </w:tcPr>
          <w:p w:rsidR="006326B9" w:rsidRPr="00BD2DB2" w:rsidRDefault="00D54D3D" w:rsidP="002E4510">
            <w:pPr>
              <w:jc w:val="right"/>
              <w:rPr>
                <w:lang w:val="en-GB"/>
              </w:rPr>
            </w:pPr>
            <w:r>
              <w:rPr>
                <w:b/>
                <w:lang w:val="en-GB"/>
              </w:rPr>
              <w:t>1st language spoken at home</w:t>
            </w:r>
          </w:p>
        </w:tc>
        <w:tc>
          <w:tcPr>
            <w:tcW w:w="3424" w:type="pct"/>
            <w:gridSpan w:val="5"/>
          </w:tcPr>
          <w:p w:rsidR="006326B9" w:rsidRPr="00BD2DB2" w:rsidRDefault="006326B9" w:rsidP="00A14DE0">
            <w:pPr>
              <w:jc w:val="center"/>
              <w:rPr>
                <w:b/>
                <w:lang w:val="en-GB"/>
              </w:rPr>
            </w:pPr>
          </w:p>
        </w:tc>
      </w:tr>
      <w:tr w:rsidR="002E4510" w:rsidRPr="00BD2DB2" w:rsidTr="00CF2433">
        <w:tc>
          <w:tcPr>
            <w:tcW w:w="1576" w:type="pct"/>
            <w:shd w:val="clear" w:color="auto" w:fill="D9D9D9" w:themeFill="background1" w:themeFillShade="D9"/>
          </w:tcPr>
          <w:p w:rsidR="002E4510" w:rsidRPr="00D54D3D" w:rsidRDefault="00D54D3D" w:rsidP="002E4510">
            <w:pPr>
              <w:jc w:val="right"/>
              <w:rPr>
                <w:b/>
                <w:lang w:val="en-GB"/>
              </w:rPr>
            </w:pPr>
            <w:r w:rsidRPr="00D54D3D">
              <w:rPr>
                <w:b/>
                <w:bCs/>
                <w:lang w:val="en-GB"/>
              </w:rPr>
              <w:t>Lëtzebuergesch</w:t>
            </w:r>
          </w:p>
        </w:tc>
        <w:tc>
          <w:tcPr>
            <w:tcW w:w="686" w:type="pct"/>
          </w:tcPr>
          <w:p w:rsidR="002E4510" w:rsidRPr="00BD2DB2" w:rsidRDefault="002E4510" w:rsidP="00A14DE0">
            <w:pPr>
              <w:jc w:val="center"/>
              <w:rPr>
                <w:b/>
                <w:lang w:val="en-GB"/>
              </w:rPr>
            </w:pPr>
            <w:r w:rsidRPr="00BD2DB2">
              <w:rPr>
                <w:b/>
                <w:lang w:val="en-GB"/>
              </w:rPr>
              <w:t>54</w:t>
            </w:r>
            <w:r w:rsidR="00D54D3D">
              <w:rPr>
                <w:b/>
                <w:lang w:val="en-GB"/>
              </w:rPr>
              <w:t>.</w:t>
            </w:r>
            <w:r w:rsidRPr="00BD2DB2">
              <w:rPr>
                <w:b/>
                <w:lang w:val="en-GB"/>
              </w:rPr>
              <w:t>4%</w:t>
            </w:r>
          </w:p>
        </w:tc>
        <w:tc>
          <w:tcPr>
            <w:tcW w:w="686" w:type="pct"/>
          </w:tcPr>
          <w:p w:rsidR="002E4510" w:rsidRPr="00BD2DB2" w:rsidRDefault="002E4510" w:rsidP="00A14DE0">
            <w:pPr>
              <w:jc w:val="center"/>
              <w:rPr>
                <w:b/>
                <w:lang w:val="en-GB"/>
              </w:rPr>
            </w:pPr>
            <w:r w:rsidRPr="00BD2DB2">
              <w:rPr>
                <w:b/>
                <w:lang w:val="en-GB"/>
              </w:rPr>
              <w:t>52</w:t>
            </w:r>
            <w:r w:rsidR="00D54D3D">
              <w:rPr>
                <w:b/>
                <w:lang w:val="en-GB"/>
              </w:rPr>
              <w:t>.</w:t>
            </w:r>
            <w:r w:rsidRPr="00BD2DB2">
              <w:rPr>
                <w:b/>
                <w:lang w:val="en-GB"/>
              </w:rPr>
              <w:t>6%</w:t>
            </w:r>
          </w:p>
        </w:tc>
        <w:tc>
          <w:tcPr>
            <w:tcW w:w="686" w:type="pct"/>
          </w:tcPr>
          <w:p w:rsidR="002E4510" w:rsidRPr="00BD2DB2" w:rsidRDefault="002E4510" w:rsidP="007A13C6">
            <w:pPr>
              <w:jc w:val="center"/>
              <w:rPr>
                <w:b/>
                <w:lang w:val="en-GB"/>
              </w:rPr>
            </w:pPr>
            <w:r w:rsidRPr="00BD2DB2">
              <w:rPr>
                <w:b/>
                <w:lang w:val="en-GB"/>
              </w:rPr>
              <w:t>50</w:t>
            </w:r>
            <w:r w:rsidR="00D54D3D">
              <w:rPr>
                <w:b/>
                <w:lang w:val="en-GB"/>
              </w:rPr>
              <w:t>.</w:t>
            </w:r>
            <w:r w:rsidRPr="00BD2DB2">
              <w:rPr>
                <w:b/>
                <w:lang w:val="en-GB"/>
              </w:rPr>
              <w:t>6%</w:t>
            </w:r>
          </w:p>
        </w:tc>
        <w:tc>
          <w:tcPr>
            <w:tcW w:w="686" w:type="pct"/>
          </w:tcPr>
          <w:p w:rsidR="002E4510" w:rsidRPr="00BD2DB2" w:rsidRDefault="002E4510" w:rsidP="007A13C6">
            <w:pPr>
              <w:jc w:val="center"/>
              <w:rPr>
                <w:b/>
                <w:lang w:val="en-GB"/>
              </w:rPr>
            </w:pPr>
            <w:r w:rsidRPr="00BD2DB2">
              <w:rPr>
                <w:b/>
                <w:lang w:val="en-GB"/>
              </w:rPr>
              <w:t>48</w:t>
            </w:r>
            <w:r w:rsidR="00D54D3D">
              <w:rPr>
                <w:b/>
                <w:lang w:val="en-GB"/>
              </w:rPr>
              <w:t>.</w:t>
            </w:r>
            <w:r w:rsidRPr="00BD2DB2">
              <w:rPr>
                <w:b/>
                <w:lang w:val="en-GB"/>
              </w:rPr>
              <w:t>6%</w:t>
            </w:r>
          </w:p>
        </w:tc>
        <w:tc>
          <w:tcPr>
            <w:tcW w:w="680" w:type="pct"/>
          </w:tcPr>
          <w:p w:rsidR="002E4510" w:rsidRPr="00BD2DB2" w:rsidRDefault="008841A8" w:rsidP="007A13C6">
            <w:pPr>
              <w:jc w:val="center"/>
              <w:rPr>
                <w:b/>
                <w:lang w:val="en-GB"/>
              </w:rPr>
            </w:pPr>
            <w:r w:rsidRPr="00BD2DB2">
              <w:rPr>
                <w:b/>
                <w:lang w:val="en-GB"/>
              </w:rPr>
              <w:t>47</w:t>
            </w:r>
            <w:r w:rsidR="00D54D3D">
              <w:rPr>
                <w:b/>
                <w:lang w:val="en-GB"/>
              </w:rPr>
              <w:t>.</w:t>
            </w:r>
            <w:r w:rsidRPr="00BD2DB2">
              <w:rPr>
                <w:b/>
                <w:lang w:val="en-GB"/>
              </w:rPr>
              <w:t>4%</w:t>
            </w:r>
          </w:p>
        </w:tc>
      </w:tr>
      <w:tr w:rsidR="002E4510" w:rsidRPr="00BD2DB2" w:rsidTr="00CF2433">
        <w:tc>
          <w:tcPr>
            <w:tcW w:w="1576" w:type="pct"/>
            <w:shd w:val="clear" w:color="auto" w:fill="D9D9D9" w:themeFill="background1" w:themeFillShade="D9"/>
          </w:tcPr>
          <w:p w:rsidR="002E4510" w:rsidRPr="00BD2DB2" w:rsidRDefault="00D54D3D" w:rsidP="002E4510">
            <w:pPr>
              <w:jc w:val="right"/>
              <w:rPr>
                <w:lang w:val="en-GB"/>
              </w:rPr>
            </w:pPr>
            <w:r>
              <w:rPr>
                <w:b/>
                <w:lang w:val="en-GB"/>
              </w:rPr>
              <w:t>Other</w:t>
            </w:r>
          </w:p>
        </w:tc>
        <w:tc>
          <w:tcPr>
            <w:tcW w:w="686" w:type="pct"/>
          </w:tcPr>
          <w:p w:rsidR="002E4510" w:rsidRPr="00BD2DB2" w:rsidRDefault="002E4510" w:rsidP="00A14DE0">
            <w:pPr>
              <w:jc w:val="center"/>
              <w:rPr>
                <w:b/>
                <w:lang w:val="en-GB"/>
              </w:rPr>
            </w:pPr>
            <w:r w:rsidRPr="00BD2DB2">
              <w:rPr>
                <w:b/>
                <w:lang w:val="en-GB"/>
              </w:rPr>
              <w:t>45</w:t>
            </w:r>
            <w:r w:rsidR="00D54D3D">
              <w:rPr>
                <w:b/>
                <w:lang w:val="en-GB"/>
              </w:rPr>
              <w:t>.</w:t>
            </w:r>
            <w:r w:rsidRPr="00BD2DB2">
              <w:rPr>
                <w:b/>
                <w:lang w:val="en-GB"/>
              </w:rPr>
              <w:t>6%</w:t>
            </w:r>
          </w:p>
        </w:tc>
        <w:tc>
          <w:tcPr>
            <w:tcW w:w="686" w:type="pct"/>
          </w:tcPr>
          <w:p w:rsidR="002E4510" w:rsidRPr="00BD2DB2" w:rsidRDefault="002E4510" w:rsidP="00A14DE0">
            <w:pPr>
              <w:jc w:val="center"/>
              <w:rPr>
                <w:b/>
                <w:lang w:val="en-GB"/>
              </w:rPr>
            </w:pPr>
            <w:r w:rsidRPr="00BD2DB2">
              <w:rPr>
                <w:b/>
                <w:lang w:val="en-GB"/>
              </w:rPr>
              <w:t>47</w:t>
            </w:r>
            <w:r w:rsidR="00D54D3D">
              <w:rPr>
                <w:b/>
                <w:lang w:val="en-GB"/>
              </w:rPr>
              <w:t>.</w:t>
            </w:r>
            <w:r w:rsidRPr="00BD2DB2">
              <w:rPr>
                <w:b/>
                <w:lang w:val="en-GB"/>
              </w:rPr>
              <w:t>4%</w:t>
            </w:r>
          </w:p>
        </w:tc>
        <w:tc>
          <w:tcPr>
            <w:tcW w:w="686" w:type="pct"/>
          </w:tcPr>
          <w:p w:rsidR="002E4510" w:rsidRPr="00BD2DB2" w:rsidRDefault="002E4510" w:rsidP="007A13C6">
            <w:pPr>
              <w:jc w:val="center"/>
              <w:rPr>
                <w:b/>
                <w:lang w:val="en-GB"/>
              </w:rPr>
            </w:pPr>
            <w:r w:rsidRPr="00BD2DB2">
              <w:rPr>
                <w:b/>
                <w:lang w:val="en-GB"/>
              </w:rPr>
              <w:t>49</w:t>
            </w:r>
            <w:r w:rsidR="00D54D3D">
              <w:rPr>
                <w:b/>
                <w:lang w:val="en-GB"/>
              </w:rPr>
              <w:t>.</w:t>
            </w:r>
            <w:r w:rsidRPr="00BD2DB2">
              <w:rPr>
                <w:b/>
                <w:lang w:val="en-GB"/>
              </w:rPr>
              <w:t>4%</w:t>
            </w:r>
          </w:p>
        </w:tc>
        <w:tc>
          <w:tcPr>
            <w:tcW w:w="686" w:type="pct"/>
          </w:tcPr>
          <w:p w:rsidR="002E4510" w:rsidRPr="00BD2DB2" w:rsidRDefault="002E4510" w:rsidP="007A13C6">
            <w:pPr>
              <w:jc w:val="center"/>
              <w:rPr>
                <w:b/>
                <w:lang w:val="en-GB"/>
              </w:rPr>
            </w:pPr>
            <w:r w:rsidRPr="00BD2DB2">
              <w:rPr>
                <w:b/>
                <w:lang w:val="en-GB"/>
              </w:rPr>
              <w:t>51</w:t>
            </w:r>
            <w:r w:rsidR="00D54D3D">
              <w:rPr>
                <w:b/>
                <w:lang w:val="en-GB"/>
              </w:rPr>
              <w:t>.</w:t>
            </w:r>
            <w:r w:rsidRPr="00BD2DB2">
              <w:rPr>
                <w:b/>
                <w:lang w:val="en-GB"/>
              </w:rPr>
              <w:t>4%</w:t>
            </w:r>
          </w:p>
        </w:tc>
        <w:tc>
          <w:tcPr>
            <w:tcW w:w="680" w:type="pct"/>
          </w:tcPr>
          <w:p w:rsidR="002E4510" w:rsidRPr="00BD2DB2" w:rsidRDefault="008841A8" w:rsidP="007A13C6">
            <w:pPr>
              <w:jc w:val="center"/>
              <w:rPr>
                <w:b/>
                <w:lang w:val="en-GB"/>
              </w:rPr>
            </w:pPr>
            <w:r w:rsidRPr="00BD2DB2">
              <w:rPr>
                <w:b/>
                <w:lang w:val="en-GB"/>
              </w:rPr>
              <w:t>52</w:t>
            </w:r>
            <w:r w:rsidR="00D54D3D">
              <w:rPr>
                <w:b/>
                <w:lang w:val="en-GB"/>
              </w:rPr>
              <w:t>.</w:t>
            </w:r>
            <w:r w:rsidRPr="00BD2DB2">
              <w:rPr>
                <w:b/>
                <w:lang w:val="en-GB"/>
              </w:rPr>
              <w:t>6%</w:t>
            </w:r>
          </w:p>
        </w:tc>
      </w:tr>
    </w:tbl>
    <w:p w:rsidR="001E6201" w:rsidRPr="00BD2DB2" w:rsidRDefault="001E6201" w:rsidP="006320A9">
      <w:pPr>
        <w:jc w:val="both"/>
        <w:rPr>
          <w:lang w:val="en-GB"/>
        </w:rPr>
      </w:pPr>
    </w:p>
    <w:p w:rsidR="00235465" w:rsidRPr="00BD2DB2" w:rsidRDefault="000D4A1C" w:rsidP="006320A9">
      <w:pPr>
        <w:jc w:val="both"/>
        <w:rPr>
          <w:lang w:val="en-GB"/>
        </w:rPr>
      </w:pPr>
      <w:r>
        <w:rPr>
          <w:lang w:val="en-GB"/>
        </w:rPr>
        <w:t>At the level of national secondary education, the above table</w:t>
      </w:r>
      <w:r w:rsidR="00977877" w:rsidRPr="00BD2DB2">
        <w:rPr>
          <w:lang w:val="en-GB"/>
        </w:rPr>
        <w:t xml:space="preserve"> </w:t>
      </w:r>
      <w:r>
        <w:rPr>
          <w:lang w:val="en-GB"/>
        </w:rPr>
        <w:t xml:space="preserve">documents the same trends as the primary education table, but there are others which should be taken seriously: </w:t>
      </w:r>
      <w:r w:rsidR="002E4510" w:rsidRPr="00BD2DB2">
        <w:rPr>
          <w:lang w:val="en-GB"/>
        </w:rPr>
        <w:t xml:space="preserve"> </w:t>
      </w:r>
    </w:p>
    <w:p w:rsidR="002E4510" w:rsidRPr="00BD2DB2" w:rsidRDefault="001C4B5F" w:rsidP="002E4510">
      <w:pPr>
        <w:pStyle w:val="ListParagraph"/>
        <w:numPr>
          <w:ilvl w:val="0"/>
          <w:numId w:val="5"/>
        </w:numPr>
        <w:jc w:val="both"/>
        <w:rPr>
          <w:lang w:val="en-GB"/>
        </w:rPr>
      </w:pPr>
      <w:r>
        <w:rPr>
          <w:lang w:val="en-GB"/>
        </w:rPr>
        <w:t>the pupil</w:t>
      </w:r>
      <w:r w:rsidR="002E4510" w:rsidRPr="00BD2DB2">
        <w:rPr>
          <w:lang w:val="en-GB"/>
        </w:rPr>
        <w:t xml:space="preserve"> population </w:t>
      </w:r>
      <w:r>
        <w:rPr>
          <w:lang w:val="en-GB"/>
        </w:rPr>
        <w:t xml:space="preserve">in classical secondary education is gradually declining; </w:t>
      </w:r>
    </w:p>
    <w:p w:rsidR="002E4510" w:rsidRPr="00BD2DB2" w:rsidRDefault="001C4B5F" w:rsidP="002E4510">
      <w:pPr>
        <w:pStyle w:val="ListParagraph"/>
        <w:numPr>
          <w:ilvl w:val="0"/>
          <w:numId w:val="5"/>
        </w:numPr>
        <w:jc w:val="both"/>
        <w:rPr>
          <w:lang w:val="en-GB"/>
        </w:rPr>
      </w:pPr>
      <w:r>
        <w:rPr>
          <w:lang w:val="en-GB"/>
        </w:rPr>
        <w:t>the pupil population in general secondary education is increasing</w:t>
      </w:r>
      <w:r w:rsidR="002E4510" w:rsidRPr="00BD2DB2">
        <w:rPr>
          <w:lang w:val="en-GB"/>
        </w:rPr>
        <w:t>;</w:t>
      </w:r>
    </w:p>
    <w:p w:rsidR="002E4510" w:rsidRPr="00BD2DB2" w:rsidRDefault="001C4B5F" w:rsidP="002E4510">
      <w:pPr>
        <w:pStyle w:val="ListParagraph"/>
        <w:numPr>
          <w:ilvl w:val="0"/>
          <w:numId w:val="5"/>
        </w:numPr>
        <w:jc w:val="both"/>
        <w:rPr>
          <w:lang w:val="en-GB"/>
        </w:rPr>
      </w:pPr>
      <w:r>
        <w:rPr>
          <w:lang w:val="en-GB"/>
        </w:rPr>
        <w:t xml:space="preserve">the percentage of foreign pupils in the Luxembourg education system is going up, but it is going up more markedly in </w:t>
      </w:r>
      <w:r w:rsidR="00951A7C" w:rsidRPr="00E32FDF">
        <w:rPr>
          <w:i/>
          <w:lang w:val="en-GB"/>
        </w:rPr>
        <w:t>ESG</w:t>
      </w:r>
      <w:r w:rsidRPr="00E32FDF">
        <w:rPr>
          <w:i/>
          <w:lang w:val="en-GB"/>
        </w:rPr>
        <w:t xml:space="preserve"> </w:t>
      </w:r>
      <w:r>
        <w:rPr>
          <w:lang w:val="en-GB"/>
        </w:rPr>
        <w:t xml:space="preserve">than in </w:t>
      </w:r>
      <w:r w:rsidR="00951A7C" w:rsidRPr="00E32FDF">
        <w:rPr>
          <w:i/>
          <w:lang w:val="en-GB"/>
        </w:rPr>
        <w:t>ESC</w:t>
      </w:r>
      <w:r>
        <w:rPr>
          <w:lang w:val="en-GB"/>
        </w:rPr>
        <w:t xml:space="preserve">; </w:t>
      </w:r>
      <w:r w:rsidR="002E4510" w:rsidRPr="00BD2DB2">
        <w:rPr>
          <w:lang w:val="en-GB"/>
        </w:rPr>
        <w:t xml:space="preserve"> </w:t>
      </w:r>
    </w:p>
    <w:p w:rsidR="001D63CD" w:rsidRPr="00BD2DB2" w:rsidRDefault="001C4B5F" w:rsidP="002E4510">
      <w:pPr>
        <w:pStyle w:val="ListParagraph"/>
        <w:numPr>
          <w:ilvl w:val="0"/>
          <w:numId w:val="5"/>
        </w:numPr>
        <w:jc w:val="both"/>
        <w:rPr>
          <w:lang w:val="en-GB"/>
        </w:rPr>
      </w:pPr>
      <w:r>
        <w:rPr>
          <w:lang w:val="en-GB"/>
        </w:rPr>
        <w:t xml:space="preserve">it results from the above finding that the already </w:t>
      </w:r>
      <w:r w:rsidR="007D6A49">
        <w:rPr>
          <w:lang w:val="en-GB"/>
        </w:rPr>
        <w:t xml:space="preserve">stark divide in the percentage of foreign pupils between </w:t>
      </w:r>
      <w:r w:rsidR="00951A7C" w:rsidRPr="00E32FDF">
        <w:rPr>
          <w:i/>
          <w:lang w:val="en-GB"/>
        </w:rPr>
        <w:t>ESC</w:t>
      </w:r>
      <w:r w:rsidR="007D6A49">
        <w:rPr>
          <w:lang w:val="en-GB"/>
        </w:rPr>
        <w:t xml:space="preserve"> and </w:t>
      </w:r>
      <w:r w:rsidR="00951A7C" w:rsidRPr="00E32FDF">
        <w:rPr>
          <w:i/>
          <w:lang w:val="en-GB"/>
        </w:rPr>
        <w:t>ESG</w:t>
      </w:r>
      <w:r w:rsidR="007D6A49">
        <w:rPr>
          <w:lang w:val="en-GB"/>
        </w:rPr>
        <w:t xml:space="preserve"> is continuing to widen; </w:t>
      </w:r>
      <w:r w:rsidR="001D63CD" w:rsidRPr="00BD2DB2">
        <w:rPr>
          <w:lang w:val="en-GB"/>
        </w:rPr>
        <w:t xml:space="preserve"> </w:t>
      </w:r>
    </w:p>
    <w:p w:rsidR="00CF2433" w:rsidRDefault="007D6A49" w:rsidP="00CF2433">
      <w:pPr>
        <w:pStyle w:val="ListParagraph"/>
        <w:numPr>
          <w:ilvl w:val="0"/>
          <w:numId w:val="5"/>
        </w:numPr>
        <w:jc w:val="both"/>
        <w:rPr>
          <w:lang w:val="en-GB"/>
        </w:rPr>
      </w:pPr>
      <w:r>
        <w:rPr>
          <w:lang w:val="en-GB"/>
        </w:rPr>
        <w:t>the percentage of pupils who speak a language other than</w:t>
      </w:r>
      <w:r w:rsidRPr="007D6A49">
        <w:rPr>
          <w:lang w:val="en-GB"/>
        </w:rPr>
        <w:t xml:space="preserve"> </w:t>
      </w:r>
      <w:r w:rsidRPr="007D6A49">
        <w:rPr>
          <w:bCs/>
          <w:lang w:val="en-GB"/>
        </w:rPr>
        <w:t>Lëtzebuergesch</w:t>
      </w:r>
      <w:r w:rsidR="00977877" w:rsidRPr="00BD2DB2">
        <w:rPr>
          <w:lang w:val="en-GB"/>
        </w:rPr>
        <w:t xml:space="preserve"> </w:t>
      </w:r>
      <w:r>
        <w:rPr>
          <w:lang w:val="en-GB"/>
        </w:rPr>
        <w:t xml:space="preserve">as their first language at home is increasing markedly and constantly. </w:t>
      </w:r>
    </w:p>
    <w:p w:rsidR="005770AF" w:rsidRPr="005770AF" w:rsidRDefault="005770AF" w:rsidP="005770AF">
      <w:pPr>
        <w:jc w:val="both"/>
        <w:rPr>
          <w:lang w:val="en-GB"/>
        </w:rPr>
      </w:pPr>
    </w:p>
    <w:p w:rsidR="006320A9" w:rsidRPr="00BD2DB2" w:rsidRDefault="005770AF" w:rsidP="00977877">
      <w:pPr>
        <w:pStyle w:val="Heading2"/>
        <w:rPr>
          <w:lang w:val="en-GB"/>
        </w:rPr>
      </w:pPr>
      <w:r>
        <w:rPr>
          <w:noProof/>
        </w:rPr>
        <w:drawing>
          <wp:anchor distT="0" distB="0" distL="114300" distR="114300" simplePos="0" relativeHeight="251665408" behindDoc="0" locked="0" layoutInCell="1" allowOverlap="1">
            <wp:simplePos x="0" y="0"/>
            <wp:positionH relativeFrom="margin">
              <wp:posOffset>5349875</wp:posOffset>
            </wp:positionH>
            <wp:positionV relativeFrom="paragraph">
              <wp:posOffset>-20955</wp:posOffset>
            </wp:positionV>
            <wp:extent cx="1367790" cy="1904365"/>
            <wp:effectExtent l="1905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790" cy="1904365"/>
                    </a:xfrm>
                    <a:prstGeom prst="rect">
                      <a:avLst/>
                    </a:prstGeom>
                  </pic:spPr>
                </pic:pic>
              </a:graphicData>
            </a:graphic>
          </wp:anchor>
        </w:drawing>
      </w:r>
      <w:bookmarkStart w:id="8" w:name="_Toc494880759"/>
      <w:r w:rsidR="007D6A49">
        <w:rPr>
          <w:lang w:val="en-GB"/>
        </w:rPr>
        <w:t>Pupil population in the south east of</w:t>
      </w:r>
      <w:r w:rsidR="006320A9" w:rsidRPr="00BD2DB2">
        <w:rPr>
          <w:lang w:val="en-GB"/>
        </w:rPr>
        <w:t xml:space="preserve"> Luxembourg</w:t>
      </w:r>
      <w:bookmarkEnd w:id="8"/>
      <w:r w:rsidR="006320A9" w:rsidRPr="00BD2DB2">
        <w:rPr>
          <w:lang w:val="en-GB"/>
        </w:rPr>
        <w:t xml:space="preserve"> </w:t>
      </w:r>
    </w:p>
    <w:p w:rsidR="00AE66E1" w:rsidRPr="00BD2DB2" w:rsidRDefault="007D6A49" w:rsidP="00D74680">
      <w:pPr>
        <w:jc w:val="both"/>
        <w:rPr>
          <w:lang w:val="en-GB"/>
        </w:rPr>
      </w:pPr>
      <w:r>
        <w:rPr>
          <w:lang w:val="en-GB"/>
        </w:rPr>
        <w:t xml:space="preserve">The area in the immediate vicinity of the future </w:t>
      </w:r>
      <w:r w:rsidR="00AE66E1" w:rsidRPr="00BD2DB2">
        <w:rPr>
          <w:lang w:val="en-GB"/>
        </w:rPr>
        <w:t xml:space="preserve">Mondorf </w:t>
      </w:r>
      <w:r>
        <w:rPr>
          <w:lang w:val="en-GB"/>
        </w:rPr>
        <w:t xml:space="preserve">school comprises the municipalities of </w:t>
      </w:r>
      <w:r w:rsidR="00393512" w:rsidRPr="00BD2DB2">
        <w:rPr>
          <w:lang w:val="en-GB"/>
        </w:rPr>
        <w:t>Bous, Contern, Dalheim, Frisange, Lenningen, Mondorf-les-Bains, Remich, Schengen</w:t>
      </w:r>
      <w:r>
        <w:rPr>
          <w:lang w:val="en-GB"/>
        </w:rPr>
        <w:t>, Stadtbredimus, Waldbredimus and</w:t>
      </w:r>
      <w:r w:rsidR="00393512" w:rsidRPr="00BD2DB2">
        <w:rPr>
          <w:lang w:val="en-GB"/>
        </w:rPr>
        <w:t xml:space="preserve"> Weiler-la-Tour.</w:t>
      </w:r>
    </w:p>
    <w:p w:rsidR="005770AF" w:rsidRDefault="005770AF" w:rsidP="00D74680">
      <w:pPr>
        <w:jc w:val="both"/>
        <w:rPr>
          <w:lang w:val="en-GB"/>
        </w:rPr>
      </w:pPr>
    </w:p>
    <w:p w:rsidR="005770AF" w:rsidRDefault="005770AF" w:rsidP="00D74680">
      <w:pPr>
        <w:jc w:val="both"/>
        <w:rPr>
          <w:lang w:val="en-GB"/>
        </w:rPr>
      </w:pPr>
    </w:p>
    <w:p w:rsidR="00F92F0E" w:rsidRDefault="00F92F0E" w:rsidP="00D74680">
      <w:pPr>
        <w:jc w:val="both"/>
        <w:rPr>
          <w:lang w:val="en-GB"/>
        </w:rPr>
      </w:pPr>
    </w:p>
    <w:p w:rsidR="00393512" w:rsidRDefault="005902D0" w:rsidP="00D74680">
      <w:pPr>
        <w:jc w:val="both"/>
        <w:rPr>
          <w:lang w:val="en-GB"/>
        </w:rPr>
      </w:pPr>
      <w:r>
        <w:rPr>
          <w:lang w:val="en-GB"/>
        </w:rPr>
        <w:t xml:space="preserve">The table below shows, by municipality, the numbers of pupils moving up from primary education to secondary education. </w:t>
      </w:r>
      <w:r w:rsidR="00760AD6" w:rsidRPr="00BD2DB2">
        <w:rPr>
          <w:lang w:val="en-GB"/>
        </w:rPr>
        <w:t xml:space="preserve"> </w:t>
      </w:r>
      <w:r>
        <w:rPr>
          <w:lang w:val="en-GB"/>
        </w:rPr>
        <w:t xml:space="preserve">As primary education is organised and managed by the municipalities and delivered on the territory of the municipalities, it is when they move up from the primary to the secondary that pupils have to choose </w:t>
      </w:r>
      <w:r w:rsidR="00F92F0E">
        <w:rPr>
          <w:lang w:val="en-GB"/>
        </w:rPr>
        <w:t xml:space="preserve">the </w:t>
      </w:r>
      <w:r w:rsidR="00F92F0E" w:rsidRPr="00F92F0E">
        <w:rPr>
          <w:i/>
          <w:lang w:val="en-GB"/>
        </w:rPr>
        <w:t>Lycée</w:t>
      </w:r>
      <w:r w:rsidR="0060016D">
        <w:rPr>
          <w:lang w:val="en-GB"/>
        </w:rPr>
        <w:t xml:space="preserve"> or other secondary school at</w:t>
      </w:r>
      <w:r w:rsidR="00F92F0E">
        <w:rPr>
          <w:lang w:val="en-GB"/>
        </w:rPr>
        <w:t xml:space="preserve"> which they are going to continue their education. </w:t>
      </w:r>
    </w:p>
    <w:p w:rsidR="00F92F0E" w:rsidRPr="00BD2DB2" w:rsidRDefault="00F92F0E" w:rsidP="00D74680">
      <w:pPr>
        <w:jc w:val="both"/>
        <w:rPr>
          <w:lang w:val="en-GB"/>
        </w:rPr>
      </w:pPr>
    </w:p>
    <w:tbl>
      <w:tblPr>
        <w:tblStyle w:val="TableGrid"/>
        <w:tblW w:w="5000" w:type="pct"/>
        <w:tblLook w:val="04A0" w:firstRow="1" w:lastRow="0" w:firstColumn="1" w:lastColumn="0" w:noHBand="0" w:noVBand="1"/>
      </w:tblPr>
      <w:tblGrid>
        <w:gridCol w:w="3105"/>
        <w:gridCol w:w="1350"/>
        <w:gridCol w:w="1350"/>
        <w:gridCol w:w="1350"/>
        <w:gridCol w:w="1350"/>
        <w:gridCol w:w="1350"/>
      </w:tblGrid>
      <w:tr w:rsidR="00393512" w:rsidRPr="00BD2DB2" w:rsidTr="00CF2433">
        <w:tc>
          <w:tcPr>
            <w:tcW w:w="1575" w:type="pct"/>
            <w:shd w:val="clear" w:color="auto" w:fill="D9D9D9" w:themeFill="background1" w:themeFillShade="D9"/>
          </w:tcPr>
          <w:p w:rsidR="00393512" w:rsidRPr="00BD2DB2" w:rsidRDefault="007D6A49" w:rsidP="00760AD6">
            <w:pPr>
              <w:jc w:val="center"/>
              <w:rPr>
                <w:b/>
                <w:lang w:val="en-GB"/>
              </w:rPr>
            </w:pPr>
            <w:r>
              <w:rPr>
                <w:b/>
                <w:lang w:val="en-GB"/>
              </w:rPr>
              <w:t>Municipality</w:t>
            </w:r>
          </w:p>
        </w:tc>
        <w:tc>
          <w:tcPr>
            <w:tcW w:w="685" w:type="pct"/>
            <w:shd w:val="clear" w:color="auto" w:fill="D9D9D9" w:themeFill="background1" w:themeFillShade="D9"/>
          </w:tcPr>
          <w:p w:rsidR="00393512" w:rsidRPr="00BD2DB2" w:rsidRDefault="00760AD6" w:rsidP="00760AD6">
            <w:pPr>
              <w:jc w:val="center"/>
              <w:rPr>
                <w:b/>
                <w:lang w:val="en-GB"/>
              </w:rPr>
            </w:pPr>
            <w:r w:rsidRPr="00BD2DB2">
              <w:rPr>
                <w:b/>
                <w:lang w:val="en-GB"/>
              </w:rPr>
              <w:t>2012/13</w:t>
            </w:r>
          </w:p>
        </w:tc>
        <w:tc>
          <w:tcPr>
            <w:tcW w:w="685" w:type="pct"/>
            <w:shd w:val="clear" w:color="auto" w:fill="D9D9D9" w:themeFill="background1" w:themeFillShade="D9"/>
          </w:tcPr>
          <w:p w:rsidR="00393512" w:rsidRPr="00BD2DB2" w:rsidRDefault="00760AD6" w:rsidP="00760AD6">
            <w:pPr>
              <w:jc w:val="center"/>
              <w:rPr>
                <w:b/>
                <w:lang w:val="en-GB"/>
              </w:rPr>
            </w:pPr>
            <w:r w:rsidRPr="00BD2DB2">
              <w:rPr>
                <w:b/>
                <w:lang w:val="en-GB"/>
              </w:rPr>
              <w:t>2013/14</w:t>
            </w:r>
          </w:p>
        </w:tc>
        <w:tc>
          <w:tcPr>
            <w:tcW w:w="685" w:type="pct"/>
            <w:shd w:val="clear" w:color="auto" w:fill="D9D9D9" w:themeFill="background1" w:themeFillShade="D9"/>
          </w:tcPr>
          <w:p w:rsidR="00393512" w:rsidRPr="00BD2DB2" w:rsidRDefault="00760AD6" w:rsidP="00760AD6">
            <w:pPr>
              <w:jc w:val="center"/>
              <w:rPr>
                <w:b/>
                <w:lang w:val="en-GB"/>
              </w:rPr>
            </w:pPr>
            <w:r w:rsidRPr="00BD2DB2">
              <w:rPr>
                <w:b/>
                <w:lang w:val="en-GB"/>
              </w:rPr>
              <w:t>2014/15</w:t>
            </w:r>
          </w:p>
        </w:tc>
        <w:tc>
          <w:tcPr>
            <w:tcW w:w="685" w:type="pct"/>
            <w:shd w:val="clear" w:color="auto" w:fill="D9D9D9" w:themeFill="background1" w:themeFillShade="D9"/>
          </w:tcPr>
          <w:p w:rsidR="00393512" w:rsidRPr="00BD2DB2" w:rsidRDefault="00760AD6" w:rsidP="00760AD6">
            <w:pPr>
              <w:jc w:val="center"/>
              <w:rPr>
                <w:b/>
                <w:lang w:val="en-GB"/>
              </w:rPr>
            </w:pPr>
            <w:r w:rsidRPr="00BD2DB2">
              <w:rPr>
                <w:b/>
                <w:lang w:val="en-GB"/>
              </w:rPr>
              <w:t>2015/16</w:t>
            </w:r>
          </w:p>
        </w:tc>
        <w:tc>
          <w:tcPr>
            <w:tcW w:w="685" w:type="pct"/>
            <w:shd w:val="clear" w:color="auto" w:fill="D9D9D9" w:themeFill="background1" w:themeFillShade="D9"/>
          </w:tcPr>
          <w:p w:rsidR="00393512" w:rsidRPr="00BD2DB2" w:rsidRDefault="00760AD6" w:rsidP="00760AD6">
            <w:pPr>
              <w:jc w:val="center"/>
              <w:rPr>
                <w:b/>
                <w:lang w:val="en-GB"/>
              </w:rPr>
            </w:pPr>
            <w:r w:rsidRPr="00BD2DB2">
              <w:rPr>
                <w:b/>
                <w:lang w:val="en-GB"/>
              </w:rPr>
              <w:t>2016/17</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Bous</w:t>
            </w:r>
          </w:p>
        </w:tc>
        <w:tc>
          <w:tcPr>
            <w:tcW w:w="685" w:type="pct"/>
            <w:vAlign w:val="center"/>
          </w:tcPr>
          <w:p w:rsidR="00393512" w:rsidRPr="00BD2DB2" w:rsidRDefault="00760AD6" w:rsidP="00A017EB">
            <w:pPr>
              <w:jc w:val="center"/>
              <w:rPr>
                <w:lang w:val="en-GB"/>
              </w:rPr>
            </w:pPr>
            <w:r w:rsidRPr="00BD2DB2">
              <w:rPr>
                <w:lang w:val="en-GB"/>
              </w:rPr>
              <w:t>13</w:t>
            </w:r>
          </w:p>
        </w:tc>
        <w:tc>
          <w:tcPr>
            <w:tcW w:w="685" w:type="pct"/>
            <w:vAlign w:val="center"/>
          </w:tcPr>
          <w:p w:rsidR="00393512" w:rsidRPr="00BD2DB2" w:rsidRDefault="00760AD6" w:rsidP="00A017EB">
            <w:pPr>
              <w:jc w:val="center"/>
              <w:rPr>
                <w:lang w:val="en-GB"/>
              </w:rPr>
            </w:pPr>
            <w:r w:rsidRPr="00BD2DB2">
              <w:rPr>
                <w:lang w:val="en-GB"/>
              </w:rPr>
              <w:t>19</w:t>
            </w:r>
          </w:p>
        </w:tc>
        <w:tc>
          <w:tcPr>
            <w:tcW w:w="685" w:type="pct"/>
            <w:vAlign w:val="center"/>
          </w:tcPr>
          <w:p w:rsidR="00393512" w:rsidRPr="00BD2DB2" w:rsidRDefault="00760AD6" w:rsidP="00A017EB">
            <w:pPr>
              <w:jc w:val="center"/>
              <w:rPr>
                <w:lang w:val="en-GB"/>
              </w:rPr>
            </w:pPr>
            <w:r w:rsidRPr="00BD2DB2">
              <w:rPr>
                <w:lang w:val="en-GB"/>
              </w:rPr>
              <w:t>20</w:t>
            </w:r>
          </w:p>
        </w:tc>
        <w:tc>
          <w:tcPr>
            <w:tcW w:w="685" w:type="pct"/>
            <w:vAlign w:val="center"/>
          </w:tcPr>
          <w:p w:rsidR="00393512" w:rsidRPr="00BD2DB2" w:rsidRDefault="00760AD6" w:rsidP="00A017EB">
            <w:pPr>
              <w:jc w:val="center"/>
              <w:rPr>
                <w:lang w:val="en-GB"/>
              </w:rPr>
            </w:pPr>
            <w:r w:rsidRPr="00BD2DB2">
              <w:rPr>
                <w:lang w:val="en-GB"/>
              </w:rPr>
              <w:t>22</w:t>
            </w:r>
          </w:p>
        </w:tc>
        <w:tc>
          <w:tcPr>
            <w:tcW w:w="685" w:type="pct"/>
            <w:vAlign w:val="center"/>
          </w:tcPr>
          <w:p w:rsidR="00393512" w:rsidRPr="00BD2DB2" w:rsidRDefault="0096122C" w:rsidP="00A017EB">
            <w:pPr>
              <w:jc w:val="center"/>
              <w:rPr>
                <w:lang w:val="en-GB"/>
              </w:rPr>
            </w:pPr>
            <w:r w:rsidRPr="00BD2DB2">
              <w:rPr>
                <w:lang w:val="en-GB"/>
              </w:rPr>
              <w:t>9</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Contern</w:t>
            </w:r>
          </w:p>
        </w:tc>
        <w:tc>
          <w:tcPr>
            <w:tcW w:w="685" w:type="pct"/>
            <w:vAlign w:val="center"/>
          </w:tcPr>
          <w:p w:rsidR="00393512" w:rsidRPr="00BD2DB2" w:rsidRDefault="00760AD6" w:rsidP="00A017EB">
            <w:pPr>
              <w:jc w:val="center"/>
              <w:rPr>
                <w:lang w:val="en-GB"/>
              </w:rPr>
            </w:pPr>
            <w:r w:rsidRPr="00BD2DB2">
              <w:rPr>
                <w:lang w:val="en-GB"/>
              </w:rPr>
              <w:t>32</w:t>
            </w:r>
          </w:p>
        </w:tc>
        <w:tc>
          <w:tcPr>
            <w:tcW w:w="685" w:type="pct"/>
            <w:vAlign w:val="center"/>
          </w:tcPr>
          <w:p w:rsidR="00393512" w:rsidRPr="00BD2DB2" w:rsidRDefault="00760AD6" w:rsidP="00A017EB">
            <w:pPr>
              <w:jc w:val="center"/>
              <w:rPr>
                <w:lang w:val="en-GB"/>
              </w:rPr>
            </w:pPr>
            <w:r w:rsidRPr="00BD2DB2">
              <w:rPr>
                <w:lang w:val="en-GB"/>
              </w:rPr>
              <w:t>30</w:t>
            </w:r>
          </w:p>
        </w:tc>
        <w:tc>
          <w:tcPr>
            <w:tcW w:w="685" w:type="pct"/>
            <w:vAlign w:val="center"/>
          </w:tcPr>
          <w:p w:rsidR="00393512" w:rsidRPr="00BD2DB2" w:rsidRDefault="00760AD6" w:rsidP="00A017EB">
            <w:pPr>
              <w:jc w:val="center"/>
              <w:rPr>
                <w:lang w:val="en-GB"/>
              </w:rPr>
            </w:pPr>
            <w:r w:rsidRPr="00BD2DB2">
              <w:rPr>
                <w:lang w:val="en-GB"/>
              </w:rPr>
              <w:t>39</w:t>
            </w:r>
          </w:p>
        </w:tc>
        <w:tc>
          <w:tcPr>
            <w:tcW w:w="685" w:type="pct"/>
            <w:vAlign w:val="center"/>
          </w:tcPr>
          <w:p w:rsidR="00393512" w:rsidRPr="00BD2DB2" w:rsidRDefault="00760AD6" w:rsidP="00A017EB">
            <w:pPr>
              <w:jc w:val="center"/>
              <w:rPr>
                <w:lang w:val="en-GB"/>
              </w:rPr>
            </w:pPr>
            <w:r w:rsidRPr="00BD2DB2">
              <w:rPr>
                <w:lang w:val="en-GB"/>
              </w:rPr>
              <w:t>34</w:t>
            </w:r>
          </w:p>
        </w:tc>
        <w:tc>
          <w:tcPr>
            <w:tcW w:w="685" w:type="pct"/>
            <w:vAlign w:val="center"/>
          </w:tcPr>
          <w:p w:rsidR="00393512" w:rsidRPr="00BD2DB2" w:rsidRDefault="0096122C" w:rsidP="00A017EB">
            <w:pPr>
              <w:jc w:val="center"/>
              <w:rPr>
                <w:lang w:val="en-GB"/>
              </w:rPr>
            </w:pPr>
            <w:r w:rsidRPr="00BD2DB2">
              <w:rPr>
                <w:lang w:val="en-GB"/>
              </w:rPr>
              <w:t>26</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Dalheim</w:t>
            </w:r>
          </w:p>
        </w:tc>
        <w:tc>
          <w:tcPr>
            <w:tcW w:w="685" w:type="pct"/>
            <w:vAlign w:val="center"/>
          </w:tcPr>
          <w:p w:rsidR="00393512" w:rsidRPr="00BD2DB2" w:rsidRDefault="00760AD6" w:rsidP="00A017EB">
            <w:pPr>
              <w:jc w:val="center"/>
              <w:rPr>
                <w:lang w:val="en-GB"/>
              </w:rPr>
            </w:pPr>
            <w:r w:rsidRPr="00BD2DB2">
              <w:rPr>
                <w:lang w:val="en-GB"/>
              </w:rPr>
              <w:t>15</w:t>
            </w:r>
          </w:p>
        </w:tc>
        <w:tc>
          <w:tcPr>
            <w:tcW w:w="685" w:type="pct"/>
            <w:vAlign w:val="center"/>
          </w:tcPr>
          <w:p w:rsidR="00393512" w:rsidRPr="00BD2DB2" w:rsidRDefault="00760AD6" w:rsidP="00A017EB">
            <w:pPr>
              <w:jc w:val="center"/>
              <w:rPr>
                <w:lang w:val="en-GB"/>
              </w:rPr>
            </w:pPr>
            <w:r w:rsidRPr="00BD2DB2">
              <w:rPr>
                <w:lang w:val="en-GB"/>
              </w:rPr>
              <w:t>18</w:t>
            </w:r>
          </w:p>
        </w:tc>
        <w:tc>
          <w:tcPr>
            <w:tcW w:w="685" w:type="pct"/>
            <w:vAlign w:val="center"/>
          </w:tcPr>
          <w:p w:rsidR="00393512" w:rsidRPr="00BD2DB2" w:rsidRDefault="00760AD6" w:rsidP="00A017EB">
            <w:pPr>
              <w:jc w:val="center"/>
              <w:rPr>
                <w:lang w:val="en-GB"/>
              </w:rPr>
            </w:pPr>
            <w:r w:rsidRPr="00BD2DB2">
              <w:rPr>
                <w:lang w:val="en-GB"/>
              </w:rPr>
              <w:t>14</w:t>
            </w:r>
          </w:p>
        </w:tc>
        <w:tc>
          <w:tcPr>
            <w:tcW w:w="685" w:type="pct"/>
            <w:vAlign w:val="center"/>
          </w:tcPr>
          <w:p w:rsidR="00393512" w:rsidRPr="00BD2DB2" w:rsidRDefault="00760AD6" w:rsidP="00A017EB">
            <w:pPr>
              <w:jc w:val="center"/>
              <w:rPr>
                <w:lang w:val="en-GB"/>
              </w:rPr>
            </w:pPr>
            <w:r w:rsidRPr="00BD2DB2">
              <w:rPr>
                <w:lang w:val="en-GB"/>
              </w:rPr>
              <w:t>20</w:t>
            </w:r>
          </w:p>
        </w:tc>
        <w:tc>
          <w:tcPr>
            <w:tcW w:w="685" w:type="pct"/>
            <w:vAlign w:val="center"/>
          </w:tcPr>
          <w:p w:rsidR="00393512" w:rsidRPr="00BD2DB2" w:rsidRDefault="0096122C" w:rsidP="00A017EB">
            <w:pPr>
              <w:jc w:val="center"/>
              <w:rPr>
                <w:lang w:val="en-GB"/>
              </w:rPr>
            </w:pPr>
            <w:r w:rsidRPr="00BD2DB2">
              <w:rPr>
                <w:lang w:val="en-GB"/>
              </w:rPr>
              <w:t>18</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Frisange</w:t>
            </w:r>
          </w:p>
        </w:tc>
        <w:tc>
          <w:tcPr>
            <w:tcW w:w="685" w:type="pct"/>
            <w:vAlign w:val="center"/>
          </w:tcPr>
          <w:p w:rsidR="00393512" w:rsidRPr="00BD2DB2" w:rsidRDefault="00760AD6" w:rsidP="00A017EB">
            <w:pPr>
              <w:jc w:val="center"/>
              <w:rPr>
                <w:lang w:val="en-GB"/>
              </w:rPr>
            </w:pPr>
            <w:r w:rsidRPr="00BD2DB2">
              <w:rPr>
                <w:lang w:val="en-GB"/>
              </w:rPr>
              <w:t>43</w:t>
            </w:r>
          </w:p>
        </w:tc>
        <w:tc>
          <w:tcPr>
            <w:tcW w:w="685" w:type="pct"/>
            <w:vAlign w:val="center"/>
          </w:tcPr>
          <w:p w:rsidR="00393512" w:rsidRPr="00BD2DB2" w:rsidRDefault="00760AD6" w:rsidP="00A017EB">
            <w:pPr>
              <w:jc w:val="center"/>
              <w:rPr>
                <w:lang w:val="en-GB"/>
              </w:rPr>
            </w:pPr>
            <w:r w:rsidRPr="00BD2DB2">
              <w:rPr>
                <w:lang w:val="en-GB"/>
              </w:rPr>
              <w:t>41</w:t>
            </w:r>
          </w:p>
        </w:tc>
        <w:tc>
          <w:tcPr>
            <w:tcW w:w="685" w:type="pct"/>
            <w:vAlign w:val="center"/>
          </w:tcPr>
          <w:p w:rsidR="00393512" w:rsidRPr="00BD2DB2" w:rsidRDefault="00760AD6" w:rsidP="00A017EB">
            <w:pPr>
              <w:jc w:val="center"/>
              <w:rPr>
                <w:lang w:val="en-GB"/>
              </w:rPr>
            </w:pPr>
            <w:r w:rsidRPr="00BD2DB2">
              <w:rPr>
                <w:lang w:val="en-GB"/>
              </w:rPr>
              <w:t>34</w:t>
            </w:r>
          </w:p>
        </w:tc>
        <w:tc>
          <w:tcPr>
            <w:tcW w:w="685" w:type="pct"/>
            <w:vAlign w:val="center"/>
          </w:tcPr>
          <w:p w:rsidR="00393512" w:rsidRPr="00BD2DB2" w:rsidRDefault="00760AD6" w:rsidP="00A017EB">
            <w:pPr>
              <w:jc w:val="center"/>
              <w:rPr>
                <w:lang w:val="en-GB"/>
              </w:rPr>
            </w:pPr>
            <w:r w:rsidRPr="00BD2DB2">
              <w:rPr>
                <w:lang w:val="en-GB"/>
              </w:rPr>
              <w:t>40</w:t>
            </w:r>
          </w:p>
        </w:tc>
        <w:tc>
          <w:tcPr>
            <w:tcW w:w="685" w:type="pct"/>
            <w:vAlign w:val="center"/>
          </w:tcPr>
          <w:p w:rsidR="00393512" w:rsidRPr="00BD2DB2" w:rsidRDefault="0096122C" w:rsidP="00A017EB">
            <w:pPr>
              <w:jc w:val="center"/>
              <w:rPr>
                <w:lang w:val="en-GB"/>
              </w:rPr>
            </w:pPr>
            <w:r w:rsidRPr="00BD2DB2">
              <w:rPr>
                <w:lang w:val="en-GB"/>
              </w:rPr>
              <w:t>36</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Lenningen</w:t>
            </w:r>
          </w:p>
        </w:tc>
        <w:tc>
          <w:tcPr>
            <w:tcW w:w="685" w:type="pct"/>
            <w:vAlign w:val="center"/>
          </w:tcPr>
          <w:p w:rsidR="00393512" w:rsidRPr="00BD2DB2" w:rsidRDefault="00760AD6" w:rsidP="00A017EB">
            <w:pPr>
              <w:jc w:val="center"/>
              <w:rPr>
                <w:lang w:val="en-GB"/>
              </w:rPr>
            </w:pPr>
            <w:r w:rsidRPr="00BD2DB2">
              <w:rPr>
                <w:lang w:val="en-GB"/>
              </w:rPr>
              <w:t>20</w:t>
            </w:r>
          </w:p>
        </w:tc>
        <w:tc>
          <w:tcPr>
            <w:tcW w:w="685" w:type="pct"/>
            <w:vAlign w:val="center"/>
          </w:tcPr>
          <w:p w:rsidR="00393512" w:rsidRPr="00BD2DB2" w:rsidRDefault="00760AD6" w:rsidP="00A017EB">
            <w:pPr>
              <w:jc w:val="center"/>
              <w:rPr>
                <w:lang w:val="en-GB"/>
              </w:rPr>
            </w:pPr>
            <w:r w:rsidRPr="00BD2DB2">
              <w:rPr>
                <w:lang w:val="en-GB"/>
              </w:rPr>
              <w:t>31</w:t>
            </w:r>
          </w:p>
        </w:tc>
        <w:tc>
          <w:tcPr>
            <w:tcW w:w="685" w:type="pct"/>
            <w:vAlign w:val="center"/>
          </w:tcPr>
          <w:p w:rsidR="00393512" w:rsidRPr="00BD2DB2" w:rsidRDefault="00760AD6" w:rsidP="00A017EB">
            <w:pPr>
              <w:jc w:val="center"/>
              <w:rPr>
                <w:lang w:val="en-GB"/>
              </w:rPr>
            </w:pPr>
            <w:r w:rsidRPr="00BD2DB2">
              <w:rPr>
                <w:lang w:val="en-GB"/>
              </w:rPr>
              <w:t>35</w:t>
            </w:r>
          </w:p>
        </w:tc>
        <w:tc>
          <w:tcPr>
            <w:tcW w:w="685" w:type="pct"/>
            <w:vAlign w:val="center"/>
          </w:tcPr>
          <w:p w:rsidR="00393512" w:rsidRPr="00BD2DB2" w:rsidRDefault="00760AD6" w:rsidP="00A017EB">
            <w:pPr>
              <w:jc w:val="center"/>
              <w:rPr>
                <w:lang w:val="en-GB"/>
              </w:rPr>
            </w:pPr>
            <w:r w:rsidRPr="00BD2DB2">
              <w:rPr>
                <w:lang w:val="en-GB"/>
              </w:rPr>
              <w:t>17</w:t>
            </w:r>
          </w:p>
        </w:tc>
        <w:tc>
          <w:tcPr>
            <w:tcW w:w="685" w:type="pct"/>
            <w:vAlign w:val="center"/>
          </w:tcPr>
          <w:p w:rsidR="00393512" w:rsidRPr="00BD2DB2" w:rsidRDefault="0096122C" w:rsidP="00A017EB">
            <w:pPr>
              <w:jc w:val="center"/>
              <w:rPr>
                <w:lang w:val="en-GB"/>
              </w:rPr>
            </w:pPr>
            <w:r w:rsidRPr="00BD2DB2">
              <w:rPr>
                <w:lang w:val="en-GB"/>
              </w:rPr>
              <w:t>36</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Mondorf-les-Bains</w:t>
            </w:r>
          </w:p>
        </w:tc>
        <w:tc>
          <w:tcPr>
            <w:tcW w:w="685" w:type="pct"/>
            <w:vAlign w:val="center"/>
          </w:tcPr>
          <w:p w:rsidR="00393512" w:rsidRPr="00BD2DB2" w:rsidRDefault="00760AD6" w:rsidP="00A017EB">
            <w:pPr>
              <w:jc w:val="center"/>
              <w:rPr>
                <w:lang w:val="en-GB"/>
              </w:rPr>
            </w:pPr>
            <w:r w:rsidRPr="00BD2DB2">
              <w:rPr>
                <w:lang w:val="en-GB"/>
              </w:rPr>
              <w:t>41</w:t>
            </w:r>
          </w:p>
        </w:tc>
        <w:tc>
          <w:tcPr>
            <w:tcW w:w="685" w:type="pct"/>
            <w:vAlign w:val="center"/>
          </w:tcPr>
          <w:p w:rsidR="00393512" w:rsidRPr="00BD2DB2" w:rsidRDefault="00760AD6" w:rsidP="00A017EB">
            <w:pPr>
              <w:jc w:val="center"/>
              <w:rPr>
                <w:lang w:val="en-GB"/>
              </w:rPr>
            </w:pPr>
            <w:r w:rsidRPr="00BD2DB2">
              <w:rPr>
                <w:lang w:val="en-GB"/>
              </w:rPr>
              <w:t>42</w:t>
            </w:r>
          </w:p>
        </w:tc>
        <w:tc>
          <w:tcPr>
            <w:tcW w:w="685" w:type="pct"/>
            <w:vAlign w:val="center"/>
          </w:tcPr>
          <w:p w:rsidR="00393512" w:rsidRPr="00BD2DB2" w:rsidRDefault="00760AD6" w:rsidP="00A017EB">
            <w:pPr>
              <w:jc w:val="center"/>
              <w:rPr>
                <w:lang w:val="en-GB"/>
              </w:rPr>
            </w:pPr>
            <w:r w:rsidRPr="00BD2DB2">
              <w:rPr>
                <w:lang w:val="en-GB"/>
              </w:rPr>
              <w:t>42</w:t>
            </w:r>
          </w:p>
        </w:tc>
        <w:tc>
          <w:tcPr>
            <w:tcW w:w="685" w:type="pct"/>
            <w:vAlign w:val="center"/>
          </w:tcPr>
          <w:p w:rsidR="00393512" w:rsidRPr="00BD2DB2" w:rsidRDefault="00760AD6" w:rsidP="00A017EB">
            <w:pPr>
              <w:jc w:val="center"/>
              <w:rPr>
                <w:lang w:val="en-GB"/>
              </w:rPr>
            </w:pPr>
            <w:r w:rsidRPr="00BD2DB2">
              <w:rPr>
                <w:lang w:val="en-GB"/>
              </w:rPr>
              <w:t>35</w:t>
            </w:r>
          </w:p>
        </w:tc>
        <w:tc>
          <w:tcPr>
            <w:tcW w:w="685" w:type="pct"/>
            <w:vAlign w:val="center"/>
          </w:tcPr>
          <w:p w:rsidR="00393512" w:rsidRPr="00BD2DB2" w:rsidRDefault="0096122C" w:rsidP="00A017EB">
            <w:pPr>
              <w:jc w:val="center"/>
              <w:rPr>
                <w:lang w:val="en-GB"/>
              </w:rPr>
            </w:pPr>
            <w:r w:rsidRPr="00BD2DB2">
              <w:rPr>
                <w:lang w:val="en-GB"/>
              </w:rPr>
              <w:t>42</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Remich</w:t>
            </w:r>
          </w:p>
        </w:tc>
        <w:tc>
          <w:tcPr>
            <w:tcW w:w="685" w:type="pct"/>
            <w:vAlign w:val="center"/>
          </w:tcPr>
          <w:p w:rsidR="00393512" w:rsidRPr="00BD2DB2" w:rsidRDefault="00760AD6" w:rsidP="00A017EB">
            <w:pPr>
              <w:jc w:val="center"/>
              <w:rPr>
                <w:lang w:val="en-GB"/>
              </w:rPr>
            </w:pPr>
            <w:r w:rsidRPr="00BD2DB2">
              <w:rPr>
                <w:lang w:val="en-GB"/>
              </w:rPr>
              <w:t>33</w:t>
            </w:r>
          </w:p>
        </w:tc>
        <w:tc>
          <w:tcPr>
            <w:tcW w:w="685" w:type="pct"/>
            <w:vAlign w:val="center"/>
          </w:tcPr>
          <w:p w:rsidR="00393512" w:rsidRPr="00BD2DB2" w:rsidRDefault="00760AD6" w:rsidP="00A017EB">
            <w:pPr>
              <w:jc w:val="center"/>
              <w:rPr>
                <w:lang w:val="en-GB"/>
              </w:rPr>
            </w:pPr>
            <w:r w:rsidRPr="00BD2DB2">
              <w:rPr>
                <w:lang w:val="en-GB"/>
              </w:rPr>
              <w:t>33</w:t>
            </w:r>
          </w:p>
        </w:tc>
        <w:tc>
          <w:tcPr>
            <w:tcW w:w="685" w:type="pct"/>
            <w:vAlign w:val="center"/>
          </w:tcPr>
          <w:p w:rsidR="00393512" w:rsidRPr="00BD2DB2" w:rsidRDefault="00760AD6" w:rsidP="00A017EB">
            <w:pPr>
              <w:jc w:val="center"/>
              <w:rPr>
                <w:lang w:val="en-GB"/>
              </w:rPr>
            </w:pPr>
            <w:r w:rsidRPr="00BD2DB2">
              <w:rPr>
                <w:lang w:val="en-GB"/>
              </w:rPr>
              <w:t>32</w:t>
            </w:r>
          </w:p>
        </w:tc>
        <w:tc>
          <w:tcPr>
            <w:tcW w:w="685" w:type="pct"/>
            <w:vAlign w:val="center"/>
          </w:tcPr>
          <w:p w:rsidR="00393512" w:rsidRPr="00BD2DB2" w:rsidRDefault="00760AD6" w:rsidP="00A017EB">
            <w:pPr>
              <w:jc w:val="center"/>
              <w:rPr>
                <w:lang w:val="en-GB"/>
              </w:rPr>
            </w:pPr>
            <w:r w:rsidRPr="00BD2DB2">
              <w:rPr>
                <w:lang w:val="en-GB"/>
              </w:rPr>
              <w:t>38</w:t>
            </w:r>
          </w:p>
        </w:tc>
        <w:tc>
          <w:tcPr>
            <w:tcW w:w="685" w:type="pct"/>
            <w:vAlign w:val="center"/>
          </w:tcPr>
          <w:p w:rsidR="00393512" w:rsidRPr="00BD2DB2" w:rsidRDefault="0096122C" w:rsidP="00A017EB">
            <w:pPr>
              <w:jc w:val="center"/>
              <w:rPr>
                <w:lang w:val="en-GB"/>
              </w:rPr>
            </w:pPr>
            <w:r w:rsidRPr="00BD2DB2">
              <w:rPr>
                <w:lang w:val="en-GB"/>
              </w:rPr>
              <w:t>22</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Schengen</w:t>
            </w:r>
          </w:p>
        </w:tc>
        <w:tc>
          <w:tcPr>
            <w:tcW w:w="685" w:type="pct"/>
            <w:vAlign w:val="center"/>
          </w:tcPr>
          <w:p w:rsidR="00393512" w:rsidRPr="00BD2DB2" w:rsidRDefault="00A017EB" w:rsidP="00A017EB">
            <w:pPr>
              <w:jc w:val="center"/>
              <w:rPr>
                <w:lang w:val="en-GB"/>
              </w:rPr>
            </w:pPr>
            <w:r w:rsidRPr="00BD2DB2">
              <w:rPr>
                <w:lang w:val="en-GB"/>
              </w:rPr>
              <w:t>36</w:t>
            </w:r>
          </w:p>
        </w:tc>
        <w:tc>
          <w:tcPr>
            <w:tcW w:w="685" w:type="pct"/>
            <w:vAlign w:val="center"/>
          </w:tcPr>
          <w:p w:rsidR="00393512" w:rsidRPr="00BD2DB2" w:rsidRDefault="00A017EB" w:rsidP="00A017EB">
            <w:pPr>
              <w:jc w:val="center"/>
              <w:rPr>
                <w:lang w:val="en-GB"/>
              </w:rPr>
            </w:pPr>
            <w:r w:rsidRPr="00BD2DB2">
              <w:rPr>
                <w:lang w:val="en-GB"/>
              </w:rPr>
              <w:t>50</w:t>
            </w:r>
          </w:p>
        </w:tc>
        <w:tc>
          <w:tcPr>
            <w:tcW w:w="685" w:type="pct"/>
            <w:vAlign w:val="center"/>
          </w:tcPr>
          <w:p w:rsidR="00393512" w:rsidRPr="00BD2DB2" w:rsidRDefault="00A017EB" w:rsidP="00A017EB">
            <w:pPr>
              <w:jc w:val="center"/>
              <w:rPr>
                <w:lang w:val="en-GB"/>
              </w:rPr>
            </w:pPr>
            <w:r w:rsidRPr="00BD2DB2">
              <w:rPr>
                <w:lang w:val="en-GB"/>
              </w:rPr>
              <w:t>34</w:t>
            </w:r>
          </w:p>
        </w:tc>
        <w:tc>
          <w:tcPr>
            <w:tcW w:w="685" w:type="pct"/>
            <w:vAlign w:val="center"/>
          </w:tcPr>
          <w:p w:rsidR="00393512" w:rsidRPr="00BD2DB2" w:rsidRDefault="00A017EB" w:rsidP="00A017EB">
            <w:pPr>
              <w:jc w:val="center"/>
              <w:rPr>
                <w:lang w:val="en-GB"/>
              </w:rPr>
            </w:pPr>
            <w:r w:rsidRPr="00BD2DB2">
              <w:rPr>
                <w:lang w:val="en-GB"/>
              </w:rPr>
              <w:t>43</w:t>
            </w:r>
          </w:p>
        </w:tc>
        <w:tc>
          <w:tcPr>
            <w:tcW w:w="685" w:type="pct"/>
            <w:vAlign w:val="center"/>
          </w:tcPr>
          <w:p w:rsidR="00393512" w:rsidRPr="00BD2DB2" w:rsidRDefault="0096122C" w:rsidP="00A017EB">
            <w:pPr>
              <w:jc w:val="center"/>
              <w:rPr>
                <w:lang w:val="en-GB"/>
              </w:rPr>
            </w:pPr>
            <w:r w:rsidRPr="00BD2DB2">
              <w:rPr>
                <w:lang w:val="en-GB"/>
              </w:rPr>
              <w:t>46</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Stadtbredimus</w:t>
            </w:r>
          </w:p>
        </w:tc>
        <w:tc>
          <w:tcPr>
            <w:tcW w:w="685" w:type="pct"/>
            <w:vAlign w:val="center"/>
          </w:tcPr>
          <w:p w:rsidR="00393512" w:rsidRPr="00BD2DB2" w:rsidRDefault="0096122C" w:rsidP="00A017EB">
            <w:pPr>
              <w:jc w:val="center"/>
              <w:rPr>
                <w:lang w:val="en-GB"/>
              </w:rPr>
            </w:pPr>
            <w:r w:rsidRPr="00BD2DB2">
              <w:rPr>
                <w:lang w:val="en-GB"/>
              </w:rPr>
              <w:t>13</w:t>
            </w:r>
          </w:p>
        </w:tc>
        <w:tc>
          <w:tcPr>
            <w:tcW w:w="685" w:type="pct"/>
            <w:vAlign w:val="center"/>
          </w:tcPr>
          <w:p w:rsidR="00393512" w:rsidRPr="00BD2DB2" w:rsidRDefault="0096122C" w:rsidP="00A017EB">
            <w:pPr>
              <w:jc w:val="center"/>
              <w:rPr>
                <w:lang w:val="en-GB"/>
              </w:rPr>
            </w:pPr>
            <w:r w:rsidRPr="00BD2DB2">
              <w:rPr>
                <w:lang w:val="en-GB"/>
              </w:rPr>
              <w:t>18</w:t>
            </w:r>
          </w:p>
        </w:tc>
        <w:tc>
          <w:tcPr>
            <w:tcW w:w="685" w:type="pct"/>
            <w:vAlign w:val="center"/>
          </w:tcPr>
          <w:p w:rsidR="00393512" w:rsidRPr="00BD2DB2" w:rsidRDefault="0096122C" w:rsidP="00A017EB">
            <w:pPr>
              <w:jc w:val="center"/>
              <w:rPr>
                <w:lang w:val="en-GB"/>
              </w:rPr>
            </w:pPr>
            <w:r w:rsidRPr="00BD2DB2">
              <w:rPr>
                <w:lang w:val="en-GB"/>
              </w:rPr>
              <w:t>14</w:t>
            </w:r>
          </w:p>
        </w:tc>
        <w:tc>
          <w:tcPr>
            <w:tcW w:w="685" w:type="pct"/>
            <w:vAlign w:val="center"/>
          </w:tcPr>
          <w:p w:rsidR="00393512" w:rsidRPr="00BD2DB2" w:rsidRDefault="0096122C" w:rsidP="00A017EB">
            <w:pPr>
              <w:jc w:val="center"/>
              <w:rPr>
                <w:lang w:val="en-GB"/>
              </w:rPr>
            </w:pPr>
            <w:r w:rsidRPr="00BD2DB2">
              <w:rPr>
                <w:lang w:val="en-GB"/>
              </w:rPr>
              <w:t>22</w:t>
            </w:r>
          </w:p>
        </w:tc>
        <w:tc>
          <w:tcPr>
            <w:tcW w:w="685" w:type="pct"/>
            <w:vAlign w:val="center"/>
          </w:tcPr>
          <w:p w:rsidR="00393512" w:rsidRPr="00BD2DB2" w:rsidRDefault="0096122C" w:rsidP="00A017EB">
            <w:pPr>
              <w:jc w:val="center"/>
              <w:rPr>
                <w:lang w:val="en-GB"/>
              </w:rPr>
            </w:pPr>
            <w:r w:rsidRPr="00BD2DB2">
              <w:rPr>
                <w:lang w:val="en-GB"/>
              </w:rPr>
              <w:t>13</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Waldbredimus</w:t>
            </w:r>
          </w:p>
        </w:tc>
        <w:tc>
          <w:tcPr>
            <w:tcW w:w="685" w:type="pct"/>
            <w:vAlign w:val="center"/>
          </w:tcPr>
          <w:p w:rsidR="00393512" w:rsidRPr="00BD2DB2" w:rsidRDefault="00A017EB" w:rsidP="00A017EB">
            <w:pPr>
              <w:jc w:val="center"/>
              <w:rPr>
                <w:lang w:val="en-GB"/>
              </w:rPr>
            </w:pPr>
            <w:r w:rsidRPr="00BD2DB2">
              <w:rPr>
                <w:lang w:val="en-GB"/>
              </w:rPr>
              <w:t>10</w:t>
            </w:r>
          </w:p>
        </w:tc>
        <w:tc>
          <w:tcPr>
            <w:tcW w:w="685" w:type="pct"/>
            <w:vAlign w:val="center"/>
          </w:tcPr>
          <w:p w:rsidR="00393512" w:rsidRPr="00BD2DB2" w:rsidRDefault="00A017EB" w:rsidP="00A017EB">
            <w:pPr>
              <w:jc w:val="center"/>
              <w:rPr>
                <w:lang w:val="en-GB"/>
              </w:rPr>
            </w:pPr>
            <w:r w:rsidRPr="00BD2DB2">
              <w:rPr>
                <w:lang w:val="en-GB"/>
              </w:rPr>
              <w:t>7</w:t>
            </w:r>
          </w:p>
        </w:tc>
        <w:tc>
          <w:tcPr>
            <w:tcW w:w="685" w:type="pct"/>
            <w:vAlign w:val="center"/>
          </w:tcPr>
          <w:p w:rsidR="00393512" w:rsidRPr="00BD2DB2" w:rsidRDefault="00A017EB" w:rsidP="00A017EB">
            <w:pPr>
              <w:jc w:val="center"/>
              <w:rPr>
                <w:lang w:val="en-GB"/>
              </w:rPr>
            </w:pPr>
            <w:r w:rsidRPr="00BD2DB2">
              <w:rPr>
                <w:lang w:val="en-GB"/>
              </w:rPr>
              <w:t>7</w:t>
            </w:r>
          </w:p>
        </w:tc>
        <w:tc>
          <w:tcPr>
            <w:tcW w:w="685" w:type="pct"/>
            <w:vAlign w:val="center"/>
          </w:tcPr>
          <w:p w:rsidR="00393512" w:rsidRPr="00BD2DB2" w:rsidRDefault="00A017EB" w:rsidP="00A017EB">
            <w:pPr>
              <w:jc w:val="center"/>
              <w:rPr>
                <w:lang w:val="en-GB"/>
              </w:rPr>
            </w:pPr>
            <w:r w:rsidRPr="00BD2DB2">
              <w:rPr>
                <w:lang w:val="en-GB"/>
              </w:rPr>
              <w:t>10</w:t>
            </w:r>
          </w:p>
        </w:tc>
        <w:tc>
          <w:tcPr>
            <w:tcW w:w="685" w:type="pct"/>
            <w:vAlign w:val="center"/>
          </w:tcPr>
          <w:p w:rsidR="00393512" w:rsidRPr="00BD2DB2" w:rsidRDefault="0096122C" w:rsidP="00A017EB">
            <w:pPr>
              <w:jc w:val="center"/>
              <w:rPr>
                <w:lang w:val="en-GB"/>
              </w:rPr>
            </w:pPr>
            <w:r w:rsidRPr="00BD2DB2">
              <w:rPr>
                <w:lang w:val="en-GB"/>
              </w:rPr>
              <w:t>7</w:t>
            </w:r>
          </w:p>
        </w:tc>
      </w:tr>
      <w:tr w:rsidR="00393512" w:rsidRPr="00BD2DB2" w:rsidTr="00CF2433">
        <w:tc>
          <w:tcPr>
            <w:tcW w:w="1575" w:type="pct"/>
            <w:shd w:val="clear" w:color="auto" w:fill="D9D9D9" w:themeFill="background1" w:themeFillShade="D9"/>
          </w:tcPr>
          <w:p w:rsidR="00393512" w:rsidRPr="00BD2DB2" w:rsidRDefault="00393512" w:rsidP="00D74680">
            <w:pPr>
              <w:jc w:val="both"/>
              <w:rPr>
                <w:b/>
                <w:lang w:val="en-GB"/>
              </w:rPr>
            </w:pPr>
            <w:r w:rsidRPr="00BD2DB2">
              <w:rPr>
                <w:b/>
                <w:lang w:val="en-GB"/>
              </w:rPr>
              <w:t>Weiler-la-Tour</w:t>
            </w:r>
          </w:p>
        </w:tc>
        <w:tc>
          <w:tcPr>
            <w:tcW w:w="685" w:type="pct"/>
            <w:vAlign w:val="center"/>
          </w:tcPr>
          <w:p w:rsidR="00393512" w:rsidRPr="00BD2DB2" w:rsidRDefault="00A017EB" w:rsidP="00A017EB">
            <w:pPr>
              <w:jc w:val="center"/>
              <w:rPr>
                <w:lang w:val="en-GB"/>
              </w:rPr>
            </w:pPr>
            <w:r w:rsidRPr="00BD2DB2">
              <w:rPr>
                <w:lang w:val="en-GB"/>
              </w:rPr>
              <w:t>19</w:t>
            </w:r>
          </w:p>
        </w:tc>
        <w:tc>
          <w:tcPr>
            <w:tcW w:w="685" w:type="pct"/>
            <w:vAlign w:val="center"/>
          </w:tcPr>
          <w:p w:rsidR="00393512" w:rsidRPr="00BD2DB2" w:rsidRDefault="00A017EB" w:rsidP="00A017EB">
            <w:pPr>
              <w:jc w:val="center"/>
              <w:rPr>
                <w:lang w:val="en-GB"/>
              </w:rPr>
            </w:pPr>
            <w:r w:rsidRPr="00BD2DB2">
              <w:rPr>
                <w:lang w:val="en-GB"/>
              </w:rPr>
              <w:t>27</w:t>
            </w:r>
          </w:p>
        </w:tc>
        <w:tc>
          <w:tcPr>
            <w:tcW w:w="685" w:type="pct"/>
            <w:vAlign w:val="center"/>
          </w:tcPr>
          <w:p w:rsidR="00393512" w:rsidRPr="00BD2DB2" w:rsidRDefault="00A017EB" w:rsidP="00A017EB">
            <w:pPr>
              <w:jc w:val="center"/>
              <w:rPr>
                <w:lang w:val="en-GB"/>
              </w:rPr>
            </w:pPr>
            <w:r w:rsidRPr="00BD2DB2">
              <w:rPr>
                <w:lang w:val="en-GB"/>
              </w:rPr>
              <w:t>23</w:t>
            </w:r>
          </w:p>
        </w:tc>
        <w:tc>
          <w:tcPr>
            <w:tcW w:w="685" w:type="pct"/>
            <w:vAlign w:val="center"/>
          </w:tcPr>
          <w:p w:rsidR="00393512" w:rsidRPr="00BD2DB2" w:rsidRDefault="00A017EB" w:rsidP="00A017EB">
            <w:pPr>
              <w:jc w:val="center"/>
              <w:rPr>
                <w:lang w:val="en-GB"/>
              </w:rPr>
            </w:pPr>
            <w:r w:rsidRPr="00BD2DB2">
              <w:rPr>
                <w:lang w:val="en-GB"/>
              </w:rPr>
              <w:t>38</w:t>
            </w:r>
          </w:p>
        </w:tc>
        <w:tc>
          <w:tcPr>
            <w:tcW w:w="685" w:type="pct"/>
            <w:vAlign w:val="center"/>
          </w:tcPr>
          <w:p w:rsidR="00393512" w:rsidRPr="00BD2DB2" w:rsidRDefault="0096122C" w:rsidP="00A017EB">
            <w:pPr>
              <w:jc w:val="center"/>
              <w:rPr>
                <w:lang w:val="en-GB"/>
              </w:rPr>
            </w:pPr>
            <w:r w:rsidRPr="00BD2DB2">
              <w:rPr>
                <w:lang w:val="en-GB"/>
              </w:rPr>
              <w:t>29</w:t>
            </w:r>
          </w:p>
        </w:tc>
      </w:tr>
      <w:tr w:rsidR="00CF2433" w:rsidRPr="00BD2DB2" w:rsidTr="00CF2433">
        <w:tc>
          <w:tcPr>
            <w:tcW w:w="5000" w:type="pct"/>
            <w:gridSpan w:val="6"/>
          </w:tcPr>
          <w:p w:rsidR="00CF2433" w:rsidRPr="00BD2DB2" w:rsidRDefault="00CF2433" w:rsidP="00A017EB">
            <w:pPr>
              <w:jc w:val="center"/>
              <w:rPr>
                <w:lang w:val="en-GB"/>
              </w:rPr>
            </w:pPr>
          </w:p>
        </w:tc>
      </w:tr>
      <w:tr w:rsidR="00A017EB" w:rsidRPr="00BD2DB2" w:rsidTr="00CF2433">
        <w:tc>
          <w:tcPr>
            <w:tcW w:w="1575" w:type="pct"/>
            <w:shd w:val="clear" w:color="auto" w:fill="D9D9D9" w:themeFill="background1" w:themeFillShade="D9"/>
          </w:tcPr>
          <w:p w:rsidR="00A017EB" w:rsidRPr="00BD2DB2" w:rsidRDefault="00A017EB" w:rsidP="00D74680">
            <w:pPr>
              <w:jc w:val="both"/>
              <w:rPr>
                <w:b/>
                <w:lang w:val="en-GB"/>
              </w:rPr>
            </w:pPr>
            <w:r w:rsidRPr="00BD2DB2">
              <w:rPr>
                <w:b/>
                <w:lang w:val="en-GB"/>
              </w:rPr>
              <w:t>Total</w:t>
            </w:r>
          </w:p>
        </w:tc>
        <w:tc>
          <w:tcPr>
            <w:tcW w:w="685" w:type="pct"/>
            <w:shd w:val="clear" w:color="auto" w:fill="D9D9D9" w:themeFill="background1" w:themeFillShade="D9"/>
            <w:vAlign w:val="center"/>
          </w:tcPr>
          <w:p w:rsidR="00A017EB" w:rsidRPr="00BD2DB2" w:rsidRDefault="00A017EB" w:rsidP="00A017EB">
            <w:pPr>
              <w:jc w:val="center"/>
              <w:rPr>
                <w:b/>
                <w:lang w:val="en-GB"/>
              </w:rPr>
            </w:pPr>
            <w:r w:rsidRPr="00BD2DB2">
              <w:rPr>
                <w:b/>
                <w:lang w:val="en-GB"/>
              </w:rPr>
              <w:t>264</w:t>
            </w:r>
          </w:p>
        </w:tc>
        <w:tc>
          <w:tcPr>
            <w:tcW w:w="685" w:type="pct"/>
            <w:shd w:val="clear" w:color="auto" w:fill="D9D9D9" w:themeFill="background1" w:themeFillShade="D9"/>
            <w:vAlign w:val="center"/>
          </w:tcPr>
          <w:p w:rsidR="00A017EB" w:rsidRPr="00BD2DB2" w:rsidRDefault="00A017EB" w:rsidP="00A017EB">
            <w:pPr>
              <w:jc w:val="center"/>
              <w:rPr>
                <w:b/>
                <w:lang w:val="en-GB"/>
              </w:rPr>
            </w:pPr>
            <w:r w:rsidRPr="00BD2DB2">
              <w:rPr>
                <w:b/>
                <w:lang w:val="en-GB"/>
              </w:rPr>
              <w:t>304</w:t>
            </w:r>
          </w:p>
        </w:tc>
        <w:tc>
          <w:tcPr>
            <w:tcW w:w="685" w:type="pct"/>
            <w:shd w:val="clear" w:color="auto" w:fill="D9D9D9" w:themeFill="background1" w:themeFillShade="D9"/>
            <w:vAlign w:val="center"/>
          </w:tcPr>
          <w:p w:rsidR="00A017EB" w:rsidRPr="00BD2DB2" w:rsidRDefault="00A017EB" w:rsidP="00A017EB">
            <w:pPr>
              <w:jc w:val="center"/>
              <w:rPr>
                <w:b/>
                <w:lang w:val="en-GB"/>
              </w:rPr>
            </w:pPr>
            <w:r w:rsidRPr="00BD2DB2">
              <w:rPr>
                <w:b/>
                <w:lang w:val="en-GB"/>
              </w:rPr>
              <w:t>287</w:t>
            </w:r>
          </w:p>
        </w:tc>
        <w:tc>
          <w:tcPr>
            <w:tcW w:w="685" w:type="pct"/>
            <w:shd w:val="clear" w:color="auto" w:fill="D9D9D9" w:themeFill="background1" w:themeFillShade="D9"/>
            <w:vAlign w:val="center"/>
          </w:tcPr>
          <w:p w:rsidR="00A017EB" w:rsidRPr="00BD2DB2" w:rsidRDefault="00A017EB" w:rsidP="00A017EB">
            <w:pPr>
              <w:jc w:val="center"/>
              <w:rPr>
                <w:b/>
                <w:lang w:val="en-GB"/>
              </w:rPr>
            </w:pPr>
            <w:r w:rsidRPr="00BD2DB2">
              <w:rPr>
                <w:b/>
                <w:lang w:val="en-GB"/>
              </w:rPr>
              <w:t>306</w:t>
            </w:r>
          </w:p>
        </w:tc>
        <w:tc>
          <w:tcPr>
            <w:tcW w:w="685" w:type="pct"/>
            <w:shd w:val="clear" w:color="auto" w:fill="D9D9D9" w:themeFill="background1" w:themeFillShade="D9"/>
            <w:vAlign w:val="center"/>
          </w:tcPr>
          <w:p w:rsidR="00A017EB" w:rsidRPr="00BD2DB2" w:rsidRDefault="0096122C" w:rsidP="00A017EB">
            <w:pPr>
              <w:jc w:val="center"/>
              <w:rPr>
                <w:b/>
                <w:lang w:val="en-GB"/>
              </w:rPr>
            </w:pPr>
            <w:r w:rsidRPr="00BD2DB2">
              <w:rPr>
                <w:b/>
                <w:lang w:val="en-GB"/>
              </w:rPr>
              <w:t>284</w:t>
            </w:r>
          </w:p>
        </w:tc>
      </w:tr>
    </w:tbl>
    <w:p w:rsidR="00F92F0E" w:rsidRDefault="00F92F0E" w:rsidP="00D74680">
      <w:pPr>
        <w:jc w:val="both"/>
        <w:rPr>
          <w:lang w:val="en-GB"/>
        </w:rPr>
      </w:pPr>
    </w:p>
    <w:p w:rsidR="006320A9" w:rsidRPr="00BD2DB2" w:rsidRDefault="004514C8" w:rsidP="00D74680">
      <w:pPr>
        <w:jc w:val="both"/>
        <w:rPr>
          <w:lang w:val="en-GB"/>
        </w:rPr>
      </w:pPr>
      <w:r>
        <w:rPr>
          <w:lang w:val="en-GB"/>
        </w:rPr>
        <w:t>In the following table, the number of admissions to year</w:t>
      </w:r>
      <w:r w:rsidR="006320A9" w:rsidRPr="00BD2DB2">
        <w:rPr>
          <w:lang w:val="en-GB"/>
        </w:rPr>
        <w:t xml:space="preserve"> 7 </w:t>
      </w:r>
      <w:r w:rsidR="00951A7C">
        <w:rPr>
          <w:lang w:val="en-GB"/>
        </w:rPr>
        <w:t xml:space="preserve">(12-year-olds) of secondary education in </w:t>
      </w:r>
      <w:r w:rsidR="006320A9" w:rsidRPr="00BD2DB2">
        <w:rPr>
          <w:lang w:val="en-GB"/>
        </w:rPr>
        <w:t>Lux</w:t>
      </w:r>
      <w:r w:rsidR="00951A7C">
        <w:rPr>
          <w:lang w:val="en-GB"/>
        </w:rPr>
        <w:t>embourg are shown for the three branches of secondary education, namely classical secondary education (</w:t>
      </w:r>
      <w:r w:rsidR="00951A7C" w:rsidRPr="00E32FDF">
        <w:rPr>
          <w:i/>
          <w:lang w:val="en-GB"/>
        </w:rPr>
        <w:t>ESC</w:t>
      </w:r>
      <w:r w:rsidR="00951A7C">
        <w:rPr>
          <w:lang w:val="en-GB"/>
        </w:rPr>
        <w:t xml:space="preserve">), general secondary education </w:t>
      </w:r>
      <w:r w:rsidR="003F0641" w:rsidRPr="00BD2DB2">
        <w:rPr>
          <w:lang w:val="en-GB"/>
        </w:rPr>
        <w:t>(</w:t>
      </w:r>
      <w:r w:rsidR="003F0641" w:rsidRPr="00E32FDF">
        <w:rPr>
          <w:i/>
          <w:lang w:val="en-GB"/>
        </w:rPr>
        <w:t>ESG</w:t>
      </w:r>
      <w:r w:rsidR="00E32FDF">
        <w:rPr>
          <w:lang w:val="en-GB"/>
        </w:rPr>
        <w:t xml:space="preserve">) and </w:t>
      </w:r>
      <w:r w:rsidR="0076737E">
        <w:rPr>
          <w:lang w:val="en-GB"/>
        </w:rPr>
        <w:t>the preparatory pathway</w:t>
      </w:r>
      <w:r w:rsidR="003F0641" w:rsidRPr="00BD2DB2">
        <w:rPr>
          <w:lang w:val="en-GB"/>
        </w:rPr>
        <w:t xml:space="preserve"> (</w:t>
      </w:r>
      <w:r w:rsidR="003F0641" w:rsidRPr="0076737E">
        <w:rPr>
          <w:i/>
          <w:lang w:val="en-GB"/>
        </w:rPr>
        <w:t>VP</w:t>
      </w:r>
      <w:r w:rsidR="003F0641" w:rsidRPr="00BD2DB2">
        <w:rPr>
          <w:lang w:val="en-GB"/>
        </w:rPr>
        <w:t>)</w:t>
      </w:r>
      <w:r w:rsidR="0076737E">
        <w:rPr>
          <w:lang w:val="en-GB"/>
        </w:rPr>
        <w:t xml:space="preserve">, and for the four </w:t>
      </w:r>
      <w:r w:rsidR="0076737E" w:rsidRPr="0076737E">
        <w:rPr>
          <w:i/>
          <w:lang w:val="en-GB"/>
        </w:rPr>
        <w:t>Lycées</w:t>
      </w:r>
      <w:r w:rsidR="0076737E">
        <w:rPr>
          <w:lang w:val="en-GB"/>
        </w:rPr>
        <w:t xml:space="preserve"> closest to</w:t>
      </w:r>
      <w:r w:rsidR="006320A9" w:rsidRPr="00BD2DB2">
        <w:rPr>
          <w:lang w:val="en-GB"/>
        </w:rPr>
        <w:t xml:space="preserve"> Mondorf-les-Bains, </w:t>
      </w:r>
    </w:p>
    <w:p w:rsidR="006320A9" w:rsidRPr="00BD2DB2" w:rsidRDefault="002D0871" w:rsidP="00D74680">
      <w:pPr>
        <w:pStyle w:val="ListParagraph"/>
        <w:numPr>
          <w:ilvl w:val="0"/>
          <w:numId w:val="3"/>
        </w:numPr>
        <w:jc w:val="both"/>
        <w:rPr>
          <w:lang w:val="en-GB"/>
        </w:rPr>
      </w:pPr>
      <w:r>
        <w:rPr>
          <w:lang w:val="en-GB"/>
        </w:rPr>
        <w:t>to the east, the</w:t>
      </w:r>
      <w:r w:rsidR="006320A9" w:rsidRPr="00BD2DB2">
        <w:rPr>
          <w:lang w:val="en-GB"/>
        </w:rPr>
        <w:t xml:space="preserve"> </w:t>
      </w:r>
      <w:r w:rsidRPr="00BD2DB2">
        <w:rPr>
          <w:i/>
          <w:lang w:val="en-GB"/>
        </w:rPr>
        <w:t>Deutsch-Luxemburgisches Schengen-Lyzeum</w:t>
      </w:r>
      <w:r>
        <w:rPr>
          <w:lang w:val="en-GB"/>
        </w:rPr>
        <w:t xml:space="preserve"> at </w:t>
      </w:r>
      <w:r w:rsidR="006320A9" w:rsidRPr="00BD2DB2">
        <w:rPr>
          <w:lang w:val="en-GB"/>
        </w:rPr>
        <w:t>Perl (</w:t>
      </w:r>
      <w:r w:rsidR="003F0641" w:rsidRPr="00BD2DB2">
        <w:rPr>
          <w:lang w:val="en-GB"/>
        </w:rPr>
        <w:t xml:space="preserve">SLP; </w:t>
      </w:r>
      <w:r w:rsidR="006320A9" w:rsidRPr="00BD2DB2">
        <w:rPr>
          <w:lang w:val="en-GB"/>
        </w:rPr>
        <w:t>13 km)</w:t>
      </w:r>
      <w:r w:rsidR="003F0641" w:rsidRPr="00BD2DB2">
        <w:rPr>
          <w:lang w:val="en-GB"/>
        </w:rPr>
        <w:t>;</w:t>
      </w:r>
    </w:p>
    <w:p w:rsidR="006320A9" w:rsidRPr="00BD2DB2" w:rsidRDefault="002D0871" w:rsidP="00D74680">
      <w:pPr>
        <w:pStyle w:val="ListParagraph"/>
        <w:numPr>
          <w:ilvl w:val="0"/>
          <w:numId w:val="3"/>
        </w:numPr>
        <w:jc w:val="both"/>
        <w:rPr>
          <w:lang w:val="en-GB"/>
        </w:rPr>
      </w:pPr>
      <w:r>
        <w:rPr>
          <w:lang w:val="en-GB"/>
        </w:rPr>
        <w:t xml:space="preserve">to the west, the </w:t>
      </w:r>
      <w:r w:rsidR="006320A9" w:rsidRPr="002D0871">
        <w:rPr>
          <w:i/>
          <w:lang w:val="en-GB"/>
        </w:rPr>
        <w:t>Lycée Nic Biver</w:t>
      </w:r>
      <w:r>
        <w:rPr>
          <w:lang w:val="en-GB"/>
        </w:rPr>
        <w:t xml:space="preserve"> at</w:t>
      </w:r>
      <w:r w:rsidR="006320A9" w:rsidRPr="00BD2DB2">
        <w:rPr>
          <w:lang w:val="en-GB"/>
        </w:rPr>
        <w:t xml:space="preserve"> Dudelange (</w:t>
      </w:r>
      <w:r>
        <w:rPr>
          <w:lang w:val="en-GB"/>
        </w:rPr>
        <w:t>LNB</w:t>
      </w:r>
      <w:r w:rsidR="003F0641" w:rsidRPr="00BD2DB2">
        <w:rPr>
          <w:lang w:val="en-GB"/>
        </w:rPr>
        <w:t xml:space="preserve">; </w:t>
      </w:r>
      <w:r w:rsidR="006320A9" w:rsidRPr="00BD2DB2">
        <w:rPr>
          <w:lang w:val="en-GB"/>
        </w:rPr>
        <w:t>20 km)</w:t>
      </w:r>
      <w:r>
        <w:rPr>
          <w:lang w:val="en-GB"/>
        </w:rPr>
        <w:t>;</w:t>
      </w:r>
      <w:r w:rsidR="003F0641" w:rsidRPr="00BD2DB2">
        <w:rPr>
          <w:lang w:val="en-GB"/>
        </w:rPr>
        <w:t> </w:t>
      </w:r>
    </w:p>
    <w:p w:rsidR="003F0641" w:rsidRPr="00BD2DB2" w:rsidRDefault="002D0871" w:rsidP="00D74680">
      <w:pPr>
        <w:pStyle w:val="ListParagraph"/>
        <w:numPr>
          <w:ilvl w:val="0"/>
          <w:numId w:val="3"/>
        </w:numPr>
        <w:jc w:val="both"/>
        <w:rPr>
          <w:lang w:val="en-GB"/>
        </w:rPr>
      </w:pPr>
      <w:r>
        <w:rPr>
          <w:lang w:val="en-GB"/>
        </w:rPr>
        <w:t>to the north west, the</w:t>
      </w:r>
      <w:r w:rsidR="003F0641" w:rsidRPr="00BD2DB2">
        <w:rPr>
          <w:lang w:val="en-GB"/>
        </w:rPr>
        <w:t xml:space="preserve"> </w:t>
      </w:r>
      <w:r w:rsidR="003F0641" w:rsidRPr="002D0871">
        <w:rPr>
          <w:i/>
          <w:lang w:val="en-GB"/>
        </w:rPr>
        <w:t>Lycée technique de Bonnevoie</w:t>
      </w:r>
      <w:r>
        <w:rPr>
          <w:lang w:val="en-GB"/>
        </w:rPr>
        <w:t xml:space="preserve"> (LTB; 28 km)</w:t>
      </w:r>
      <w:r w:rsidR="003F0641" w:rsidRPr="00BD2DB2">
        <w:rPr>
          <w:lang w:val="en-GB"/>
        </w:rPr>
        <w:t>;</w:t>
      </w:r>
    </w:p>
    <w:p w:rsidR="006320A9" w:rsidRDefault="002D0871" w:rsidP="00D74680">
      <w:pPr>
        <w:pStyle w:val="ListParagraph"/>
        <w:numPr>
          <w:ilvl w:val="0"/>
          <w:numId w:val="3"/>
        </w:numPr>
        <w:jc w:val="both"/>
        <w:rPr>
          <w:lang w:val="en-GB"/>
        </w:rPr>
      </w:pPr>
      <w:r>
        <w:rPr>
          <w:lang w:val="en-GB"/>
        </w:rPr>
        <w:t>to the north east, the</w:t>
      </w:r>
      <w:r w:rsidR="006320A9" w:rsidRPr="00BD2DB2">
        <w:rPr>
          <w:lang w:val="en-GB"/>
        </w:rPr>
        <w:t xml:space="preserve"> </w:t>
      </w:r>
      <w:r w:rsidR="003F0641" w:rsidRPr="002D0871">
        <w:rPr>
          <w:i/>
          <w:lang w:val="en-GB"/>
        </w:rPr>
        <w:t xml:space="preserve">Maacher </w:t>
      </w:r>
      <w:r w:rsidR="006320A9" w:rsidRPr="002D0871">
        <w:rPr>
          <w:i/>
          <w:lang w:val="en-GB"/>
        </w:rPr>
        <w:t xml:space="preserve">Lycée </w:t>
      </w:r>
      <w:r>
        <w:rPr>
          <w:lang w:val="en-GB"/>
        </w:rPr>
        <w:t>at</w:t>
      </w:r>
      <w:r w:rsidR="006320A9" w:rsidRPr="00BD2DB2">
        <w:rPr>
          <w:lang w:val="en-GB"/>
        </w:rPr>
        <w:t xml:space="preserve"> Grevenmacher</w:t>
      </w:r>
      <w:r>
        <w:rPr>
          <w:lang w:val="en-GB"/>
        </w:rPr>
        <w:t xml:space="preserve"> (MLG</w:t>
      </w:r>
      <w:r w:rsidR="003F0641" w:rsidRPr="00BD2DB2">
        <w:rPr>
          <w:lang w:val="en-GB"/>
        </w:rPr>
        <w:t>; 30 km).</w:t>
      </w:r>
    </w:p>
    <w:p w:rsidR="00F92F0E" w:rsidRDefault="00F92F0E" w:rsidP="00F92F0E">
      <w:pPr>
        <w:jc w:val="both"/>
        <w:rPr>
          <w:lang w:val="en-GB"/>
        </w:rPr>
      </w:pPr>
    </w:p>
    <w:tbl>
      <w:tblPr>
        <w:tblStyle w:val="TableGrid"/>
        <w:tblW w:w="5000" w:type="pct"/>
        <w:tblLook w:val="04A0" w:firstRow="1" w:lastRow="0" w:firstColumn="1" w:lastColumn="0" w:noHBand="0" w:noVBand="1"/>
      </w:tblPr>
      <w:tblGrid>
        <w:gridCol w:w="1387"/>
        <w:gridCol w:w="1388"/>
        <w:gridCol w:w="1416"/>
        <w:gridCol w:w="1416"/>
        <w:gridCol w:w="1416"/>
        <w:gridCol w:w="1416"/>
        <w:gridCol w:w="1416"/>
      </w:tblGrid>
      <w:tr w:rsidR="00CF6219" w:rsidRPr="00BD2DB2" w:rsidTr="008942A9">
        <w:tc>
          <w:tcPr>
            <w:tcW w:w="1387" w:type="dxa"/>
            <w:shd w:val="clear" w:color="auto" w:fill="D9D9D9" w:themeFill="background1" w:themeFillShade="D9"/>
          </w:tcPr>
          <w:p w:rsidR="00CF6219" w:rsidRPr="00BD2DB2" w:rsidRDefault="002D0871">
            <w:pPr>
              <w:rPr>
                <w:b/>
                <w:lang w:val="en-GB"/>
              </w:rPr>
            </w:pPr>
            <w:r>
              <w:rPr>
                <w:b/>
                <w:lang w:val="en-GB"/>
              </w:rPr>
              <w:t>School</w:t>
            </w:r>
          </w:p>
        </w:tc>
        <w:tc>
          <w:tcPr>
            <w:tcW w:w="1388" w:type="dxa"/>
            <w:shd w:val="clear" w:color="auto" w:fill="D9D9D9" w:themeFill="background1" w:themeFillShade="D9"/>
          </w:tcPr>
          <w:p w:rsidR="00CF6219" w:rsidRPr="00BD2DB2" w:rsidRDefault="002D0871" w:rsidP="00CF6219">
            <w:pPr>
              <w:jc w:val="center"/>
              <w:rPr>
                <w:b/>
                <w:lang w:val="en-GB"/>
              </w:rPr>
            </w:pPr>
            <w:r>
              <w:rPr>
                <w:b/>
                <w:lang w:val="en-GB"/>
              </w:rPr>
              <w:t>Branch</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2012/13</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2013/14</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2014/15</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2015/16</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2016/17</w:t>
            </w:r>
          </w:p>
        </w:tc>
      </w:tr>
      <w:tr w:rsidR="00CF6219" w:rsidRPr="00BD2DB2" w:rsidTr="008942A9">
        <w:tc>
          <w:tcPr>
            <w:tcW w:w="9855" w:type="dxa"/>
            <w:gridSpan w:val="7"/>
          </w:tcPr>
          <w:p w:rsidR="00CF6219" w:rsidRPr="00BD2DB2" w:rsidRDefault="00CF6219" w:rsidP="00CF6219">
            <w:pPr>
              <w:jc w:val="center"/>
              <w:rPr>
                <w:lang w:val="en-GB"/>
              </w:rPr>
            </w:pPr>
          </w:p>
        </w:tc>
      </w:tr>
      <w:tr w:rsidR="00CF6219" w:rsidRPr="00BD2DB2" w:rsidTr="008942A9">
        <w:tc>
          <w:tcPr>
            <w:tcW w:w="1387" w:type="dxa"/>
            <w:shd w:val="clear" w:color="auto" w:fill="D9D9D9" w:themeFill="background1" w:themeFillShade="D9"/>
          </w:tcPr>
          <w:p w:rsidR="00CF6219" w:rsidRPr="00BD2DB2" w:rsidRDefault="00CF6219">
            <w:pPr>
              <w:rPr>
                <w:b/>
                <w:lang w:val="en-GB"/>
              </w:rPr>
            </w:pPr>
            <w:r w:rsidRPr="00BD2DB2">
              <w:rPr>
                <w:b/>
                <w:lang w:val="en-GB"/>
              </w:rPr>
              <w:t>SLP</w:t>
            </w:r>
          </w:p>
        </w:tc>
        <w:tc>
          <w:tcPr>
            <w:tcW w:w="1388" w:type="dxa"/>
            <w:shd w:val="clear" w:color="auto" w:fill="D9D9D9" w:themeFill="background1" w:themeFillShade="D9"/>
          </w:tcPr>
          <w:p w:rsidR="00CF6219" w:rsidRPr="002D0871" w:rsidRDefault="00CF6219" w:rsidP="00CF6219">
            <w:pPr>
              <w:jc w:val="center"/>
              <w:rPr>
                <w:i/>
                <w:lang w:val="en-GB"/>
              </w:rPr>
            </w:pPr>
            <w:r w:rsidRPr="002D0871">
              <w:rPr>
                <w:i/>
                <w:lang w:val="en-GB"/>
              </w:rPr>
              <w:t>ESC</w:t>
            </w:r>
          </w:p>
        </w:tc>
        <w:tc>
          <w:tcPr>
            <w:tcW w:w="1416" w:type="dxa"/>
            <w:shd w:val="clear" w:color="auto" w:fill="D9D9D9" w:themeFill="background1" w:themeFillShade="D9"/>
          </w:tcPr>
          <w:p w:rsidR="00CF6219" w:rsidRPr="00BD2DB2" w:rsidRDefault="004B11AE" w:rsidP="00CF6219">
            <w:pPr>
              <w:jc w:val="center"/>
              <w:rPr>
                <w:lang w:val="en-GB"/>
              </w:rPr>
            </w:pPr>
            <w:r w:rsidRPr="00BD2DB2">
              <w:rPr>
                <w:lang w:val="en-GB"/>
              </w:rPr>
              <w:t>4</w:t>
            </w:r>
            <w:r w:rsidR="009546C4" w:rsidRPr="00BD2DB2">
              <w:rPr>
                <w:lang w:val="en-GB"/>
              </w:rPr>
              <w:t>1</w:t>
            </w:r>
          </w:p>
        </w:tc>
        <w:tc>
          <w:tcPr>
            <w:tcW w:w="1416" w:type="dxa"/>
            <w:shd w:val="clear" w:color="auto" w:fill="D9D9D9" w:themeFill="background1" w:themeFillShade="D9"/>
          </w:tcPr>
          <w:p w:rsidR="00CF6219" w:rsidRPr="00BD2DB2" w:rsidRDefault="004B11AE" w:rsidP="00CF6219">
            <w:pPr>
              <w:jc w:val="center"/>
              <w:rPr>
                <w:lang w:val="en-GB"/>
              </w:rPr>
            </w:pPr>
            <w:r w:rsidRPr="00BD2DB2">
              <w:rPr>
                <w:lang w:val="en-GB"/>
              </w:rPr>
              <w:t>55</w:t>
            </w:r>
          </w:p>
        </w:tc>
        <w:tc>
          <w:tcPr>
            <w:tcW w:w="1416" w:type="dxa"/>
            <w:shd w:val="clear" w:color="auto" w:fill="D9D9D9" w:themeFill="background1" w:themeFillShade="D9"/>
          </w:tcPr>
          <w:p w:rsidR="00CF6219" w:rsidRPr="00BD2DB2" w:rsidRDefault="004B11AE" w:rsidP="00CF6219">
            <w:pPr>
              <w:jc w:val="center"/>
              <w:rPr>
                <w:lang w:val="en-GB"/>
              </w:rPr>
            </w:pPr>
            <w:r w:rsidRPr="00BD2DB2">
              <w:rPr>
                <w:lang w:val="en-GB"/>
              </w:rPr>
              <w:t>52</w:t>
            </w:r>
          </w:p>
        </w:tc>
        <w:tc>
          <w:tcPr>
            <w:tcW w:w="1416" w:type="dxa"/>
            <w:shd w:val="clear" w:color="auto" w:fill="D9D9D9" w:themeFill="background1" w:themeFillShade="D9"/>
          </w:tcPr>
          <w:p w:rsidR="00CF6219" w:rsidRPr="00BD2DB2" w:rsidRDefault="004B11AE" w:rsidP="00CF6219">
            <w:pPr>
              <w:jc w:val="center"/>
              <w:rPr>
                <w:lang w:val="en-GB"/>
              </w:rPr>
            </w:pPr>
            <w:r w:rsidRPr="00BD2DB2">
              <w:rPr>
                <w:lang w:val="en-GB"/>
              </w:rPr>
              <w:t>54</w:t>
            </w:r>
          </w:p>
        </w:tc>
        <w:tc>
          <w:tcPr>
            <w:tcW w:w="1416" w:type="dxa"/>
            <w:shd w:val="clear" w:color="auto" w:fill="D9D9D9" w:themeFill="background1" w:themeFillShade="D9"/>
          </w:tcPr>
          <w:p w:rsidR="00CF6219" w:rsidRPr="00BD2DB2" w:rsidRDefault="004B11AE" w:rsidP="00CF6219">
            <w:pPr>
              <w:jc w:val="center"/>
              <w:rPr>
                <w:lang w:val="en-GB"/>
              </w:rPr>
            </w:pPr>
            <w:r w:rsidRPr="00BD2DB2">
              <w:rPr>
                <w:lang w:val="en-GB"/>
              </w:rPr>
              <w:t>48</w:t>
            </w:r>
          </w:p>
        </w:tc>
      </w:tr>
      <w:tr w:rsidR="00CF6219" w:rsidRPr="00BD2DB2" w:rsidTr="008942A9">
        <w:tc>
          <w:tcPr>
            <w:tcW w:w="9855" w:type="dxa"/>
            <w:gridSpan w:val="7"/>
          </w:tcPr>
          <w:p w:rsidR="00CF6219" w:rsidRPr="002D0871" w:rsidRDefault="00CF6219" w:rsidP="00CF6219">
            <w:pPr>
              <w:jc w:val="center"/>
              <w:rPr>
                <w:i/>
                <w:lang w:val="en-GB"/>
              </w:rPr>
            </w:pPr>
          </w:p>
        </w:tc>
      </w:tr>
      <w:tr w:rsidR="006326B9" w:rsidRPr="00BD2DB2" w:rsidTr="008942A9">
        <w:tc>
          <w:tcPr>
            <w:tcW w:w="1387" w:type="dxa"/>
            <w:vMerge w:val="restart"/>
            <w:shd w:val="clear" w:color="auto" w:fill="D9D9D9" w:themeFill="background1" w:themeFillShade="D9"/>
            <w:vAlign w:val="center"/>
          </w:tcPr>
          <w:p w:rsidR="006326B9" w:rsidRPr="00BD2DB2" w:rsidRDefault="006326B9" w:rsidP="006326B9">
            <w:pPr>
              <w:rPr>
                <w:b/>
                <w:lang w:val="en-GB"/>
              </w:rPr>
            </w:pPr>
            <w:r w:rsidRPr="00BD2DB2">
              <w:rPr>
                <w:b/>
                <w:lang w:val="en-GB"/>
              </w:rPr>
              <w:t>LNB</w:t>
            </w: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ESC</w:t>
            </w:r>
          </w:p>
        </w:tc>
        <w:tc>
          <w:tcPr>
            <w:tcW w:w="1416" w:type="dxa"/>
          </w:tcPr>
          <w:p w:rsidR="006326B9" w:rsidRPr="00BD2DB2" w:rsidRDefault="006326B9" w:rsidP="00CF6219">
            <w:pPr>
              <w:jc w:val="center"/>
              <w:rPr>
                <w:lang w:val="en-GB"/>
              </w:rPr>
            </w:pPr>
            <w:r w:rsidRPr="00BD2DB2">
              <w:rPr>
                <w:lang w:val="en-GB"/>
              </w:rPr>
              <w:t>56</w:t>
            </w:r>
          </w:p>
        </w:tc>
        <w:tc>
          <w:tcPr>
            <w:tcW w:w="1416" w:type="dxa"/>
          </w:tcPr>
          <w:p w:rsidR="006326B9" w:rsidRPr="00BD2DB2" w:rsidRDefault="006326B9" w:rsidP="00CF6219">
            <w:pPr>
              <w:jc w:val="center"/>
              <w:rPr>
                <w:lang w:val="en-GB"/>
              </w:rPr>
            </w:pPr>
            <w:r w:rsidRPr="00BD2DB2">
              <w:rPr>
                <w:lang w:val="en-GB"/>
              </w:rPr>
              <w:t>61</w:t>
            </w:r>
          </w:p>
        </w:tc>
        <w:tc>
          <w:tcPr>
            <w:tcW w:w="1416" w:type="dxa"/>
          </w:tcPr>
          <w:p w:rsidR="006326B9" w:rsidRPr="00BD2DB2" w:rsidRDefault="006326B9" w:rsidP="00CF6219">
            <w:pPr>
              <w:jc w:val="center"/>
              <w:rPr>
                <w:lang w:val="en-GB"/>
              </w:rPr>
            </w:pPr>
            <w:r w:rsidRPr="00BD2DB2">
              <w:rPr>
                <w:lang w:val="en-GB"/>
              </w:rPr>
              <w:t>48</w:t>
            </w:r>
          </w:p>
        </w:tc>
        <w:tc>
          <w:tcPr>
            <w:tcW w:w="1416" w:type="dxa"/>
          </w:tcPr>
          <w:p w:rsidR="006326B9" w:rsidRPr="00BD2DB2" w:rsidRDefault="006326B9" w:rsidP="00CF6219">
            <w:pPr>
              <w:jc w:val="center"/>
              <w:rPr>
                <w:lang w:val="en-GB"/>
              </w:rPr>
            </w:pPr>
            <w:r w:rsidRPr="00BD2DB2">
              <w:rPr>
                <w:lang w:val="en-GB"/>
              </w:rPr>
              <w:t>61</w:t>
            </w:r>
          </w:p>
        </w:tc>
        <w:tc>
          <w:tcPr>
            <w:tcW w:w="1416" w:type="dxa"/>
          </w:tcPr>
          <w:p w:rsidR="006326B9" w:rsidRPr="00BD2DB2" w:rsidRDefault="006326B9" w:rsidP="00CF6219">
            <w:pPr>
              <w:jc w:val="center"/>
              <w:rPr>
                <w:lang w:val="en-GB"/>
              </w:rPr>
            </w:pPr>
            <w:r w:rsidRPr="00BD2DB2">
              <w:rPr>
                <w:lang w:val="en-GB"/>
              </w:rPr>
              <w:t>54</w:t>
            </w:r>
          </w:p>
        </w:tc>
      </w:tr>
      <w:tr w:rsidR="006326B9" w:rsidRPr="00BD2DB2" w:rsidTr="008942A9">
        <w:tc>
          <w:tcPr>
            <w:tcW w:w="1387" w:type="dxa"/>
            <w:vMerge/>
            <w:shd w:val="clear" w:color="auto" w:fill="D9D9D9" w:themeFill="background1" w:themeFillShade="D9"/>
          </w:tcPr>
          <w:p w:rsidR="006326B9" w:rsidRPr="00BD2DB2" w:rsidRDefault="006326B9">
            <w:pPr>
              <w:rPr>
                <w:b/>
                <w:lang w:val="en-GB"/>
              </w:rPr>
            </w:pP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ESG</w:t>
            </w:r>
          </w:p>
        </w:tc>
        <w:tc>
          <w:tcPr>
            <w:tcW w:w="1416" w:type="dxa"/>
          </w:tcPr>
          <w:p w:rsidR="006326B9" w:rsidRPr="00BD2DB2" w:rsidRDefault="006326B9" w:rsidP="00CF6219">
            <w:pPr>
              <w:jc w:val="center"/>
              <w:rPr>
                <w:lang w:val="en-GB"/>
              </w:rPr>
            </w:pPr>
            <w:r w:rsidRPr="00BD2DB2">
              <w:rPr>
                <w:lang w:val="en-GB"/>
              </w:rPr>
              <w:t>208</w:t>
            </w:r>
          </w:p>
        </w:tc>
        <w:tc>
          <w:tcPr>
            <w:tcW w:w="1416" w:type="dxa"/>
          </w:tcPr>
          <w:p w:rsidR="006326B9" w:rsidRPr="00BD2DB2" w:rsidRDefault="006326B9" w:rsidP="00CF6219">
            <w:pPr>
              <w:jc w:val="center"/>
              <w:rPr>
                <w:lang w:val="en-GB"/>
              </w:rPr>
            </w:pPr>
            <w:r w:rsidRPr="00BD2DB2">
              <w:rPr>
                <w:lang w:val="en-GB"/>
              </w:rPr>
              <w:t>179</w:t>
            </w:r>
          </w:p>
        </w:tc>
        <w:tc>
          <w:tcPr>
            <w:tcW w:w="1416" w:type="dxa"/>
          </w:tcPr>
          <w:p w:rsidR="006326B9" w:rsidRPr="00BD2DB2" w:rsidRDefault="006326B9" w:rsidP="00CF6219">
            <w:pPr>
              <w:jc w:val="center"/>
              <w:rPr>
                <w:lang w:val="en-GB"/>
              </w:rPr>
            </w:pPr>
            <w:r w:rsidRPr="00BD2DB2">
              <w:rPr>
                <w:lang w:val="en-GB"/>
              </w:rPr>
              <w:t>177</w:t>
            </w:r>
          </w:p>
        </w:tc>
        <w:tc>
          <w:tcPr>
            <w:tcW w:w="1416" w:type="dxa"/>
          </w:tcPr>
          <w:p w:rsidR="006326B9" w:rsidRPr="00BD2DB2" w:rsidRDefault="006326B9" w:rsidP="00CF6219">
            <w:pPr>
              <w:jc w:val="center"/>
              <w:rPr>
                <w:lang w:val="en-GB"/>
              </w:rPr>
            </w:pPr>
            <w:r w:rsidRPr="00BD2DB2">
              <w:rPr>
                <w:lang w:val="en-GB"/>
              </w:rPr>
              <w:t>152</w:t>
            </w:r>
          </w:p>
        </w:tc>
        <w:tc>
          <w:tcPr>
            <w:tcW w:w="1416" w:type="dxa"/>
          </w:tcPr>
          <w:p w:rsidR="006326B9" w:rsidRPr="00BD2DB2" w:rsidRDefault="006326B9" w:rsidP="00CF6219">
            <w:pPr>
              <w:jc w:val="center"/>
              <w:rPr>
                <w:lang w:val="en-GB"/>
              </w:rPr>
            </w:pPr>
            <w:r w:rsidRPr="00BD2DB2">
              <w:rPr>
                <w:lang w:val="en-GB"/>
              </w:rPr>
              <w:t>162</w:t>
            </w:r>
          </w:p>
        </w:tc>
      </w:tr>
      <w:tr w:rsidR="006326B9" w:rsidRPr="00BD2DB2" w:rsidTr="008942A9">
        <w:tc>
          <w:tcPr>
            <w:tcW w:w="1387" w:type="dxa"/>
            <w:vMerge/>
            <w:shd w:val="clear" w:color="auto" w:fill="D9D9D9" w:themeFill="background1" w:themeFillShade="D9"/>
          </w:tcPr>
          <w:p w:rsidR="006326B9" w:rsidRPr="00BD2DB2" w:rsidRDefault="006326B9">
            <w:pPr>
              <w:rPr>
                <w:b/>
                <w:lang w:val="en-GB"/>
              </w:rPr>
            </w:pP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VP</w:t>
            </w:r>
          </w:p>
        </w:tc>
        <w:tc>
          <w:tcPr>
            <w:tcW w:w="1416" w:type="dxa"/>
          </w:tcPr>
          <w:p w:rsidR="006326B9" w:rsidRPr="00BD2DB2" w:rsidRDefault="006326B9" w:rsidP="00CF6219">
            <w:pPr>
              <w:jc w:val="center"/>
              <w:rPr>
                <w:lang w:val="en-GB"/>
              </w:rPr>
            </w:pPr>
            <w:r w:rsidRPr="00BD2DB2">
              <w:rPr>
                <w:lang w:val="en-GB"/>
              </w:rPr>
              <w:t>73</w:t>
            </w:r>
          </w:p>
        </w:tc>
        <w:tc>
          <w:tcPr>
            <w:tcW w:w="1416" w:type="dxa"/>
          </w:tcPr>
          <w:p w:rsidR="006326B9" w:rsidRPr="00BD2DB2" w:rsidRDefault="006326B9" w:rsidP="00CF6219">
            <w:pPr>
              <w:jc w:val="center"/>
              <w:rPr>
                <w:lang w:val="en-GB"/>
              </w:rPr>
            </w:pPr>
            <w:r w:rsidRPr="00BD2DB2">
              <w:rPr>
                <w:lang w:val="en-GB"/>
              </w:rPr>
              <w:t>62</w:t>
            </w:r>
          </w:p>
        </w:tc>
        <w:tc>
          <w:tcPr>
            <w:tcW w:w="1416" w:type="dxa"/>
          </w:tcPr>
          <w:p w:rsidR="006326B9" w:rsidRPr="00BD2DB2" w:rsidRDefault="006326B9" w:rsidP="00CF6219">
            <w:pPr>
              <w:jc w:val="center"/>
              <w:rPr>
                <w:lang w:val="en-GB"/>
              </w:rPr>
            </w:pPr>
            <w:r w:rsidRPr="00BD2DB2">
              <w:rPr>
                <w:lang w:val="en-GB"/>
              </w:rPr>
              <w:t>76</w:t>
            </w:r>
          </w:p>
        </w:tc>
        <w:tc>
          <w:tcPr>
            <w:tcW w:w="1416" w:type="dxa"/>
          </w:tcPr>
          <w:p w:rsidR="006326B9" w:rsidRPr="00BD2DB2" w:rsidRDefault="006326B9" w:rsidP="00CF6219">
            <w:pPr>
              <w:jc w:val="center"/>
              <w:rPr>
                <w:lang w:val="en-GB"/>
              </w:rPr>
            </w:pPr>
            <w:r w:rsidRPr="00BD2DB2">
              <w:rPr>
                <w:lang w:val="en-GB"/>
              </w:rPr>
              <w:t>78</w:t>
            </w:r>
          </w:p>
        </w:tc>
        <w:tc>
          <w:tcPr>
            <w:tcW w:w="1416" w:type="dxa"/>
          </w:tcPr>
          <w:p w:rsidR="006326B9" w:rsidRPr="00BD2DB2" w:rsidRDefault="006326B9" w:rsidP="00CF6219">
            <w:pPr>
              <w:jc w:val="center"/>
              <w:rPr>
                <w:lang w:val="en-GB"/>
              </w:rPr>
            </w:pPr>
            <w:r w:rsidRPr="00BD2DB2">
              <w:rPr>
                <w:lang w:val="en-GB"/>
              </w:rPr>
              <w:t>68</w:t>
            </w:r>
          </w:p>
        </w:tc>
      </w:tr>
      <w:tr w:rsidR="00CF6219" w:rsidRPr="00BD2DB2" w:rsidTr="008942A9">
        <w:tc>
          <w:tcPr>
            <w:tcW w:w="1387" w:type="dxa"/>
            <w:shd w:val="clear" w:color="auto" w:fill="D9D9D9" w:themeFill="background1" w:themeFillShade="D9"/>
          </w:tcPr>
          <w:p w:rsidR="00CF6219" w:rsidRPr="00BD2DB2" w:rsidRDefault="00CF6219">
            <w:pPr>
              <w:rPr>
                <w:b/>
                <w:lang w:val="en-GB"/>
              </w:rPr>
            </w:pPr>
            <w:r w:rsidRPr="00BD2DB2">
              <w:rPr>
                <w:b/>
                <w:lang w:val="en-GB"/>
              </w:rPr>
              <w:t>LNB total</w:t>
            </w:r>
          </w:p>
        </w:tc>
        <w:tc>
          <w:tcPr>
            <w:tcW w:w="1388" w:type="dxa"/>
            <w:shd w:val="clear" w:color="auto" w:fill="D9D9D9" w:themeFill="background1" w:themeFillShade="D9"/>
          </w:tcPr>
          <w:p w:rsidR="00CF6219" w:rsidRPr="00BD2DB2" w:rsidRDefault="00CF6219" w:rsidP="00CF6219">
            <w:pPr>
              <w:jc w:val="center"/>
              <w:rPr>
                <w:b/>
                <w:lang w:val="en-GB"/>
              </w:rPr>
            </w:pP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337</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302</w:t>
            </w:r>
          </w:p>
        </w:tc>
        <w:tc>
          <w:tcPr>
            <w:tcW w:w="1416" w:type="dxa"/>
            <w:shd w:val="clear" w:color="auto" w:fill="D9D9D9" w:themeFill="background1" w:themeFillShade="D9"/>
          </w:tcPr>
          <w:p w:rsidR="00CF6219" w:rsidRPr="00BD2DB2" w:rsidRDefault="00CF6219" w:rsidP="00CF6219">
            <w:pPr>
              <w:jc w:val="center"/>
              <w:rPr>
                <w:b/>
                <w:lang w:val="en-GB"/>
              </w:rPr>
            </w:pPr>
            <w:r w:rsidRPr="00BD2DB2">
              <w:rPr>
                <w:b/>
                <w:lang w:val="en-GB"/>
              </w:rPr>
              <w:t>301</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291</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284</w:t>
            </w:r>
          </w:p>
        </w:tc>
      </w:tr>
      <w:tr w:rsidR="008942A9" w:rsidRPr="00BD2DB2" w:rsidTr="008942A9">
        <w:tc>
          <w:tcPr>
            <w:tcW w:w="1387" w:type="dxa"/>
            <w:shd w:val="clear" w:color="auto" w:fill="auto"/>
          </w:tcPr>
          <w:p w:rsidR="008942A9" w:rsidRPr="00BD2DB2" w:rsidRDefault="008942A9">
            <w:pPr>
              <w:rPr>
                <w:b/>
                <w:lang w:val="en-GB"/>
              </w:rPr>
            </w:pPr>
          </w:p>
        </w:tc>
        <w:tc>
          <w:tcPr>
            <w:tcW w:w="1388" w:type="dxa"/>
            <w:shd w:val="clear" w:color="auto" w:fill="auto"/>
          </w:tcPr>
          <w:p w:rsidR="008942A9" w:rsidRPr="00BD2DB2" w:rsidRDefault="008942A9" w:rsidP="00CF6219">
            <w:pPr>
              <w:jc w:val="center"/>
              <w:rPr>
                <w:b/>
                <w:lang w:val="en-GB"/>
              </w:rPr>
            </w:pPr>
          </w:p>
        </w:tc>
        <w:tc>
          <w:tcPr>
            <w:tcW w:w="1416" w:type="dxa"/>
            <w:shd w:val="clear" w:color="auto" w:fill="auto"/>
          </w:tcPr>
          <w:p w:rsidR="008942A9" w:rsidRPr="00BD2DB2" w:rsidRDefault="008942A9" w:rsidP="00CF6219">
            <w:pPr>
              <w:jc w:val="center"/>
              <w:rPr>
                <w:b/>
                <w:lang w:val="en-GB"/>
              </w:rPr>
            </w:pPr>
          </w:p>
        </w:tc>
        <w:tc>
          <w:tcPr>
            <w:tcW w:w="1416" w:type="dxa"/>
            <w:shd w:val="clear" w:color="auto" w:fill="auto"/>
          </w:tcPr>
          <w:p w:rsidR="008942A9" w:rsidRPr="00BD2DB2" w:rsidRDefault="008942A9" w:rsidP="00CF6219">
            <w:pPr>
              <w:jc w:val="center"/>
              <w:rPr>
                <w:b/>
                <w:lang w:val="en-GB"/>
              </w:rPr>
            </w:pPr>
          </w:p>
        </w:tc>
        <w:tc>
          <w:tcPr>
            <w:tcW w:w="1416" w:type="dxa"/>
            <w:shd w:val="clear" w:color="auto" w:fill="auto"/>
          </w:tcPr>
          <w:p w:rsidR="008942A9" w:rsidRPr="00BD2DB2" w:rsidRDefault="008942A9" w:rsidP="00CF6219">
            <w:pPr>
              <w:jc w:val="center"/>
              <w:rPr>
                <w:b/>
                <w:lang w:val="en-GB"/>
              </w:rPr>
            </w:pPr>
          </w:p>
        </w:tc>
        <w:tc>
          <w:tcPr>
            <w:tcW w:w="1416" w:type="dxa"/>
            <w:shd w:val="clear" w:color="auto" w:fill="auto"/>
          </w:tcPr>
          <w:p w:rsidR="008942A9" w:rsidRPr="00BD2DB2" w:rsidRDefault="008942A9" w:rsidP="00CF6219">
            <w:pPr>
              <w:jc w:val="center"/>
              <w:rPr>
                <w:b/>
                <w:lang w:val="en-GB"/>
              </w:rPr>
            </w:pPr>
          </w:p>
        </w:tc>
        <w:tc>
          <w:tcPr>
            <w:tcW w:w="1416" w:type="dxa"/>
            <w:shd w:val="clear" w:color="auto" w:fill="auto"/>
          </w:tcPr>
          <w:p w:rsidR="008942A9" w:rsidRPr="00BD2DB2" w:rsidRDefault="008942A9" w:rsidP="00CF6219">
            <w:pPr>
              <w:jc w:val="center"/>
              <w:rPr>
                <w:b/>
                <w:lang w:val="en-GB"/>
              </w:rPr>
            </w:pPr>
          </w:p>
        </w:tc>
      </w:tr>
      <w:tr w:rsidR="006326B9" w:rsidRPr="00BD2DB2" w:rsidTr="008942A9">
        <w:tc>
          <w:tcPr>
            <w:tcW w:w="1387" w:type="dxa"/>
            <w:shd w:val="clear" w:color="auto" w:fill="D9D9D9" w:themeFill="background1" w:themeFillShade="D9"/>
          </w:tcPr>
          <w:p w:rsidR="006326B9" w:rsidRPr="00BD2DB2" w:rsidRDefault="002D0871" w:rsidP="004857CA">
            <w:pPr>
              <w:rPr>
                <w:b/>
                <w:lang w:val="en-GB"/>
              </w:rPr>
            </w:pPr>
            <w:r>
              <w:rPr>
                <w:b/>
                <w:lang w:val="en-GB"/>
              </w:rPr>
              <w:t>School</w:t>
            </w:r>
          </w:p>
        </w:tc>
        <w:tc>
          <w:tcPr>
            <w:tcW w:w="1388" w:type="dxa"/>
            <w:shd w:val="clear" w:color="auto" w:fill="D9D9D9" w:themeFill="background1" w:themeFillShade="D9"/>
          </w:tcPr>
          <w:p w:rsidR="006326B9" w:rsidRPr="00BD2DB2" w:rsidRDefault="002D0871" w:rsidP="004857CA">
            <w:pPr>
              <w:jc w:val="center"/>
              <w:rPr>
                <w:b/>
                <w:lang w:val="en-GB"/>
              </w:rPr>
            </w:pPr>
            <w:r>
              <w:rPr>
                <w:b/>
                <w:lang w:val="en-GB"/>
              </w:rPr>
              <w:t>Branch</w:t>
            </w:r>
          </w:p>
        </w:tc>
        <w:tc>
          <w:tcPr>
            <w:tcW w:w="1416" w:type="dxa"/>
            <w:shd w:val="clear" w:color="auto" w:fill="D9D9D9" w:themeFill="background1" w:themeFillShade="D9"/>
          </w:tcPr>
          <w:p w:rsidR="006326B9" w:rsidRPr="00BD2DB2" w:rsidRDefault="006326B9" w:rsidP="004857CA">
            <w:pPr>
              <w:jc w:val="center"/>
              <w:rPr>
                <w:b/>
                <w:lang w:val="en-GB"/>
              </w:rPr>
            </w:pPr>
            <w:r w:rsidRPr="00BD2DB2">
              <w:rPr>
                <w:b/>
                <w:lang w:val="en-GB"/>
              </w:rPr>
              <w:t>2012/13</w:t>
            </w:r>
          </w:p>
        </w:tc>
        <w:tc>
          <w:tcPr>
            <w:tcW w:w="1416" w:type="dxa"/>
            <w:shd w:val="clear" w:color="auto" w:fill="D9D9D9" w:themeFill="background1" w:themeFillShade="D9"/>
          </w:tcPr>
          <w:p w:rsidR="006326B9" w:rsidRPr="00BD2DB2" w:rsidRDefault="006326B9" w:rsidP="004857CA">
            <w:pPr>
              <w:jc w:val="center"/>
              <w:rPr>
                <w:b/>
                <w:lang w:val="en-GB"/>
              </w:rPr>
            </w:pPr>
            <w:r w:rsidRPr="00BD2DB2">
              <w:rPr>
                <w:b/>
                <w:lang w:val="en-GB"/>
              </w:rPr>
              <w:t>2013/14</w:t>
            </w:r>
          </w:p>
        </w:tc>
        <w:tc>
          <w:tcPr>
            <w:tcW w:w="1416" w:type="dxa"/>
            <w:shd w:val="clear" w:color="auto" w:fill="D9D9D9" w:themeFill="background1" w:themeFillShade="D9"/>
          </w:tcPr>
          <w:p w:rsidR="006326B9" w:rsidRPr="00BD2DB2" w:rsidRDefault="006326B9" w:rsidP="004857CA">
            <w:pPr>
              <w:jc w:val="center"/>
              <w:rPr>
                <w:b/>
                <w:lang w:val="en-GB"/>
              </w:rPr>
            </w:pPr>
            <w:r w:rsidRPr="00BD2DB2">
              <w:rPr>
                <w:b/>
                <w:lang w:val="en-GB"/>
              </w:rPr>
              <w:t>2014/15</w:t>
            </w:r>
          </w:p>
        </w:tc>
        <w:tc>
          <w:tcPr>
            <w:tcW w:w="1416" w:type="dxa"/>
            <w:shd w:val="clear" w:color="auto" w:fill="D9D9D9" w:themeFill="background1" w:themeFillShade="D9"/>
          </w:tcPr>
          <w:p w:rsidR="006326B9" w:rsidRPr="00BD2DB2" w:rsidRDefault="006326B9" w:rsidP="004857CA">
            <w:pPr>
              <w:jc w:val="center"/>
              <w:rPr>
                <w:b/>
                <w:lang w:val="en-GB"/>
              </w:rPr>
            </w:pPr>
            <w:r w:rsidRPr="00BD2DB2">
              <w:rPr>
                <w:b/>
                <w:lang w:val="en-GB"/>
              </w:rPr>
              <w:t>2015/16</w:t>
            </w:r>
          </w:p>
        </w:tc>
        <w:tc>
          <w:tcPr>
            <w:tcW w:w="1416" w:type="dxa"/>
            <w:shd w:val="clear" w:color="auto" w:fill="D9D9D9" w:themeFill="background1" w:themeFillShade="D9"/>
          </w:tcPr>
          <w:p w:rsidR="006326B9" w:rsidRPr="00BD2DB2" w:rsidRDefault="006326B9" w:rsidP="004857CA">
            <w:pPr>
              <w:jc w:val="center"/>
              <w:rPr>
                <w:b/>
                <w:lang w:val="en-GB"/>
              </w:rPr>
            </w:pPr>
            <w:r w:rsidRPr="00BD2DB2">
              <w:rPr>
                <w:b/>
                <w:lang w:val="en-GB"/>
              </w:rPr>
              <w:t>2016/17</w:t>
            </w:r>
          </w:p>
        </w:tc>
      </w:tr>
      <w:tr w:rsidR="00CF6219" w:rsidRPr="00BD2DB2" w:rsidTr="008942A9">
        <w:tc>
          <w:tcPr>
            <w:tcW w:w="9855" w:type="dxa"/>
            <w:gridSpan w:val="7"/>
          </w:tcPr>
          <w:p w:rsidR="00CF6219" w:rsidRPr="00BD2DB2" w:rsidRDefault="00CF6219" w:rsidP="00CF6219">
            <w:pPr>
              <w:jc w:val="center"/>
              <w:rPr>
                <w:lang w:val="en-GB"/>
              </w:rPr>
            </w:pPr>
          </w:p>
        </w:tc>
      </w:tr>
      <w:tr w:rsidR="006326B9" w:rsidRPr="00BD2DB2" w:rsidTr="008942A9">
        <w:tc>
          <w:tcPr>
            <w:tcW w:w="1387" w:type="dxa"/>
            <w:vMerge w:val="restart"/>
            <w:shd w:val="clear" w:color="auto" w:fill="D9D9D9" w:themeFill="background1" w:themeFillShade="D9"/>
            <w:vAlign w:val="center"/>
          </w:tcPr>
          <w:p w:rsidR="006326B9" w:rsidRPr="00BD2DB2" w:rsidRDefault="006326B9" w:rsidP="006326B9">
            <w:pPr>
              <w:rPr>
                <w:b/>
                <w:lang w:val="en-GB"/>
              </w:rPr>
            </w:pPr>
            <w:r w:rsidRPr="00BD2DB2">
              <w:rPr>
                <w:b/>
                <w:lang w:val="en-GB"/>
              </w:rPr>
              <w:t>LTB</w:t>
            </w:r>
          </w:p>
        </w:tc>
        <w:tc>
          <w:tcPr>
            <w:tcW w:w="1388" w:type="dxa"/>
            <w:shd w:val="clear" w:color="auto" w:fill="D9D9D9" w:themeFill="background1" w:themeFillShade="D9"/>
          </w:tcPr>
          <w:p w:rsidR="006326B9" w:rsidRPr="002D0871" w:rsidRDefault="006326B9" w:rsidP="004B11AE">
            <w:pPr>
              <w:jc w:val="center"/>
              <w:rPr>
                <w:i/>
                <w:lang w:val="en-GB"/>
              </w:rPr>
            </w:pPr>
            <w:r w:rsidRPr="002D0871">
              <w:rPr>
                <w:i/>
                <w:lang w:val="en-GB"/>
              </w:rPr>
              <w:t>ESC</w:t>
            </w:r>
          </w:p>
        </w:tc>
        <w:tc>
          <w:tcPr>
            <w:tcW w:w="1416" w:type="dxa"/>
            <w:tcBorders>
              <w:bottom w:val="single" w:sz="4" w:space="0" w:color="auto"/>
            </w:tcBorders>
          </w:tcPr>
          <w:p w:rsidR="006326B9" w:rsidRPr="00BD2DB2" w:rsidRDefault="006326B9" w:rsidP="004B11AE">
            <w:pPr>
              <w:jc w:val="center"/>
              <w:rPr>
                <w:lang w:val="en-GB"/>
              </w:rPr>
            </w:pPr>
            <w:r w:rsidRPr="00BD2DB2">
              <w:rPr>
                <w:lang w:val="en-GB"/>
              </w:rPr>
              <w:t>123</w:t>
            </w:r>
          </w:p>
        </w:tc>
        <w:tc>
          <w:tcPr>
            <w:tcW w:w="1416" w:type="dxa"/>
            <w:tcBorders>
              <w:bottom w:val="single" w:sz="4" w:space="0" w:color="auto"/>
            </w:tcBorders>
          </w:tcPr>
          <w:p w:rsidR="006326B9" w:rsidRPr="00BD2DB2" w:rsidRDefault="006326B9" w:rsidP="004B11AE">
            <w:pPr>
              <w:jc w:val="center"/>
              <w:rPr>
                <w:lang w:val="en-GB"/>
              </w:rPr>
            </w:pPr>
            <w:r w:rsidRPr="00BD2DB2">
              <w:rPr>
                <w:lang w:val="en-GB"/>
              </w:rPr>
              <w:t>111</w:t>
            </w:r>
          </w:p>
        </w:tc>
        <w:tc>
          <w:tcPr>
            <w:tcW w:w="1416" w:type="dxa"/>
            <w:tcBorders>
              <w:bottom w:val="single" w:sz="4" w:space="0" w:color="auto"/>
            </w:tcBorders>
          </w:tcPr>
          <w:p w:rsidR="006326B9" w:rsidRPr="00BD2DB2" w:rsidRDefault="006326B9" w:rsidP="004B11AE">
            <w:pPr>
              <w:jc w:val="center"/>
              <w:rPr>
                <w:lang w:val="en-GB"/>
              </w:rPr>
            </w:pPr>
            <w:r w:rsidRPr="00BD2DB2">
              <w:rPr>
                <w:lang w:val="en-GB"/>
              </w:rPr>
              <w:t>110</w:t>
            </w:r>
          </w:p>
        </w:tc>
        <w:tc>
          <w:tcPr>
            <w:tcW w:w="1416" w:type="dxa"/>
            <w:tcBorders>
              <w:bottom w:val="single" w:sz="4" w:space="0" w:color="auto"/>
            </w:tcBorders>
          </w:tcPr>
          <w:p w:rsidR="006326B9" w:rsidRPr="00BD2DB2" w:rsidRDefault="006326B9" w:rsidP="004B11AE">
            <w:pPr>
              <w:jc w:val="center"/>
              <w:rPr>
                <w:lang w:val="en-GB"/>
              </w:rPr>
            </w:pPr>
            <w:r w:rsidRPr="00BD2DB2">
              <w:rPr>
                <w:lang w:val="en-GB"/>
              </w:rPr>
              <w:t>82</w:t>
            </w:r>
          </w:p>
        </w:tc>
        <w:tc>
          <w:tcPr>
            <w:tcW w:w="1416" w:type="dxa"/>
            <w:tcBorders>
              <w:bottom w:val="single" w:sz="4" w:space="0" w:color="auto"/>
            </w:tcBorders>
          </w:tcPr>
          <w:p w:rsidR="006326B9" w:rsidRPr="00BD2DB2" w:rsidRDefault="006326B9" w:rsidP="004B11AE">
            <w:pPr>
              <w:jc w:val="center"/>
              <w:rPr>
                <w:lang w:val="en-GB"/>
              </w:rPr>
            </w:pPr>
            <w:r w:rsidRPr="00BD2DB2">
              <w:rPr>
                <w:lang w:val="en-GB"/>
              </w:rPr>
              <w:t>91</w:t>
            </w:r>
          </w:p>
        </w:tc>
      </w:tr>
      <w:tr w:rsidR="006326B9" w:rsidRPr="00BD2DB2" w:rsidTr="008942A9">
        <w:tc>
          <w:tcPr>
            <w:tcW w:w="1387" w:type="dxa"/>
            <w:vMerge/>
            <w:shd w:val="clear" w:color="auto" w:fill="D9D9D9" w:themeFill="background1" w:themeFillShade="D9"/>
          </w:tcPr>
          <w:p w:rsidR="006326B9" w:rsidRPr="00BD2DB2" w:rsidRDefault="006326B9" w:rsidP="003F0641">
            <w:pPr>
              <w:rPr>
                <w:b/>
                <w:lang w:val="en-GB"/>
              </w:rPr>
            </w:pP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VP</w:t>
            </w:r>
          </w:p>
        </w:tc>
        <w:tc>
          <w:tcPr>
            <w:tcW w:w="1416" w:type="dxa"/>
          </w:tcPr>
          <w:p w:rsidR="006326B9" w:rsidRPr="00BD2DB2" w:rsidRDefault="006326B9" w:rsidP="00CF6219">
            <w:pPr>
              <w:jc w:val="center"/>
              <w:rPr>
                <w:lang w:val="en-GB"/>
              </w:rPr>
            </w:pPr>
            <w:r w:rsidRPr="00BD2DB2">
              <w:rPr>
                <w:lang w:val="en-GB"/>
              </w:rPr>
              <w:t>24</w:t>
            </w:r>
          </w:p>
        </w:tc>
        <w:tc>
          <w:tcPr>
            <w:tcW w:w="1416" w:type="dxa"/>
          </w:tcPr>
          <w:p w:rsidR="006326B9" w:rsidRPr="00BD2DB2" w:rsidRDefault="006326B9" w:rsidP="00CF6219">
            <w:pPr>
              <w:jc w:val="center"/>
              <w:rPr>
                <w:lang w:val="en-GB"/>
              </w:rPr>
            </w:pPr>
            <w:r w:rsidRPr="00BD2DB2">
              <w:rPr>
                <w:lang w:val="en-GB"/>
              </w:rPr>
              <w:t>33</w:t>
            </w:r>
          </w:p>
        </w:tc>
        <w:tc>
          <w:tcPr>
            <w:tcW w:w="1416" w:type="dxa"/>
          </w:tcPr>
          <w:p w:rsidR="006326B9" w:rsidRPr="00BD2DB2" w:rsidRDefault="006326B9" w:rsidP="00CF6219">
            <w:pPr>
              <w:jc w:val="center"/>
              <w:rPr>
                <w:lang w:val="en-GB"/>
              </w:rPr>
            </w:pPr>
            <w:r w:rsidRPr="00BD2DB2">
              <w:rPr>
                <w:lang w:val="en-GB"/>
              </w:rPr>
              <w:t>35</w:t>
            </w:r>
          </w:p>
        </w:tc>
        <w:tc>
          <w:tcPr>
            <w:tcW w:w="1416" w:type="dxa"/>
          </w:tcPr>
          <w:p w:rsidR="006326B9" w:rsidRPr="00BD2DB2" w:rsidRDefault="006326B9" w:rsidP="00CF6219">
            <w:pPr>
              <w:jc w:val="center"/>
              <w:rPr>
                <w:lang w:val="en-GB"/>
              </w:rPr>
            </w:pPr>
            <w:r w:rsidRPr="00BD2DB2">
              <w:rPr>
                <w:lang w:val="en-GB"/>
              </w:rPr>
              <w:t>32</w:t>
            </w:r>
          </w:p>
        </w:tc>
        <w:tc>
          <w:tcPr>
            <w:tcW w:w="1416" w:type="dxa"/>
          </w:tcPr>
          <w:p w:rsidR="006326B9" w:rsidRPr="00BD2DB2" w:rsidRDefault="006326B9" w:rsidP="00CF6219">
            <w:pPr>
              <w:jc w:val="center"/>
              <w:rPr>
                <w:lang w:val="en-GB"/>
              </w:rPr>
            </w:pPr>
            <w:r w:rsidRPr="00BD2DB2">
              <w:rPr>
                <w:lang w:val="en-GB"/>
              </w:rPr>
              <w:t>31</w:t>
            </w:r>
          </w:p>
        </w:tc>
      </w:tr>
      <w:tr w:rsidR="00CF6219" w:rsidRPr="00BD2DB2" w:rsidTr="008942A9">
        <w:tc>
          <w:tcPr>
            <w:tcW w:w="1387" w:type="dxa"/>
            <w:shd w:val="clear" w:color="auto" w:fill="D9D9D9" w:themeFill="background1" w:themeFillShade="D9"/>
          </w:tcPr>
          <w:p w:rsidR="00CF6219" w:rsidRPr="00BD2DB2" w:rsidRDefault="00CF6219">
            <w:pPr>
              <w:rPr>
                <w:b/>
                <w:lang w:val="en-GB"/>
              </w:rPr>
            </w:pPr>
            <w:r w:rsidRPr="00BD2DB2">
              <w:rPr>
                <w:b/>
                <w:lang w:val="en-GB"/>
              </w:rPr>
              <w:t>LTB total</w:t>
            </w:r>
          </w:p>
        </w:tc>
        <w:tc>
          <w:tcPr>
            <w:tcW w:w="1388" w:type="dxa"/>
            <w:shd w:val="clear" w:color="auto" w:fill="D9D9D9" w:themeFill="background1" w:themeFillShade="D9"/>
          </w:tcPr>
          <w:p w:rsidR="00CF6219" w:rsidRPr="00BD2DB2" w:rsidRDefault="00CF6219" w:rsidP="00CF6219">
            <w:pPr>
              <w:jc w:val="center"/>
              <w:rPr>
                <w:b/>
                <w:lang w:val="en-GB"/>
              </w:rPr>
            </w:pP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147</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144</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145</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114</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122</w:t>
            </w:r>
          </w:p>
        </w:tc>
      </w:tr>
      <w:tr w:rsidR="00CF6219" w:rsidRPr="00BD2DB2" w:rsidTr="008942A9">
        <w:tc>
          <w:tcPr>
            <w:tcW w:w="9855" w:type="dxa"/>
            <w:gridSpan w:val="7"/>
          </w:tcPr>
          <w:p w:rsidR="00CF6219" w:rsidRPr="00BD2DB2" w:rsidRDefault="00CF6219" w:rsidP="00CF6219">
            <w:pPr>
              <w:jc w:val="center"/>
              <w:rPr>
                <w:lang w:val="en-GB"/>
              </w:rPr>
            </w:pPr>
          </w:p>
        </w:tc>
      </w:tr>
      <w:tr w:rsidR="006326B9" w:rsidRPr="00BD2DB2" w:rsidTr="008942A9">
        <w:tc>
          <w:tcPr>
            <w:tcW w:w="1387" w:type="dxa"/>
            <w:vMerge w:val="restart"/>
            <w:shd w:val="clear" w:color="auto" w:fill="D9D9D9" w:themeFill="background1" w:themeFillShade="D9"/>
            <w:vAlign w:val="center"/>
          </w:tcPr>
          <w:p w:rsidR="006326B9" w:rsidRPr="00BD2DB2" w:rsidRDefault="006326B9" w:rsidP="006326B9">
            <w:pPr>
              <w:rPr>
                <w:b/>
                <w:lang w:val="en-GB"/>
              </w:rPr>
            </w:pPr>
            <w:r w:rsidRPr="00BD2DB2">
              <w:rPr>
                <w:b/>
                <w:lang w:val="en-GB"/>
              </w:rPr>
              <w:t>MLG</w:t>
            </w: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ESC</w:t>
            </w:r>
          </w:p>
        </w:tc>
        <w:tc>
          <w:tcPr>
            <w:tcW w:w="1416" w:type="dxa"/>
          </w:tcPr>
          <w:p w:rsidR="006326B9" w:rsidRPr="00BD2DB2" w:rsidRDefault="006326B9" w:rsidP="00CF6219">
            <w:pPr>
              <w:jc w:val="center"/>
              <w:rPr>
                <w:lang w:val="en-GB"/>
              </w:rPr>
            </w:pPr>
            <w:r w:rsidRPr="00BD2DB2">
              <w:rPr>
                <w:lang w:val="en-GB"/>
              </w:rPr>
              <w:t>15</w:t>
            </w:r>
          </w:p>
        </w:tc>
        <w:tc>
          <w:tcPr>
            <w:tcW w:w="1416" w:type="dxa"/>
          </w:tcPr>
          <w:p w:rsidR="006326B9" w:rsidRPr="00BD2DB2" w:rsidRDefault="006326B9" w:rsidP="00CF6219">
            <w:pPr>
              <w:jc w:val="center"/>
              <w:rPr>
                <w:lang w:val="en-GB"/>
              </w:rPr>
            </w:pPr>
            <w:r w:rsidRPr="00BD2DB2">
              <w:rPr>
                <w:lang w:val="en-GB"/>
              </w:rPr>
              <w:t>19</w:t>
            </w:r>
          </w:p>
        </w:tc>
        <w:tc>
          <w:tcPr>
            <w:tcW w:w="1416" w:type="dxa"/>
          </w:tcPr>
          <w:p w:rsidR="006326B9" w:rsidRPr="00BD2DB2" w:rsidRDefault="006326B9" w:rsidP="00CF6219">
            <w:pPr>
              <w:jc w:val="center"/>
              <w:rPr>
                <w:lang w:val="en-GB"/>
              </w:rPr>
            </w:pPr>
            <w:r w:rsidRPr="00BD2DB2">
              <w:rPr>
                <w:lang w:val="en-GB"/>
              </w:rPr>
              <w:t>15</w:t>
            </w:r>
          </w:p>
        </w:tc>
        <w:tc>
          <w:tcPr>
            <w:tcW w:w="1416" w:type="dxa"/>
          </w:tcPr>
          <w:p w:rsidR="006326B9" w:rsidRPr="00BD2DB2" w:rsidRDefault="006326B9" w:rsidP="00CF6219">
            <w:pPr>
              <w:jc w:val="center"/>
              <w:rPr>
                <w:lang w:val="en-GB"/>
              </w:rPr>
            </w:pPr>
            <w:r w:rsidRPr="00BD2DB2">
              <w:rPr>
                <w:lang w:val="en-GB"/>
              </w:rPr>
              <w:t>25</w:t>
            </w:r>
          </w:p>
        </w:tc>
        <w:tc>
          <w:tcPr>
            <w:tcW w:w="1416" w:type="dxa"/>
          </w:tcPr>
          <w:p w:rsidR="006326B9" w:rsidRPr="00BD2DB2" w:rsidRDefault="006326B9" w:rsidP="00CF6219">
            <w:pPr>
              <w:jc w:val="center"/>
              <w:rPr>
                <w:lang w:val="en-GB"/>
              </w:rPr>
            </w:pPr>
            <w:r w:rsidRPr="00BD2DB2">
              <w:rPr>
                <w:lang w:val="en-GB"/>
              </w:rPr>
              <w:t>23</w:t>
            </w:r>
          </w:p>
        </w:tc>
      </w:tr>
      <w:tr w:rsidR="006326B9" w:rsidRPr="00BD2DB2" w:rsidTr="008942A9">
        <w:tc>
          <w:tcPr>
            <w:tcW w:w="1387" w:type="dxa"/>
            <w:vMerge/>
            <w:shd w:val="clear" w:color="auto" w:fill="D9D9D9" w:themeFill="background1" w:themeFillShade="D9"/>
          </w:tcPr>
          <w:p w:rsidR="006326B9" w:rsidRPr="00BD2DB2" w:rsidRDefault="006326B9" w:rsidP="003F0641">
            <w:pPr>
              <w:rPr>
                <w:b/>
                <w:lang w:val="en-GB"/>
              </w:rPr>
            </w:pP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ESG</w:t>
            </w:r>
          </w:p>
        </w:tc>
        <w:tc>
          <w:tcPr>
            <w:tcW w:w="1416" w:type="dxa"/>
          </w:tcPr>
          <w:p w:rsidR="006326B9" w:rsidRPr="00BD2DB2" w:rsidRDefault="006326B9" w:rsidP="00CF6219">
            <w:pPr>
              <w:jc w:val="center"/>
              <w:rPr>
                <w:lang w:val="en-GB"/>
              </w:rPr>
            </w:pPr>
            <w:r w:rsidRPr="00BD2DB2">
              <w:rPr>
                <w:lang w:val="en-GB"/>
              </w:rPr>
              <w:t>103</w:t>
            </w:r>
          </w:p>
        </w:tc>
        <w:tc>
          <w:tcPr>
            <w:tcW w:w="1416" w:type="dxa"/>
          </w:tcPr>
          <w:p w:rsidR="006326B9" w:rsidRPr="00BD2DB2" w:rsidRDefault="006326B9" w:rsidP="00CF6219">
            <w:pPr>
              <w:jc w:val="center"/>
              <w:rPr>
                <w:lang w:val="en-GB"/>
              </w:rPr>
            </w:pPr>
            <w:r w:rsidRPr="00BD2DB2">
              <w:rPr>
                <w:lang w:val="en-GB"/>
              </w:rPr>
              <w:t>99</w:t>
            </w:r>
          </w:p>
        </w:tc>
        <w:tc>
          <w:tcPr>
            <w:tcW w:w="1416" w:type="dxa"/>
          </w:tcPr>
          <w:p w:rsidR="006326B9" w:rsidRPr="00BD2DB2" w:rsidRDefault="006326B9" w:rsidP="00CF6219">
            <w:pPr>
              <w:jc w:val="center"/>
              <w:rPr>
                <w:lang w:val="en-GB"/>
              </w:rPr>
            </w:pPr>
            <w:r w:rsidRPr="00BD2DB2">
              <w:rPr>
                <w:lang w:val="en-GB"/>
              </w:rPr>
              <w:t>80</w:t>
            </w:r>
          </w:p>
        </w:tc>
        <w:tc>
          <w:tcPr>
            <w:tcW w:w="1416" w:type="dxa"/>
          </w:tcPr>
          <w:p w:rsidR="006326B9" w:rsidRPr="00BD2DB2" w:rsidRDefault="006326B9" w:rsidP="00CF6219">
            <w:pPr>
              <w:jc w:val="center"/>
              <w:rPr>
                <w:lang w:val="en-GB"/>
              </w:rPr>
            </w:pPr>
            <w:r w:rsidRPr="00BD2DB2">
              <w:rPr>
                <w:lang w:val="en-GB"/>
              </w:rPr>
              <w:t>104</w:t>
            </w:r>
          </w:p>
        </w:tc>
        <w:tc>
          <w:tcPr>
            <w:tcW w:w="1416" w:type="dxa"/>
          </w:tcPr>
          <w:p w:rsidR="006326B9" w:rsidRPr="00BD2DB2" w:rsidRDefault="006326B9" w:rsidP="00CF6219">
            <w:pPr>
              <w:jc w:val="center"/>
              <w:rPr>
                <w:lang w:val="en-GB"/>
              </w:rPr>
            </w:pPr>
            <w:r w:rsidRPr="00BD2DB2">
              <w:rPr>
                <w:lang w:val="en-GB"/>
              </w:rPr>
              <w:t>84</w:t>
            </w:r>
          </w:p>
        </w:tc>
      </w:tr>
      <w:tr w:rsidR="006326B9" w:rsidRPr="00BD2DB2" w:rsidTr="008942A9">
        <w:tc>
          <w:tcPr>
            <w:tcW w:w="1387" w:type="dxa"/>
            <w:vMerge/>
            <w:shd w:val="clear" w:color="auto" w:fill="D9D9D9" w:themeFill="background1" w:themeFillShade="D9"/>
          </w:tcPr>
          <w:p w:rsidR="006326B9" w:rsidRPr="00BD2DB2" w:rsidRDefault="006326B9" w:rsidP="003F0641">
            <w:pPr>
              <w:rPr>
                <w:b/>
                <w:lang w:val="en-GB"/>
              </w:rPr>
            </w:pPr>
          </w:p>
        </w:tc>
        <w:tc>
          <w:tcPr>
            <w:tcW w:w="1388" w:type="dxa"/>
            <w:shd w:val="clear" w:color="auto" w:fill="D9D9D9" w:themeFill="background1" w:themeFillShade="D9"/>
          </w:tcPr>
          <w:p w:rsidR="006326B9" w:rsidRPr="002D0871" w:rsidRDefault="006326B9" w:rsidP="00CF6219">
            <w:pPr>
              <w:jc w:val="center"/>
              <w:rPr>
                <w:i/>
                <w:lang w:val="en-GB"/>
              </w:rPr>
            </w:pPr>
            <w:r w:rsidRPr="002D0871">
              <w:rPr>
                <w:i/>
                <w:lang w:val="en-GB"/>
              </w:rPr>
              <w:t>VP</w:t>
            </w:r>
          </w:p>
        </w:tc>
        <w:tc>
          <w:tcPr>
            <w:tcW w:w="1416" w:type="dxa"/>
          </w:tcPr>
          <w:p w:rsidR="006326B9" w:rsidRPr="00BD2DB2" w:rsidRDefault="006326B9" w:rsidP="00CF6219">
            <w:pPr>
              <w:jc w:val="center"/>
              <w:rPr>
                <w:lang w:val="en-GB"/>
              </w:rPr>
            </w:pPr>
            <w:r w:rsidRPr="00BD2DB2">
              <w:rPr>
                <w:lang w:val="en-GB"/>
              </w:rPr>
              <w:t>24</w:t>
            </w:r>
          </w:p>
        </w:tc>
        <w:tc>
          <w:tcPr>
            <w:tcW w:w="1416" w:type="dxa"/>
          </w:tcPr>
          <w:p w:rsidR="006326B9" w:rsidRPr="00BD2DB2" w:rsidRDefault="006326B9" w:rsidP="00CF6219">
            <w:pPr>
              <w:jc w:val="center"/>
              <w:rPr>
                <w:lang w:val="en-GB"/>
              </w:rPr>
            </w:pPr>
            <w:r w:rsidRPr="00BD2DB2">
              <w:rPr>
                <w:lang w:val="en-GB"/>
              </w:rPr>
              <w:t>24</w:t>
            </w:r>
          </w:p>
        </w:tc>
        <w:tc>
          <w:tcPr>
            <w:tcW w:w="1416" w:type="dxa"/>
          </w:tcPr>
          <w:p w:rsidR="006326B9" w:rsidRPr="00BD2DB2" w:rsidRDefault="006326B9" w:rsidP="00CF6219">
            <w:pPr>
              <w:jc w:val="center"/>
              <w:rPr>
                <w:lang w:val="en-GB"/>
              </w:rPr>
            </w:pPr>
            <w:r w:rsidRPr="00BD2DB2">
              <w:rPr>
                <w:lang w:val="en-GB"/>
              </w:rPr>
              <w:t>24</w:t>
            </w:r>
          </w:p>
        </w:tc>
        <w:tc>
          <w:tcPr>
            <w:tcW w:w="1416" w:type="dxa"/>
          </w:tcPr>
          <w:p w:rsidR="006326B9" w:rsidRPr="00BD2DB2" w:rsidRDefault="006326B9" w:rsidP="00CF6219">
            <w:pPr>
              <w:jc w:val="center"/>
              <w:rPr>
                <w:lang w:val="en-GB"/>
              </w:rPr>
            </w:pPr>
            <w:r w:rsidRPr="00BD2DB2">
              <w:rPr>
                <w:lang w:val="en-GB"/>
              </w:rPr>
              <w:t>32</w:t>
            </w:r>
          </w:p>
        </w:tc>
        <w:tc>
          <w:tcPr>
            <w:tcW w:w="1416" w:type="dxa"/>
          </w:tcPr>
          <w:p w:rsidR="006326B9" w:rsidRPr="00BD2DB2" w:rsidRDefault="006326B9" w:rsidP="00CF6219">
            <w:pPr>
              <w:jc w:val="center"/>
              <w:rPr>
                <w:lang w:val="en-GB"/>
              </w:rPr>
            </w:pPr>
            <w:r w:rsidRPr="00BD2DB2">
              <w:rPr>
                <w:lang w:val="en-GB"/>
              </w:rPr>
              <w:t>25</w:t>
            </w:r>
          </w:p>
        </w:tc>
      </w:tr>
      <w:tr w:rsidR="00CF6219" w:rsidRPr="00BD2DB2" w:rsidTr="008942A9">
        <w:tc>
          <w:tcPr>
            <w:tcW w:w="1387" w:type="dxa"/>
            <w:shd w:val="clear" w:color="auto" w:fill="D9D9D9" w:themeFill="background1" w:themeFillShade="D9"/>
          </w:tcPr>
          <w:p w:rsidR="00CF6219" w:rsidRPr="00BD2DB2" w:rsidRDefault="00CF6219">
            <w:pPr>
              <w:rPr>
                <w:b/>
                <w:lang w:val="en-GB"/>
              </w:rPr>
            </w:pPr>
            <w:r w:rsidRPr="00BD2DB2">
              <w:rPr>
                <w:b/>
                <w:lang w:val="en-GB"/>
              </w:rPr>
              <w:t>MLG total</w:t>
            </w:r>
          </w:p>
        </w:tc>
        <w:tc>
          <w:tcPr>
            <w:tcW w:w="1388" w:type="dxa"/>
            <w:shd w:val="clear" w:color="auto" w:fill="D9D9D9" w:themeFill="background1" w:themeFillShade="D9"/>
          </w:tcPr>
          <w:p w:rsidR="00CF6219" w:rsidRPr="00BD2DB2" w:rsidRDefault="00CF6219" w:rsidP="00CF6219">
            <w:pPr>
              <w:jc w:val="center"/>
              <w:rPr>
                <w:b/>
                <w:lang w:val="en-GB"/>
              </w:rPr>
            </w:pP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142</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142</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119</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161</w:t>
            </w:r>
          </w:p>
        </w:tc>
        <w:tc>
          <w:tcPr>
            <w:tcW w:w="1416" w:type="dxa"/>
            <w:shd w:val="clear" w:color="auto" w:fill="D9D9D9" w:themeFill="background1" w:themeFillShade="D9"/>
          </w:tcPr>
          <w:p w:rsidR="00CF6219" w:rsidRPr="00BD2DB2" w:rsidRDefault="004B11AE" w:rsidP="00CF6219">
            <w:pPr>
              <w:jc w:val="center"/>
              <w:rPr>
                <w:b/>
                <w:lang w:val="en-GB"/>
              </w:rPr>
            </w:pPr>
            <w:r w:rsidRPr="00BD2DB2">
              <w:rPr>
                <w:b/>
                <w:lang w:val="en-GB"/>
              </w:rPr>
              <w:t>132</w:t>
            </w:r>
          </w:p>
        </w:tc>
      </w:tr>
      <w:tr w:rsidR="00CF6219" w:rsidRPr="00BD2DB2" w:rsidTr="008942A9">
        <w:tc>
          <w:tcPr>
            <w:tcW w:w="9855" w:type="dxa"/>
            <w:gridSpan w:val="7"/>
          </w:tcPr>
          <w:p w:rsidR="00CF6219" w:rsidRPr="00BD2DB2" w:rsidRDefault="00CF6219" w:rsidP="00CF6219">
            <w:pPr>
              <w:jc w:val="center"/>
              <w:rPr>
                <w:lang w:val="en-GB"/>
              </w:rPr>
            </w:pPr>
          </w:p>
        </w:tc>
      </w:tr>
      <w:tr w:rsidR="00CF6219" w:rsidRPr="00BD2DB2" w:rsidTr="008942A9">
        <w:tc>
          <w:tcPr>
            <w:tcW w:w="1387" w:type="dxa"/>
            <w:shd w:val="clear" w:color="auto" w:fill="D9D9D9" w:themeFill="background1" w:themeFillShade="D9"/>
          </w:tcPr>
          <w:p w:rsidR="00CF6219" w:rsidRPr="00BD2DB2" w:rsidRDefault="00CF6219">
            <w:pPr>
              <w:rPr>
                <w:b/>
                <w:lang w:val="en-GB"/>
              </w:rPr>
            </w:pPr>
            <w:r w:rsidRPr="00BD2DB2">
              <w:rPr>
                <w:b/>
                <w:lang w:val="en-GB"/>
              </w:rPr>
              <w:t>Grand total</w:t>
            </w:r>
          </w:p>
        </w:tc>
        <w:tc>
          <w:tcPr>
            <w:tcW w:w="1388" w:type="dxa"/>
            <w:shd w:val="clear" w:color="auto" w:fill="D9D9D9" w:themeFill="background1" w:themeFillShade="D9"/>
          </w:tcPr>
          <w:p w:rsidR="00CF6219" w:rsidRPr="00BD2DB2" w:rsidRDefault="00CF6219" w:rsidP="00CF6219">
            <w:pPr>
              <w:jc w:val="center"/>
              <w:rPr>
                <w:b/>
                <w:lang w:val="en-GB"/>
              </w:rPr>
            </w:pPr>
          </w:p>
        </w:tc>
        <w:tc>
          <w:tcPr>
            <w:tcW w:w="1416" w:type="dxa"/>
            <w:shd w:val="clear" w:color="auto" w:fill="D9D9D9" w:themeFill="background1" w:themeFillShade="D9"/>
          </w:tcPr>
          <w:p w:rsidR="00CF6219" w:rsidRPr="00BD2DB2" w:rsidRDefault="00CF2433" w:rsidP="00CF6219">
            <w:pPr>
              <w:jc w:val="center"/>
              <w:rPr>
                <w:b/>
                <w:lang w:val="en-GB"/>
              </w:rPr>
            </w:pPr>
            <w:r w:rsidRPr="00BD2DB2">
              <w:rPr>
                <w:b/>
                <w:lang w:val="en-GB"/>
              </w:rPr>
              <w:t>626</w:t>
            </w:r>
          </w:p>
        </w:tc>
        <w:tc>
          <w:tcPr>
            <w:tcW w:w="1416" w:type="dxa"/>
            <w:shd w:val="clear" w:color="auto" w:fill="D9D9D9" w:themeFill="background1" w:themeFillShade="D9"/>
          </w:tcPr>
          <w:p w:rsidR="00CF6219" w:rsidRPr="00BD2DB2" w:rsidRDefault="00CF2433" w:rsidP="00CF6219">
            <w:pPr>
              <w:jc w:val="center"/>
              <w:rPr>
                <w:b/>
                <w:lang w:val="en-GB"/>
              </w:rPr>
            </w:pPr>
            <w:r w:rsidRPr="00BD2DB2">
              <w:rPr>
                <w:b/>
                <w:lang w:val="en-GB"/>
              </w:rPr>
              <w:t>588</w:t>
            </w:r>
          </w:p>
        </w:tc>
        <w:tc>
          <w:tcPr>
            <w:tcW w:w="1416" w:type="dxa"/>
            <w:shd w:val="clear" w:color="auto" w:fill="D9D9D9" w:themeFill="background1" w:themeFillShade="D9"/>
          </w:tcPr>
          <w:p w:rsidR="00CF6219" w:rsidRPr="00BD2DB2" w:rsidRDefault="00CF2433" w:rsidP="00CF6219">
            <w:pPr>
              <w:jc w:val="center"/>
              <w:rPr>
                <w:b/>
                <w:lang w:val="en-GB"/>
              </w:rPr>
            </w:pPr>
            <w:r w:rsidRPr="00BD2DB2">
              <w:rPr>
                <w:b/>
                <w:lang w:val="en-GB"/>
              </w:rPr>
              <w:t>565</w:t>
            </w:r>
          </w:p>
        </w:tc>
        <w:tc>
          <w:tcPr>
            <w:tcW w:w="1416" w:type="dxa"/>
            <w:shd w:val="clear" w:color="auto" w:fill="D9D9D9" w:themeFill="background1" w:themeFillShade="D9"/>
          </w:tcPr>
          <w:p w:rsidR="00CF6219" w:rsidRPr="00BD2DB2" w:rsidRDefault="00CF2433" w:rsidP="00CF6219">
            <w:pPr>
              <w:jc w:val="center"/>
              <w:rPr>
                <w:b/>
                <w:lang w:val="en-GB"/>
              </w:rPr>
            </w:pPr>
            <w:r w:rsidRPr="00BD2DB2">
              <w:rPr>
                <w:b/>
                <w:lang w:val="en-GB"/>
              </w:rPr>
              <w:t>566</w:t>
            </w:r>
          </w:p>
        </w:tc>
        <w:tc>
          <w:tcPr>
            <w:tcW w:w="1416" w:type="dxa"/>
            <w:shd w:val="clear" w:color="auto" w:fill="D9D9D9" w:themeFill="background1" w:themeFillShade="D9"/>
          </w:tcPr>
          <w:p w:rsidR="00CF6219" w:rsidRPr="00BD2DB2" w:rsidRDefault="00CF2433" w:rsidP="00CF6219">
            <w:pPr>
              <w:jc w:val="center"/>
              <w:rPr>
                <w:b/>
                <w:lang w:val="en-GB"/>
              </w:rPr>
            </w:pPr>
            <w:r w:rsidRPr="00BD2DB2">
              <w:rPr>
                <w:b/>
                <w:lang w:val="en-GB"/>
              </w:rPr>
              <w:t>538</w:t>
            </w:r>
          </w:p>
        </w:tc>
      </w:tr>
    </w:tbl>
    <w:p w:rsidR="003F0641" w:rsidRPr="00BD2DB2" w:rsidRDefault="003F0641" w:rsidP="00D74680">
      <w:pPr>
        <w:jc w:val="both"/>
        <w:rPr>
          <w:lang w:val="en-GB"/>
        </w:rPr>
      </w:pPr>
    </w:p>
    <w:p w:rsidR="000448BC" w:rsidRPr="00BD2DB2" w:rsidRDefault="002D0871" w:rsidP="00D74680">
      <w:pPr>
        <w:jc w:val="both"/>
        <w:rPr>
          <w:lang w:val="en-GB"/>
        </w:rPr>
      </w:pPr>
      <w:r>
        <w:rPr>
          <w:lang w:val="en-GB"/>
        </w:rPr>
        <w:t>The above table reveals that the number of</w:t>
      </w:r>
      <w:r w:rsidR="009546C4" w:rsidRPr="00BD2DB2">
        <w:rPr>
          <w:lang w:val="en-GB"/>
        </w:rPr>
        <w:t xml:space="preserve"> </w:t>
      </w:r>
      <w:r>
        <w:rPr>
          <w:lang w:val="en-GB"/>
        </w:rPr>
        <w:t>admissions in year</w:t>
      </w:r>
      <w:r w:rsidR="009546C4" w:rsidRPr="00BD2DB2">
        <w:rPr>
          <w:lang w:val="en-GB"/>
        </w:rPr>
        <w:t xml:space="preserve"> 7</w:t>
      </w:r>
      <w:r>
        <w:rPr>
          <w:lang w:val="en-GB"/>
        </w:rPr>
        <w:t xml:space="preserve"> has been constant</w:t>
      </w:r>
      <w:r w:rsidR="0060016D">
        <w:rPr>
          <w:lang w:val="en-GB"/>
        </w:rPr>
        <w:t>,</w:t>
      </w:r>
      <w:r>
        <w:rPr>
          <w:lang w:val="en-GB"/>
        </w:rPr>
        <w:t xml:space="preserve"> at most</w:t>
      </w:r>
      <w:r w:rsidR="0060016D">
        <w:rPr>
          <w:lang w:val="en-GB"/>
        </w:rPr>
        <w:t>,</w:t>
      </w:r>
      <w:r>
        <w:rPr>
          <w:lang w:val="en-GB"/>
        </w:rPr>
        <w:t xml:space="preserve"> for the two</w:t>
      </w:r>
      <w:r w:rsidR="009546C4" w:rsidRPr="00BD2DB2">
        <w:rPr>
          <w:lang w:val="en-GB"/>
        </w:rPr>
        <w:t xml:space="preserve"> </w:t>
      </w:r>
      <w:r w:rsidRPr="002D0871">
        <w:rPr>
          <w:i/>
          <w:lang w:val="en-GB"/>
        </w:rPr>
        <w:t>L</w:t>
      </w:r>
      <w:r w:rsidR="009546C4" w:rsidRPr="002D0871">
        <w:rPr>
          <w:i/>
          <w:lang w:val="en-GB"/>
        </w:rPr>
        <w:t>ycées</w:t>
      </w:r>
      <w:r>
        <w:rPr>
          <w:lang w:val="en-GB"/>
        </w:rPr>
        <w:t xml:space="preserve"> in the east of the country (SLP and</w:t>
      </w:r>
      <w:r w:rsidR="009546C4" w:rsidRPr="00BD2DB2">
        <w:rPr>
          <w:lang w:val="en-GB"/>
        </w:rPr>
        <w:t xml:space="preserve"> MLG)</w:t>
      </w:r>
      <w:r>
        <w:rPr>
          <w:lang w:val="en-GB"/>
        </w:rPr>
        <w:t xml:space="preserve">, whereas it has steadily declined over the last five years in the other two </w:t>
      </w:r>
      <w:r w:rsidRPr="002D0871">
        <w:rPr>
          <w:i/>
          <w:lang w:val="en-GB"/>
        </w:rPr>
        <w:t>Lycées</w:t>
      </w:r>
      <w:r>
        <w:rPr>
          <w:lang w:val="en-GB"/>
        </w:rPr>
        <w:t xml:space="preserve">. </w:t>
      </w:r>
    </w:p>
    <w:p w:rsidR="009546C4" w:rsidRPr="00BD2DB2" w:rsidRDefault="008A6E29" w:rsidP="00D74680">
      <w:pPr>
        <w:jc w:val="both"/>
        <w:rPr>
          <w:lang w:val="en-GB"/>
        </w:rPr>
      </w:pPr>
      <w:r>
        <w:rPr>
          <w:lang w:val="en-GB"/>
        </w:rPr>
        <w:t>In a nutshell, the setting up of another traditional</w:t>
      </w:r>
      <w:r w:rsidR="009546C4" w:rsidRPr="00BD2DB2">
        <w:rPr>
          <w:lang w:val="en-GB"/>
        </w:rPr>
        <w:t xml:space="preserve"> </w:t>
      </w:r>
      <w:r>
        <w:rPr>
          <w:lang w:val="en-GB"/>
        </w:rPr>
        <w:t>L</w:t>
      </w:r>
      <w:r w:rsidR="009546C4" w:rsidRPr="00BD2DB2">
        <w:rPr>
          <w:lang w:val="en-GB"/>
        </w:rPr>
        <w:t xml:space="preserve">ycée </w:t>
      </w:r>
      <w:r>
        <w:rPr>
          <w:lang w:val="en-GB"/>
        </w:rPr>
        <w:t xml:space="preserve">comprising the Luxembourg </w:t>
      </w:r>
      <w:r w:rsidRPr="008A6E29">
        <w:rPr>
          <w:i/>
          <w:lang w:val="en-GB"/>
        </w:rPr>
        <w:t>ESC</w:t>
      </w:r>
      <w:r>
        <w:rPr>
          <w:lang w:val="en-GB"/>
        </w:rPr>
        <w:t xml:space="preserve"> and/or </w:t>
      </w:r>
      <w:r w:rsidR="009546C4" w:rsidRPr="008A6E29">
        <w:rPr>
          <w:i/>
          <w:lang w:val="en-GB"/>
        </w:rPr>
        <w:t xml:space="preserve">ESG </w:t>
      </w:r>
      <w:r w:rsidR="008942A9">
        <w:rPr>
          <w:lang w:val="en-GB"/>
        </w:rPr>
        <w:t xml:space="preserve">is pointless at present. On the other hand, it seems imperative to offer an education allowing better integration into school of foreign children, or indeed children who do not speak </w:t>
      </w:r>
      <w:r w:rsidR="008942A9" w:rsidRPr="008942A9">
        <w:rPr>
          <w:bCs/>
          <w:lang w:val="en-GB"/>
        </w:rPr>
        <w:t>Lëtzebuergesch</w:t>
      </w:r>
      <w:r w:rsidR="008942A9">
        <w:rPr>
          <w:lang w:val="en-GB"/>
        </w:rPr>
        <w:t xml:space="preserve"> as their first language. </w:t>
      </w:r>
    </w:p>
    <w:p w:rsidR="00CE523B" w:rsidRPr="00BD2DB2" w:rsidRDefault="00CE523B" w:rsidP="00D74680">
      <w:pPr>
        <w:jc w:val="both"/>
        <w:rPr>
          <w:lang w:val="en-GB"/>
        </w:rPr>
      </w:pPr>
    </w:p>
    <w:p w:rsidR="000448BC" w:rsidRPr="00BD2DB2" w:rsidRDefault="000448BC" w:rsidP="000448BC">
      <w:pPr>
        <w:pStyle w:val="Heading1"/>
        <w:rPr>
          <w:lang w:val="en-GB"/>
        </w:rPr>
      </w:pPr>
      <w:bookmarkStart w:id="9" w:name="_Toc494880760"/>
      <w:r w:rsidRPr="00BD2DB2">
        <w:rPr>
          <w:lang w:val="en-GB"/>
        </w:rPr>
        <w:t>Mondorf-les-Bains</w:t>
      </w:r>
      <w:r w:rsidR="008942A9">
        <w:rPr>
          <w:lang w:val="en-GB"/>
        </w:rPr>
        <w:t xml:space="preserve"> International School as an Accredited European School</w:t>
      </w:r>
      <w:bookmarkEnd w:id="9"/>
      <w:r w:rsidRPr="00BD2DB2">
        <w:rPr>
          <w:lang w:val="en-GB"/>
        </w:rPr>
        <w:t xml:space="preserve"> </w:t>
      </w:r>
    </w:p>
    <w:p w:rsidR="000448BC" w:rsidRPr="00BD2DB2" w:rsidRDefault="000448BC" w:rsidP="002F5EB8">
      <w:pPr>
        <w:jc w:val="both"/>
        <w:rPr>
          <w:lang w:val="en-GB"/>
        </w:rPr>
      </w:pPr>
    </w:p>
    <w:p w:rsidR="000448BC" w:rsidRPr="00BD2DB2" w:rsidRDefault="004531D6" w:rsidP="002F5EB8">
      <w:pPr>
        <w:jc w:val="both"/>
        <w:rPr>
          <w:lang w:val="en-GB"/>
        </w:rPr>
      </w:pPr>
      <w:r>
        <w:rPr>
          <w:lang w:val="en-GB"/>
        </w:rPr>
        <w:t xml:space="preserve">The planned school at </w:t>
      </w:r>
      <w:r w:rsidR="003A0A28" w:rsidRPr="00BD2DB2">
        <w:rPr>
          <w:lang w:val="en-GB"/>
        </w:rPr>
        <w:t xml:space="preserve">Mondorf-les-Bains </w:t>
      </w:r>
      <w:r>
        <w:rPr>
          <w:lang w:val="en-GB"/>
        </w:rPr>
        <w:t xml:space="preserve">will operate according to the principles and methods of an Accredited European School. It will be allied with the European School system by the accreditation agreement and will determine its educational offer on the basis of the European Schools’ curricula. </w:t>
      </w:r>
      <w:r w:rsidR="003A0A28" w:rsidRPr="00BD2DB2">
        <w:rPr>
          <w:lang w:val="en-GB"/>
        </w:rPr>
        <w:t xml:space="preserve"> </w:t>
      </w:r>
      <w:r>
        <w:rPr>
          <w:lang w:val="en-GB"/>
        </w:rPr>
        <w:t>This offer will be aimed at the European Baccalaureate</w:t>
      </w:r>
      <w:r w:rsidR="0060016D">
        <w:rPr>
          <w:lang w:val="en-GB"/>
        </w:rPr>
        <w:t xml:space="preserve"> at the end of S7 and hence </w:t>
      </w:r>
      <w:r>
        <w:rPr>
          <w:lang w:val="en-GB"/>
        </w:rPr>
        <w:t>access to the higher education offered in Luxembourg or abroad</w:t>
      </w:r>
      <w:r w:rsidR="00CE523B" w:rsidRPr="00BD2DB2">
        <w:rPr>
          <w:lang w:val="en-GB"/>
        </w:rPr>
        <w:t>.</w:t>
      </w:r>
    </w:p>
    <w:p w:rsidR="003A0A28" w:rsidRPr="00BD2DB2" w:rsidRDefault="001B682E" w:rsidP="002F5EB8">
      <w:pPr>
        <w:jc w:val="both"/>
        <w:rPr>
          <w:lang w:val="en-GB"/>
        </w:rPr>
      </w:pPr>
      <w:r>
        <w:rPr>
          <w:lang w:val="en-GB"/>
        </w:rPr>
        <w:t>From the</w:t>
      </w:r>
      <w:r w:rsidR="003A0A28" w:rsidRPr="00BD2DB2">
        <w:rPr>
          <w:lang w:val="en-GB"/>
        </w:rPr>
        <w:t xml:space="preserve"> </w:t>
      </w:r>
      <w:r>
        <w:rPr>
          <w:b/>
          <w:lang w:val="en-GB"/>
        </w:rPr>
        <w:t>administrative and</w:t>
      </w:r>
      <w:r w:rsidR="003A0A28" w:rsidRPr="00BD2DB2">
        <w:rPr>
          <w:b/>
          <w:lang w:val="en-GB"/>
        </w:rPr>
        <w:t xml:space="preserve"> financi</w:t>
      </w:r>
      <w:r>
        <w:rPr>
          <w:b/>
          <w:lang w:val="en-GB"/>
        </w:rPr>
        <w:t xml:space="preserve">al </w:t>
      </w:r>
      <w:r>
        <w:rPr>
          <w:lang w:val="en-GB"/>
        </w:rPr>
        <w:t>angle, the school will develop under the responsibility of</w:t>
      </w:r>
      <w:r w:rsidR="003A0A28" w:rsidRPr="00BD2DB2">
        <w:rPr>
          <w:lang w:val="en-GB"/>
        </w:rPr>
        <w:t xml:space="preserve"> Luxembourg</w:t>
      </w:r>
      <w:r>
        <w:rPr>
          <w:lang w:val="en-GB"/>
        </w:rPr>
        <w:t>’s Ministr</w:t>
      </w:r>
      <w:r w:rsidR="0060016D">
        <w:rPr>
          <w:lang w:val="en-GB"/>
        </w:rPr>
        <w:t xml:space="preserve">y of Education, at the level </w:t>
      </w:r>
      <w:r>
        <w:rPr>
          <w:lang w:val="en-GB"/>
        </w:rPr>
        <w:t xml:space="preserve">both </w:t>
      </w:r>
      <w:r w:rsidR="0060016D">
        <w:rPr>
          <w:lang w:val="en-GB"/>
        </w:rPr>
        <w:t xml:space="preserve">of </w:t>
      </w:r>
      <w:r>
        <w:rPr>
          <w:lang w:val="en-GB"/>
        </w:rPr>
        <w:t xml:space="preserve">the administration and </w:t>
      </w:r>
      <w:r w:rsidR="0060016D">
        <w:rPr>
          <w:lang w:val="en-GB"/>
        </w:rPr>
        <w:t xml:space="preserve">of </w:t>
      </w:r>
      <w:r>
        <w:rPr>
          <w:lang w:val="en-GB"/>
        </w:rPr>
        <w:t xml:space="preserve">the budget and the staff. </w:t>
      </w:r>
      <w:r w:rsidR="003A0A28" w:rsidRPr="00BD2DB2">
        <w:rPr>
          <w:lang w:val="en-GB"/>
        </w:rPr>
        <w:t xml:space="preserve"> </w:t>
      </w:r>
    </w:p>
    <w:p w:rsidR="00363D21" w:rsidRPr="00BD2DB2" w:rsidRDefault="001B682E" w:rsidP="002F5EB8">
      <w:pPr>
        <w:jc w:val="both"/>
        <w:rPr>
          <w:lang w:val="en-GB"/>
        </w:rPr>
      </w:pPr>
      <w:r>
        <w:rPr>
          <w:lang w:val="en-GB"/>
        </w:rPr>
        <w:t xml:space="preserve">The system will essentially offer the </w:t>
      </w:r>
      <w:r>
        <w:rPr>
          <w:b/>
          <w:lang w:val="en-GB"/>
        </w:rPr>
        <w:t>nursery</w:t>
      </w:r>
      <w:r>
        <w:rPr>
          <w:lang w:val="en-GB"/>
        </w:rPr>
        <w:t xml:space="preserve"> (</w:t>
      </w:r>
      <w:r w:rsidR="00E273EE" w:rsidRPr="00BD2DB2">
        <w:rPr>
          <w:lang w:val="en-GB"/>
        </w:rPr>
        <w:t>ea</w:t>
      </w:r>
      <w:r>
        <w:rPr>
          <w:lang w:val="en-GB"/>
        </w:rPr>
        <w:t>rly education)</w:t>
      </w:r>
      <w:r w:rsidR="00E273EE" w:rsidRPr="00BD2DB2">
        <w:rPr>
          <w:lang w:val="en-GB"/>
        </w:rPr>
        <w:t xml:space="preserve">, </w:t>
      </w:r>
      <w:r w:rsidR="00E273EE" w:rsidRPr="00BD2DB2">
        <w:rPr>
          <w:b/>
          <w:lang w:val="en-GB"/>
        </w:rPr>
        <w:t>prima</w:t>
      </w:r>
      <w:r>
        <w:rPr>
          <w:b/>
          <w:lang w:val="en-GB"/>
        </w:rPr>
        <w:t>ry</w:t>
      </w:r>
      <w:r>
        <w:rPr>
          <w:lang w:val="en-GB"/>
        </w:rPr>
        <w:t xml:space="preserve"> and</w:t>
      </w:r>
      <w:r w:rsidR="00E273EE" w:rsidRPr="00BD2DB2">
        <w:rPr>
          <w:lang w:val="en-GB"/>
        </w:rPr>
        <w:t xml:space="preserve"> </w:t>
      </w:r>
      <w:r w:rsidR="00E273EE" w:rsidRPr="00BD2DB2">
        <w:rPr>
          <w:b/>
          <w:lang w:val="en-GB"/>
        </w:rPr>
        <w:t>seconda</w:t>
      </w:r>
      <w:r>
        <w:rPr>
          <w:b/>
          <w:lang w:val="en-GB"/>
        </w:rPr>
        <w:t>ry cycles</w:t>
      </w:r>
      <w:r>
        <w:rPr>
          <w:lang w:val="en-GB"/>
        </w:rPr>
        <w:t xml:space="preserve"> of the</w:t>
      </w:r>
      <w:r w:rsidR="00363D21" w:rsidRPr="00BD2DB2">
        <w:rPr>
          <w:lang w:val="en-GB"/>
        </w:rPr>
        <w:t xml:space="preserve"> </w:t>
      </w:r>
      <w:r>
        <w:rPr>
          <w:b/>
          <w:lang w:val="en-GB"/>
        </w:rPr>
        <w:t>European School system</w:t>
      </w:r>
      <w:r w:rsidR="00E67BFE">
        <w:rPr>
          <w:lang w:val="en-GB"/>
        </w:rPr>
        <w:t>. In the nursery cycle, two classes are planned, one Francophone and one</w:t>
      </w:r>
      <w:r w:rsidR="00363D21" w:rsidRPr="00BD2DB2">
        <w:rPr>
          <w:lang w:val="en-GB"/>
        </w:rPr>
        <w:t xml:space="preserve"> </w:t>
      </w:r>
      <w:r w:rsidR="00E67BFE">
        <w:rPr>
          <w:lang w:val="en-GB"/>
        </w:rPr>
        <w:t>A</w:t>
      </w:r>
      <w:r w:rsidR="00363D21" w:rsidRPr="00BD2DB2">
        <w:rPr>
          <w:lang w:val="en-GB"/>
        </w:rPr>
        <w:t>nglophone</w:t>
      </w:r>
      <w:r w:rsidR="00E67BFE">
        <w:rPr>
          <w:lang w:val="en-GB"/>
        </w:rPr>
        <w:t>; in the primary and secondary</w:t>
      </w:r>
      <w:r w:rsidR="00E273EE" w:rsidRPr="00BD2DB2">
        <w:rPr>
          <w:lang w:val="en-GB"/>
        </w:rPr>
        <w:t xml:space="preserve"> cycle</w:t>
      </w:r>
      <w:r w:rsidR="00CE523B" w:rsidRPr="00BD2DB2">
        <w:rPr>
          <w:lang w:val="en-GB"/>
        </w:rPr>
        <w:t>s</w:t>
      </w:r>
      <w:r w:rsidR="00E67BFE">
        <w:rPr>
          <w:lang w:val="en-GB"/>
        </w:rPr>
        <w:t>, three classes will be offered</w:t>
      </w:r>
      <w:r w:rsidR="00E273EE" w:rsidRPr="00BD2DB2">
        <w:rPr>
          <w:lang w:val="en-GB"/>
        </w:rPr>
        <w:t>.</w:t>
      </w:r>
      <w:r w:rsidR="00CE4FF4" w:rsidRPr="00BD2DB2">
        <w:rPr>
          <w:lang w:val="en-GB"/>
        </w:rPr>
        <w:t xml:space="preserve"> </w:t>
      </w:r>
      <w:r w:rsidR="00363D21" w:rsidRPr="00BD2DB2">
        <w:rPr>
          <w:lang w:val="en-GB"/>
        </w:rPr>
        <w:t>A priori</w:t>
      </w:r>
      <w:r w:rsidR="00E67BFE">
        <w:rPr>
          <w:lang w:val="en-GB"/>
        </w:rPr>
        <w:t xml:space="preserve">, there will be a French language section, an English language section and a German language section. </w:t>
      </w:r>
      <w:r w:rsidR="00363D21" w:rsidRPr="00BD2DB2">
        <w:rPr>
          <w:lang w:val="en-GB"/>
        </w:rPr>
        <w:t xml:space="preserve"> </w:t>
      </w:r>
    </w:p>
    <w:p w:rsidR="00FD481E" w:rsidRPr="00BD2DB2" w:rsidRDefault="00570E25" w:rsidP="00FD481E">
      <w:pPr>
        <w:jc w:val="both"/>
        <w:rPr>
          <w:lang w:val="en-GB"/>
        </w:rPr>
      </w:pPr>
      <w:r w:rsidRPr="00BD2DB2">
        <w:rPr>
          <w:lang w:val="en-GB"/>
        </w:rPr>
        <w:t>A</w:t>
      </w:r>
      <w:r w:rsidR="00DC5FED">
        <w:rPr>
          <w:lang w:val="en-GB"/>
        </w:rPr>
        <w:t>t the end of the observation cycle of the secondary education level in the European system, i.e. after</w:t>
      </w:r>
      <w:r w:rsidR="00FD481E" w:rsidRPr="00BD2DB2">
        <w:rPr>
          <w:lang w:val="en-GB"/>
        </w:rPr>
        <w:t xml:space="preserve"> </w:t>
      </w:r>
      <w:r w:rsidRPr="00BD2DB2">
        <w:rPr>
          <w:lang w:val="en-GB"/>
        </w:rPr>
        <w:t>S3,</w:t>
      </w:r>
      <w:r w:rsidR="00FD481E" w:rsidRPr="00BD2DB2">
        <w:rPr>
          <w:lang w:val="en-GB"/>
        </w:rPr>
        <w:t xml:space="preserve"> </w:t>
      </w:r>
      <w:r w:rsidR="00DC5FED">
        <w:rPr>
          <w:lang w:val="en-GB"/>
        </w:rPr>
        <w:t>pupils will be able to opt for</w:t>
      </w:r>
      <w:r w:rsidR="00FB1EDD">
        <w:rPr>
          <w:lang w:val="en-GB"/>
        </w:rPr>
        <w:t xml:space="preserve"> training leading to the</w:t>
      </w:r>
      <w:r w:rsidR="007D7D26">
        <w:rPr>
          <w:lang w:val="en-GB"/>
        </w:rPr>
        <w:t xml:space="preserve"> </w:t>
      </w:r>
      <w:r w:rsidR="00FD481E" w:rsidRPr="00EF5A58">
        <w:rPr>
          <w:b/>
          <w:i/>
          <w:lang w:val="en-GB"/>
        </w:rPr>
        <w:t xml:space="preserve">diplôme d’Etat </w:t>
      </w:r>
      <w:r w:rsidRPr="00EF5A58">
        <w:rPr>
          <w:b/>
          <w:i/>
          <w:lang w:val="en-GB"/>
        </w:rPr>
        <w:t xml:space="preserve">luxembourgeois </w:t>
      </w:r>
      <w:r w:rsidR="00FD481E" w:rsidRPr="00EF5A58">
        <w:rPr>
          <w:b/>
          <w:i/>
          <w:lang w:val="en-GB"/>
        </w:rPr>
        <w:t>de l’éducateur</w:t>
      </w:r>
      <w:r w:rsidR="00EF5A58">
        <w:rPr>
          <w:lang w:val="en-GB"/>
        </w:rPr>
        <w:t xml:space="preserve"> (Luxembourg State teaching assistant diploma). </w:t>
      </w:r>
      <w:r w:rsidR="00FB1EDD">
        <w:rPr>
          <w:lang w:val="en-GB"/>
        </w:rPr>
        <w:t xml:space="preserve">This training is offered in accordance with the provisions of general secondary education in </w:t>
      </w:r>
      <w:r w:rsidR="00FD481E" w:rsidRPr="00BD2DB2">
        <w:rPr>
          <w:lang w:val="en-GB"/>
        </w:rPr>
        <w:t xml:space="preserve">Luxembourg. </w:t>
      </w:r>
    </w:p>
    <w:p w:rsidR="00FD481E" w:rsidRPr="00BD2DB2" w:rsidRDefault="0044764C" w:rsidP="002F5EB8">
      <w:pPr>
        <w:jc w:val="both"/>
        <w:rPr>
          <w:lang w:val="en-GB"/>
        </w:rPr>
      </w:pPr>
      <w:r>
        <w:rPr>
          <w:lang w:val="en-GB"/>
        </w:rPr>
        <w:t xml:space="preserve">At the level of </w:t>
      </w:r>
      <w:r>
        <w:rPr>
          <w:b/>
          <w:lang w:val="en-GB"/>
        </w:rPr>
        <w:t>L</w:t>
      </w:r>
      <w:r w:rsidR="00363D21" w:rsidRPr="00BD2DB2">
        <w:rPr>
          <w:b/>
          <w:lang w:val="en-GB"/>
        </w:rPr>
        <w:t>uxembourg</w:t>
      </w:r>
      <w:r>
        <w:rPr>
          <w:b/>
          <w:lang w:val="en-GB"/>
        </w:rPr>
        <w:t xml:space="preserve"> secondary education</w:t>
      </w:r>
      <w:r w:rsidR="00084C17">
        <w:rPr>
          <w:lang w:val="en-GB"/>
        </w:rPr>
        <w:t xml:space="preserve">, it is also planned to offer a number of </w:t>
      </w:r>
      <w:r w:rsidR="00084C17" w:rsidRPr="00084C17">
        <w:rPr>
          <w:b/>
          <w:lang w:val="en-GB"/>
        </w:rPr>
        <w:t>vocational training courses</w:t>
      </w:r>
      <w:r w:rsidR="00363D21" w:rsidRPr="00BD2DB2">
        <w:rPr>
          <w:b/>
          <w:lang w:val="en-GB"/>
        </w:rPr>
        <w:t xml:space="preserve"> </w:t>
      </w:r>
      <w:r w:rsidR="00084C17">
        <w:rPr>
          <w:lang w:val="en-GB"/>
        </w:rPr>
        <w:t xml:space="preserve">at </w:t>
      </w:r>
      <w:r w:rsidR="00363D21" w:rsidRPr="00BD2DB2">
        <w:rPr>
          <w:lang w:val="en-GB"/>
        </w:rPr>
        <w:t>Mondorf-les-Bains</w:t>
      </w:r>
      <w:r w:rsidR="00084C17">
        <w:rPr>
          <w:lang w:val="en-GB"/>
        </w:rPr>
        <w:t xml:space="preserve"> International School – Accredited European School. A priori, these training courses will be in the</w:t>
      </w:r>
      <w:r w:rsidR="00363D21" w:rsidRPr="00BD2DB2">
        <w:rPr>
          <w:b/>
          <w:lang w:val="en-GB"/>
        </w:rPr>
        <w:t xml:space="preserve"> </w:t>
      </w:r>
      <w:r w:rsidR="00084C17">
        <w:rPr>
          <w:b/>
          <w:lang w:val="en-GB"/>
        </w:rPr>
        <w:t>care and well-being</w:t>
      </w:r>
      <w:r w:rsidR="00084C17">
        <w:rPr>
          <w:lang w:val="en-GB"/>
        </w:rPr>
        <w:t xml:space="preserve"> areas and will be organised in accordance with the arrangements of the Luxembourg school system</w:t>
      </w:r>
      <w:r w:rsidR="00FD481E" w:rsidRPr="00BD2DB2">
        <w:rPr>
          <w:lang w:val="en-GB"/>
        </w:rPr>
        <w:t>.</w:t>
      </w:r>
      <w:r w:rsidR="00084C17">
        <w:rPr>
          <w:lang w:val="en-GB"/>
        </w:rPr>
        <w:t xml:space="preserve"> At this level, close collaboration is envisaged with the Saarland and with the</w:t>
      </w:r>
      <w:r w:rsidR="00CF2433" w:rsidRPr="00BD2DB2">
        <w:rPr>
          <w:lang w:val="en-GB"/>
        </w:rPr>
        <w:t xml:space="preserve"> </w:t>
      </w:r>
      <w:r w:rsidR="00CF2433" w:rsidRPr="00084C17">
        <w:rPr>
          <w:i/>
          <w:lang w:val="en-GB"/>
        </w:rPr>
        <w:t>Deutsch-Luxemburgisches Schengen-Lyzeum</w:t>
      </w:r>
      <w:r w:rsidR="00084C17">
        <w:rPr>
          <w:lang w:val="en-GB"/>
        </w:rPr>
        <w:t xml:space="preserve"> at</w:t>
      </w:r>
      <w:r w:rsidR="00CF2433" w:rsidRPr="00BD2DB2">
        <w:rPr>
          <w:lang w:val="en-GB"/>
        </w:rPr>
        <w:t xml:space="preserve"> Perl.</w:t>
      </w:r>
      <w:r w:rsidR="00FD481E" w:rsidRPr="00BD2DB2">
        <w:rPr>
          <w:lang w:val="en-GB"/>
        </w:rPr>
        <w:t xml:space="preserve"> </w:t>
      </w:r>
      <w:r w:rsidR="000475D0" w:rsidRPr="00BD2DB2">
        <w:rPr>
          <w:lang w:val="en-GB"/>
        </w:rPr>
        <w:tab/>
      </w:r>
      <w:r w:rsidR="000475D0" w:rsidRPr="00BD2DB2">
        <w:rPr>
          <w:lang w:val="en-GB"/>
        </w:rPr>
        <w:br/>
      </w:r>
      <w:r w:rsidR="00DA0BDD">
        <w:rPr>
          <w:lang w:val="en-GB"/>
        </w:rPr>
        <w:t xml:space="preserve">Access to these training courses will also be ensured for pupils in the European system at the end of </w:t>
      </w:r>
      <w:r w:rsidR="00FD481E" w:rsidRPr="00BD2DB2">
        <w:rPr>
          <w:lang w:val="en-GB"/>
        </w:rPr>
        <w:t>S3.</w:t>
      </w:r>
      <w:r w:rsidR="00DA0BDD">
        <w:rPr>
          <w:lang w:val="en-GB"/>
        </w:rPr>
        <w:t xml:space="preserve"> The plan is for the first vocational training classes to be offered at the beginning of the </w:t>
      </w:r>
      <w:r w:rsidR="00570E25" w:rsidRPr="00BD2DB2">
        <w:rPr>
          <w:lang w:val="en-GB"/>
        </w:rPr>
        <w:t>2021/</w:t>
      </w:r>
      <w:r w:rsidR="00DA0BDD">
        <w:rPr>
          <w:lang w:val="en-GB"/>
        </w:rPr>
        <w:t>2022 school year.</w:t>
      </w:r>
    </w:p>
    <w:p w:rsidR="00DA0BDD" w:rsidRDefault="00DA0BDD" w:rsidP="000475D0">
      <w:pPr>
        <w:jc w:val="both"/>
        <w:rPr>
          <w:lang w:val="en-GB"/>
        </w:rPr>
      </w:pPr>
      <w:r>
        <w:rPr>
          <w:lang w:val="en-GB"/>
        </w:rPr>
        <w:t>A three-year</w:t>
      </w:r>
      <w:r w:rsidR="000475D0" w:rsidRPr="00BD2DB2">
        <w:rPr>
          <w:lang w:val="en-GB"/>
        </w:rPr>
        <w:t xml:space="preserve"> </w:t>
      </w:r>
      <w:r>
        <w:rPr>
          <w:b/>
          <w:lang w:val="en-GB"/>
        </w:rPr>
        <w:t>preparatory pathway</w:t>
      </w:r>
      <w:r>
        <w:rPr>
          <w:lang w:val="en-GB"/>
        </w:rPr>
        <w:t xml:space="preserve"> will be offered in the lower secondary cycle, designed to prepare the pupils concerned for the European system, or even for a vocational training course. </w:t>
      </w:r>
    </w:p>
    <w:p w:rsidR="00F90FA9" w:rsidRDefault="00DA0BDD" w:rsidP="000475D0">
      <w:pPr>
        <w:jc w:val="both"/>
        <w:rPr>
          <w:lang w:val="en-GB"/>
        </w:rPr>
      </w:pPr>
      <w:r>
        <w:rPr>
          <w:lang w:val="en-GB"/>
        </w:rPr>
        <w:t>Finally, an</w:t>
      </w:r>
      <w:r w:rsidR="00F90FA9" w:rsidRPr="00BD2DB2">
        <w:rPr>
          <w:lang w:val="en-GB"/>
        </w:rPr>
        <w:t xml:space="preserve"> </w:t>
      </w:r>
      <w:r>
        <w:rPr>
          <w:b/>
          <w:lang w:val="en-GB"/>
        </w:rPr>
        <w:t>occupational integration class</w:t>
      </w:r>
      <w:r w:rsidR="00F90FA9" w:rsidRPr="00BD2DB2">
        <w:rPr>
          <w:lang w:val="en-GB"/>
        </w:rPr>
        <w:t xml:space="preserve"> (</w:t>
      </w:r>
      <w:r w:rsidR="00F90FA9" w:rsidRPr="00DA0BDD">
        <w:rPr>
          <w:i/>
          <w:lang w:val="en-GB"/>
        </w:rPr>
        <w:t>IPDM</w:t>
      </w:r>
      <w:r>
        <w:rPr>
          <w:lang w:val="en-GB"/>
        </w:rPr>
        <w:t xml:space="preserve">) is planned to cater for pupils who have dropped out of school early or who </w:t>
      </w:r>
      <w:r w:rsidR="00623438">
        <w:rPr>
          <w:lang w:val="en-GB"/>
        </w:rPr>
        <w:t xml:space="preserve">are at risk of doing so and to prepare them to join one of the vocational training courses then offered at the School. </w:t>
      </w:r>
      <w:r w:rsidR="001A5549">
        <w:rPr>
          <w:lang w:val="en-GB"/>
        </w:rPr>
        <w:t xml:space="preserve">This class will start at the same time as the vocational training classes, i.e. provisionally as from the beginning of the </w:t>
      </w:r>
      <w:r w:rsidR="0060016D">
        <w:rPr>
          <w:lang w:val="en-GB"/>
        </w:rPr>
        <w:t>2021-</w:t>
      </w:r>
      <w:r w:rsidR="001A5549">
        <w:rPr>
          <w:lang w:val="en-GB"/>
        </w:rPr>
        <w:t xml:space="preserve">2022 school year. </w:t>
      </w:r>
    </w:p>
    <w:p w:rsidR="005E7984" w:rsidRPr="00BD2DB2" w:rsidRDefault="00C10350" w:rsidP="000475D0">
      <w:pPr>
        <w:jc w:val="both"/>
        <w:rPr>
          <w:lang w:val="en-GB"/>
        </w:rPr>
      </w:pPr>
      <w:r>
        <w:rPr>
          <w:lang w:val="en-GB"/>
        </w:rPr>
        <w:t xml:space="preserve">The following diagram shows the stages of European and Luxembourg education at the nursery, primary and secondary levels up to the European Baccalaureate and the Luxembourg school leaving certificates (academic, technical and vocational). </w:t>
      </w:r>
    </w:p>
    <w:p w:rsidR="0096122C" w:rsidRPr="00BD2DB2" w:rsidRDefault="00F90FA9" w:rsidP="0096122C">
      <w:pPr>
        <w:jc w:val="center"/>
        <w:rPr>
          <w:lang w:val="en-GB"/>
        </w:rPr>
      </w:pPr>
      <w:r w:rsidRPr="00BD2DB2">
        <w:rPr>
          <w:noProof/>
        </w:rPr>
        <w:drawing>
          <wp:inline distT="0" distB="0" distL="0" distR="0">
            <wp:extent cx="6120765" cy="636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dorf - offre scolaire europeenne 2018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6362700"/>
                    </a:xfrm>
                    <a:prstGeom prst="rect">
                      <a:avLst/>
                    </a:prstGeom>
                  </pic:spPr>
                </pic:pic>
              </a:graphicData>
            </a:graphic>
          </wp:inline>
        </w:drawing>
      </w:r>
    </w:p>
    <w:p w:rsidR="00DD4E19" w:rsidRPr="00BD2DB2" w:rsidRDefault="00C10350" w:rsidP="00DD4E19">
      <w:pPr>
        <w:jc w:val="both"/>
        <w:rPr>
          <w:lang w:val="en-GB"/>
        </w:rPr>
      </w:pPr>
      <w:r>
        <w:rPr>
          <w:lang w:val="en-GB"/>
        </w:rPr>
        <w:t>Specific</w:t>
      </w:r>
      <w:r w:rsidR="00DD4E19" w:rsidRPr="00BD2DB2">
        <w:rPr>
          <w:lang w:val="en-GB"/>
        </w:rPr>
        <w:t xml:space="preserve"> </w:t>
      </w:r>
      <w:r>
        <w:rPr>
          <w:b/>
          <w:lang w:val="en-GB"/>
        </w:rPr>
        <w:t>reception arrangements</w:t>
      </w:r>
      <w:r w:rsidR="00DD4E19" w:rsidRPr="00BD2DB2">
        <w:rPr>
          <w:lang w:val="en-GB"/>
        </w:rPr>
        <w:t xml:space="preserve"> </w:t>
      </w:r>
      <w:r>
        <w:rPr>
          <w:lang w:val="en-GB"/>
        </w:rPr>
        <w:t xml:space="preserve">will be put in place and offered for nursery, primary and secondary pupils. A team of qualified </w:t>
      </w:r>
      <w:r w:rsidR="0027684C">
        <w:rPr>
          <w:lang w:val="en-GB"/>
        </w:rPr>
        <w:t>psycho-educational staff will offer this provision, which will cover the period between</w:t>
      </w:r>
      <w:r w:rsidR="00DD4E19" w:rsidRPr="00BD2DB2">
        <w:rPr>
          <w:lang w:val="en-GB"/>
        </w:rPr>
        <w:t xml:space="preserve"> </w:t>
      </w:r>
      <w:r w:rsidR="0027684C">
        <w:rPr>
          <w:lang w:val="en-GB"/>
        </w:rPr>
        <w:t>7.30 and 18.</w:t>
      </w:r>
      <w:r w:rsidR="00DD4E19" w:rsidRPr="00BD2DB2">
        <w:rPr>
          <w:lang w:val="en-GB"/>
        </w:rPr>
        <w:t xml:space="preserve">00. </w:t>
      </w:r>
    </w:p>
    <w:p w:rsidR="00A90EAB" w:rsidRDefault="00A90EAB" w:rsidP="002F5EB8">
      <w:pPr>
        <w:jc w:val="both"/>
        <w:rPr>
          <w:lang w:val="en-GB"/>
        </w:rPr>
      </w:pPr>
      <w:r>
        <w:rPr>
          <w:lang w:val="en-GB"/>
        </w:rPr>
        <w:t xml:space="preserve">From the </w:t>
      </w:r>
      <w:r w:rsidR="00FF03E9" w:rsidRPr="00BD2DB2">
        <w:rPr>
          <w:b/>
          <w:lang w:val="en-GB"/>
        </w:rPr>
        <w:t>linguisti</w:t>
      </w:r>
      <w:r>
        <w:rPr>
          <w:b/>
          <w:lang w:val="en-GB"/>
        </w:rPr>
        <w:t>c angle</w:t>
      </w:r>
      <w:r>
        <w:rPr>
          <w:lang w:val="en-GB"/>
        </w:rPr>
        <w:t xml:space="preserve">, primary school pupils will choose, in addition to the language of the section, another language – French, English, German or Portuguese. </w:t>
      </w:r>
      <w:r w:rsidR="00FF03E9" w:rsidRPr="00BD2DB2">
        <w:rPr>
          <w:lang w:val="en-GB"/>
        </w:rPr>
        <w:t xml:space="preserve"> </w:t>
      </w:r>
      <w:r>
        <w:rPr>
          <w:lang w:val="en-GB"/>
        </w:rPr>
        <w:t xml:space="preserve">In P2, they will choose a third language from amongst those four languages. </w:t>
      </w:r>
      <w:r w:rsidR="00FF03E9" w:rsidRPr="00BD2DB2">
        <w:rPr>
          <w:lang w:val="en-GB"/>
        </w:rPr>
        <w:t xml:space="preserve"> </w:t>
      </w:r>
      <w:r>
        <w:rPr>
          <w:lang w:val="en-GB"/>
        </w:rPr>
        <w:t xml:space="preserve">The learning of </w:t>
      </w:r>
      <w:r w:rsidRPr="007D6A49">
        <w:rPr>
          <w:bCs/>
          <w:lang w:val="en-GB"/>
        </w:rPr>
        <w:t>Lëtzebuergesch</w:t>
      </w:r>
      <w:r w:rsidR="00FF03E9" w:rsidRPr="00BD2DB2">
        <w:rPr>
          <w:lang w:val="en-GB"/>
        </w:rPr>
        <w:t xml:space="preserve"> </w:t>
      </w:r>
      <w:r>
        <w:rPr>
          <w:lang w:val="en-GB"/>
        </w:rPr>
        <w:t xml:space="preserve">in turn will be compulsory for all primary school pupils and for pupils in the observation cycle of the secondary. </w:t>
      </w:r>
    </w:p>
    <w:p w:rsidR="00986C4A" w:rsidRPr="00BD2DB2" w:rsidRDefault="00A90EAB" w:rsidP="002F5EB8">
      <w:pPr>
        <w:jc w:val="both"/>
        <w:rPr>
          <w:lang w:val="en-GB"/>
        </w:rPr>
      </w:pPr>
      <w:r>
        <w:rPr>
          <w:lang w:val="en-GB"/>
        </w:rPr>
        <w:t xml:space="preserve">The plan is for the first classes to start at the beginning of the 2018-2019 school year in September 2018, in particular: </w:t>
      </w:r>
      <w:r w:rsidR="00986C4A" w:rsidRPr="00BD2DB2">
        <w:rPr>
          <w:lang w:val="en-GB"/>
        </w:rPr>
        <w:t xml:space="preserve"> </w:t>
      </w:r>
    </w:p>
    <w:p w:rsidR="00986C4A" w:rsidRPr="00BD2DB2" w:rsidRDefault="00A90EAB" w:rsidP="002F5EB8">
      <w:pPr>
        <w:pStyle w:val="ListParagraph"/>
        <w:numPr>
          <w:ilvl w:val="0"/>
          <w:numId w:val="4"/>
        </w:numPr>
        <w:jc w:val="both"/>
        <w:rPr>
          <w:lang w:val="en-GB"/>
        </w:rPr>
      </w:pPr>
      <w:r>
        <w:rPr>
          <w:lang w:val="en-GB"/>
        </w:rPr>
        <w:t>three P1 classes in the primary</w:t>
      </w:r>
      <w:r w:rsidR="00986C4A" w:rsidRPr="00BD2DB2">
        <w:rPr>
          <w:lang w:val="en-GB"/>
        </w:rPr>
        <w:t>;</w:t>
      </w:r>
    </w:p>
    <w:p w:rsidR="00986C4A" w:rsidRPr="00BD2DB2" w:rsidRDefault="00A90EAB" w:rsidP="002F5EB8">
      <w:pPr>
        <w:pStyle w:val="ListParagraph"/>
        <w:numPr>
          <w:ilvl w:val="0"/>
          <w:numId w:val="4"/>
        </w:numPr>
        <w:jc w:val="both"/>
        <w:rPr>
          <w:lang w:val="en-GB"/>
        </w:rPr>
      </w:pPr>
      <w:r>
        <w:rPr>
          <w:lang w:val="en-GB"/>
        </w:rPr>
        <w:t>three</w:t>
      </w:r>
      <w:r w:rsidR="00CE523B" w:rsidRPr="00BD2DB2">
        <w:rPr>
          <w:lang w:val="en-GB"/>
        </w:rPr>
        <w:t xml:space="preserve"> </w:t>
      </w:r>
      <w:r>
        <w:rPr>
          <w:lang w:val="en-GB"/>
        </w:rPr>
        <w:t>S1 classes in the secondary</w:t>
      </w:r>
      <w:r w:rsidR="00CE523B" w:rsidRPr="00BD2DB2">
        <w:rPr>
          <w:lang w:val="en-GB"/>
        </w:rPr>
        <w:t>;</w:t>
      </w:r>
    </w:p>
    <w:p w:rsidR="00986C4A" w:rsidRPr="00BD2DB2" w:rsidRDefault="00A90EAB" w:rsidP="002F5EB8">
      <w:pPr>
        <w:pStyle w:val="ListParagraph"/>
        <w:numPr>
          <w:ilvl w:val="0"/>
          <w:numId w:val="4"/>
        </w:numPr>
        <w:jc w:val="both"/>
        <w:rPr>
          <w:lang w:val="en-GB"/>
        </w:rPr>
      </w:pPr>
      <w:r>
        <w:rPr>
          <w:lang w:val="en-GB"/>
        </w:rPr>
        <w:t>one preparatory class</w:t>
      </w:r>
      <w:r w:rsidR="00986C4A" w:rsidRPr="00BD2DB2">
        <w:rPr>
          <w:lang w:val="en-GB"/>
        </w:rPr>
        <w:t>.</w:t>
      </w:r>
    </w:p>
    <w:p w:rsidR="0096122C" w:rsidRDefault="002436A3" w:rsidP="002F5EB8">
      <w:pPr>
        <w:jc w:val="both"/>
        <w:rPr>
          <w:lang w:val="en-GB"/>
        </w:rPr>
      </w:pPr>
      <w:r>
        <w:rPr>
          <w:lang w:val="en-GB"/>
        </w:rPr>
        <w:t xml:space="preserve">Once all the planned classes have been offered, the </w:t>
      </w:r>
      <w:r w:rsidR="00986C4A" w:rsidRPr="00BD2DB2">
        <w:rPr>
          <w:lang w:val="en-GB"/>
        </w:rPr>
        <w:t xml:space="preserve">Mondorf-les-Bains </w:t>
      </w:r>
      <w:r>
        <w:rPr>
          <w:lang w:val="en-GB"/>
        </w:rPr>
        <w:t xml:space="preserve">International School </w:t>
      </w:r>
      <w:r w:rsidR="00DD4E19" w:rsidRPr="00BD2DB2">
        <w:rPr>
          <w:lang w:val="en-GB"/>
        </w:rPr>
        <w:t xml:space="preserve">– </w:t>
      </w:r>
      <w:r>
        <w:rPr>
          <w:lang w:val="en-GB"/>
        </w:rPr>
        <w:t>Accredited European School will h</w:t>
      </w:r>
      <w:r w:rsidR="0009280F">
        <w:rPr>
          <w:lang w:val="en-GB"/>
        </w:rPr>
        <w:t>ave around 1400 pupils on roll.</w:t>
      </w:r>
    </w:p>
    <w:p w:rsidR="0009280F" w:rsidRPr="00BD2DB2" w:rsidRDefault="0009280F" w:rsidP="002F5EB8">
      <w:pPr>
        <w:jc w:val="both"/>
        <w:rPr>
          <w:lang w:val="en-GB"/>
        </w:rPr>
      </w:pPr>
    </w:p>
    <w:p w:rsidR="009A6B10" w:rsidRPr="00BD2DB2" w:rsidRDefault="00041603" w:rsidP="00082919">
      <w:pPr>
        <w:pStyle w:val="Heading1"/>
        <w:jc w:val="both"/>
        <w:rPr>
          <w:lang w:val="en-GB"/>
        </w:rPr>
      </w:pPr>
      <w:bookmarkStart w:id="10" w:name="_Toc494880761"/>
      <w:r>
        <w:rPr>
          <w:lang w:val="en-GB"/>
        </w:rPr>
        <w:t xml:space="preserve">Operation of </w:t>
      </w:r>
      <w:r w:rsidR="00986C4A" w:rsidRPr="00BD2DB2">
        <w:rPr>
          <w:lang w:val="en-GB"/>
        </w:rPr>
        <w:t>Mondorf-les-Bains</w:t>
      </w:r>
      <w:r w:rsidR="00DD4E19" w:rsidRPr="00BD2DB2">
        <w:rPr>
          <w:lang w:val="en-GB"/>
        </w:rPr>
        <w:t xml:space="preserve"> </w:t>
      </w:r>
      <w:r w:rsidR="00082919">
        <w:rPr>
          <w:lang w:val="en-GB"/>
        </w:rPr>
        <w:t xml:space="preserve">International School </w:t>
      </w:r>
      <w:r w:rsidR="00DD4E19" w:rsidRPr="00BD2DB2">
        <w:rPr>
          <w:lang w:val="en-GB"/>
        </w:rPr>
        <w:t xml:space="preserve">– </w:t>
      </w:r>
      <w:r w:rsidR="00082919">
        <w:rPr>
          <w:lang w:val="en-GB"/>
        </w:rPr>
        <w:t>Accredited European School</w:t>
      </w:r>
      <w:bookmarkEnd w:id="10"/>
    </w:p>
    <w:p w:rsidR="00986C4A" w:rsidRPr="00BD2DB2" w:rsidRDefault="00986C4A" w:rsidP="00D74680">
      <w:pPr>
        <w:jc w:val="both"/>
        <w:rPr>
          <w:lang w:val="en-GB"/>
        </w:rPr>
      </w:pPr>
    </w:p>
    <w:p w:rsidR="00986C4A" w:rsidRPr="00BD2DB2" w:rsidRDefault="00041603" w:rsidP="00D74680">
      <w:pPr>
        <w:jc w:val="both"/>
        <w:rPr>
          <w:lang w:val="en-GB"/>
        </w:rPr>
      </w:pPr>
      <w:r>
        <w:rPr>
          <w:lang w:val="en-GB"/>
        </w:rPr>
        <w:t xml:space="preserve">The </w:t>
      </w:r>
      <w:r w:rsidR="00CE523B" w:rsidRPr="00BD2DB2">
        <w:rPr>
          <w:lang w:val="en-GB"/>
        </w:rPr>
        <w:t>Mondorf</w:t>
      </w:r>
      <w:r w:rsidR="00DD4E19" w:rsidRPr="00BD2DB2">
        <w:rPr>
          <w:lang w:val="en-GB"/>
        </w:rPr>
        <w:t xml:space="preserve">-les-Bains </w:t>
      </w:r>
      <w:r>
        <w:rPr>
          <w:lang w:val="en-GB"/>
        </w:rPr>
        <w:t xml:space="preserve">International School </w:t>
      </w:r>
      <w:r w:rsidR="00DD4E19" w:rsidRPr="00BD2DB2">
        <w:rPr>
          <w:lang w:val="en-GB"/>
        </w:rPr>
        <w:t xml:space="preserve">– </w:t>
      </w:r>
      <w:r>
        <w:rPr>
          <w:lang w:val="en-GB"/>
        </w:rPr>
        <w:t>Accredited European School will take as its basis the timetables and the assessment, promotion and</w:t>
      </w:r>
      <w:r w:rsidR="00CE523B" w:rsidRPr="00BD2DB2">
        <w:rPr>
          <w:lang w:val="en-GB"/>
        </w:rPr>
        <w:t xml:space="preserve"> certification</w:t>
      </w:r>
      <w:r w:rsidR="00373F4A" w:rsidRPr="00BD2DB2">
        <w:rPr>
          <w:lang w:val="en-GB"/>
        </w:rPr>
        <w:t xml:space="preserve"> </w:t>
      </w:r>
      <w:r>
        <w:rPr>
          <w:lang w:val="en-GB"/>
        </w:rPr>
        <w:t xml:space="preserve">methods of the European School system; it will participate within the </w:t>
      </w:r>
      <w:r w:rsidR="00C541D3">
        <w:rPr>
          <w:lang w:val="en-GB"/>
        </w:rPr>
        <w:t xml:space="preserve">European School network and will be subject to its quality control.  </w:t>
      </w:r>
    </w:p>
    <w:p w:rsidR="006E76F3" w:rsidRPr="00BD2DB2" w:rsidRDefault="006158D1" w:rsidP="00D74680">
      <w:pPr>
        <w:jc w:val="both"/>
        <w:rPr>
          <w:lang w:val="en-GB"/>
        </w:rPr>
      </w:pPr>
      <w:r>
        <w:rPr>
          <w:lang w:val="en-GB"/>
        </w:rPr>
        <w:t xml:space="preserve">Should the number of applicants be larger than the number of places available, admission conditions will possibly need to be foreseen.   </w:t>
      </w:r>
    </w:p>
    <w:p w:rsidR="006E76F3" w:rsidRPr="00BD2DB2" w:rsidRDefault="006158D1" w:rsidP="00D74680">
      <w:pPr>
        <w:jc w:val="both"/>
        <w:rPr>
          <w:lang w:val="en-GB"/>
        </w:rPr>
      </w:pPr>
      <w:r>
        <w:rPr>
          <w:lang w:val="en-GB"/>
        </w:rPr>
        <w:t xml:space="preserve">As far as the pedagogical freedoms provided for </w:t>
      </w:r>
      <w:r w:rsidR="0009280F">
        <w:rPr>
          <w:lang w:val="en-GB"/>
        </w:rPr>
        <w:t xml:space="preserve">by </w:t>
      </w:r>
      <w:r>
        <w:rPr>
          <w:lang w:val="en-GB"/>
        </w:rPr>
        <w:t xml:space="preserve">the accreditation regulations allow, the school will use its autonomy to incorporate aspects of Luxembourg’s language, literature, history, geography and culture into its </w:t>
      </w:r>
      <w:r w:rsidR="006E76F3" w:rsidRPr="00BD2DB2">
        <w:rPr>
          <w:lang w:val="en-GB"/>
        </w:rPr>
        <w:t>curricula.</w:t>
      </w:r>
    </w:p>
    <w:p w:rsidR="006E76F3" w:rsidRPr="00BD2DB2" w:rsidRDefault="006158D1" w:rsidP="00D74680">
      <w:pPr>
        <w:jc w:val="both"/>
        <w:rPr>
          <w:lang w:val="en-GB"/>
        </w:rPr>
      </w:pPr>
      <w:r>
        <w:rPr>
          <w:lang w:val="en-GB"/>
        </w:rPr>
        <w:t>In parallel with the European curriculum, the school will offer preparatory pathway classes to support children who, at the end of primary education, might not yet have reached the required standard of attainment in terms of basic skills to go into the observation cycle of the European schooling system.</w:t>
      </w:r>
      <w:r w:rsidR="00B560DD">
        <w:rPr>
          <w:lang w:val="en-GB"/>
        </w:rPr>
        <w:t xml:space="preserve"> The preparatory pathway will therefore aim to ensure their readiness to join an observation cycle class. </w:t>
      </w:r>
      <w:r w:rsidR="00DA080A" w:rsidRPr="00BD2DB2">
        <w:rPr>
          <w:lang w:val="en-GB"/>
        </w:rPr>
        <w:t xml:space="preserve"> </w:t>
      </w:r>
      <w:r w:rsidR="00B560DD">
        <w:rPr>
          <w:lang w:val="en-GB"/>
        </w:rPr>
        <w:t xml:space="preserve">Alternatively, pupils who are keen to learn a trade will take advantage of the workshop courses in the preparatory classes to prepare for their vocational training. </w:t>
      </w:r>
      <w:r w:rsidR="00DA080A" w:rsidRPr="00BD2DB2">
        <w:rPr>
          <w:lang w:val="en-GB"/>
        </w:rPr>
        <w:t xml:space="preserve"> </w:t>
      </w:r>
      <w:r w:rsidR="00B560DD">
        <w:rPr>
          <w:lang w:val="en-GB"/>
        </w:rPr>
        <w:t xml:space="preserve">The preparatory pathway is largely defined by Luxembourg legislation on general secondary education but will </w:t>
      </w:r>
      <w:r w:rsidR="0009280F">
        <w:rPr>
          <w:lang w:val="en-GB"/>
        </w:rPr>
        <w:t xml:space="preserve">be </w:t>
      </w:r>
      <w:r w:rsidR="00B560DD">
        <w:rPr>
          <w:lang w:val="en-GB"/>
        </w:rPr>
        <w:t xml:space="preserve">adapted, as far as the legal framework so allows, to the needs of the school and of the pupils. </w:t>
      </w:r>
      <w:r w:rsidR="00DA080A" w:rsidRPr="00BD2DB2">
        <w:rPr>
          <w:lang w:val="en-GB"/>
        </w:rPr>
        <w:t xml:space="preserve"> </w:t>
      </w:r>
    </w:p>
    <w:p w:rsidR="00041603" w:rsidRDefault="00041603" w:rsidP="00041603">
      <w:pPr>
        <w:tabs>
          <w:tab w:val="left" w:pos="6762"/>
        </w:tabs>
        <w:rPr>
          <w:lang w:val="en-GB"/>
        </w:rPr>
      </w:pPr>
      <w:r>
        <w:rPr>
          <w:lang w:val="en-GB"/>
        </w:rPr>
        <w:tab/>
      </w:r>
    </w:p>
    <w:p w:rsidR="006326B9" w:rsidRPr="00BD2DB2" w:rsidRDefault="006326B9" w:rsidP="00041603">
      <w:pPr>
        <w:tabs>
          <w:tab w:val="left" w:pos="6762"/>
        </w:tabs>
        <w:rPr>
          <w:rFonts w:asciiTheme="majorHAnsi" w:eastAsiaTheme="majorEastAsia" w:hAnsiTheme="majorHAnsi" w:cstheme="majorBidi"/>
          <w:color w:val="2E74B5" w:themeColor="accent1" w:themeShade="BF"/>
          <w:sz w:val="32"/>
          <w:szCs w:val="32"/>
          <w:lang w:val="en-GB"/>
        </w:rPr>
      </w:pPr>
      <w:r w:rsidRPr="00041603">
        <w:rPr>
          <w:lang w:val="en-GB"/>
        </w:rPr>
        <w:br w:type="page"/>
      </w:r>
    </w:p>
    <w:p w:rsidR="00986C4A" w:rsidRPr="00BD2DB2" w:rsidRDefault="00B560DD" w:rsidP="00986C4A">
      <w:pPr>
        <w:pStyle w:val="Heading1"/>
        <w:rPr>
          <w:lang w:val="en-GB"/>
        </w:rPr>
      </w:pPr>
      <w:bookmarkStart w:id="11" w:name="_Toc494880762"/>
      <w:r>
        <w:rPr>
          <w:lang w:val="en-GB"/>
        </w:rPr>
        <w:t>Supervision</w:t>
      </w:r>
      <w:r w:rsidR="006A75CE">
        <w:rPr>
          <w:lang w:val="en-GB"/>
        </w:rPr>
        <w:t>, pastoral care</w:t>
      </w:r>
      <w:r>
        <w:rPr>
          <w:lang w:val="en-GB"/>
        </w:rPr>
        <w:t xml:space="preserve"> and monitoring of pupils</w:t>
      </w:r>
      <w:bookmarkEnd w:id="11"/>
    </w:p>
    <w:p w:rsidR="00986C4A" w:rsidRPr="00BD2DB2" w:rsidRDefault="00986C4A" w:rsidP="000B6100">
      <w:pPr>
        <w:jc w:val="both"/>
        <w:rPr>
          <w:lang w:val="en-GB"/>
        </w:rPr>
      </w:pPr>
    </w:p>
    <w:p w:rsidR="00986C4A" w:rsidRPr="00BD2DB2" w:rsidRDefault="00C93067" w:rsidP="000B6100">
      <w:pPr>
        <w:jc w:val="both"/>
        <w:rPr>
          <w:lang w:val="en-GB"/>
        </w:rPr>
      </w:pPr>
      <w:r>
        <w:rPr>
          <w:lang w:val="en-GB"/>
        </w:rPr>
        <w:t xml:space="preserve">The school’s management and council, </w:t>
      </w:r>
      <w:r w:rsidR="00EF4D8B">
        <w:rPr>
          <w:lang w:val="en-GB"/>
        </w:rPr>
        <w:t xml:space="preserve">grouping together the teachers and all the members of staff, will define, by the beginning of the first school year in September 2018, a first pedagogical project which will lay the foundations of the school’s identity. It is planned first of all to provide supervision before, between and after official school hours, broadly speaking from 7.30 to 18.00. Outside lessons, this provision will essentially comprise support or follow-up courses, remediation measures and scientific, cultural, craft and sporting activities. </w:t>
      </w:r>
      <w:r w:rsidR="006A75CE">
        <w:rPr>
          <w:lang w:val="en-GB"/>
        </w:rPr>
        <w:t xml:space="preserve"> Beyond this, it is planned to encourage and to support other activities, according to the talents and interests shown by pupils. </w:t>
      </w:r>
      <w:r w:rsidR="00EF4D8B">
        <w:rPr>
          <w:lang w:val="en-GB"/>
        </w:rPr>
        <w:t xml:space="preserve"> </w:t>
      </w:r>
      <w:r w:rsidR="00792F56" w:rsidRPr="00BD2DB2">
        <w:rPr>
          <w:lang w:val="en-GB"/>
        </w:rPr>
        <w:t xml:space="preserve"> </w:t>
      </w:r>
    </w:p>
    <w:p w:rsidR="00E01B4B" w:rsidRPr="00BD2DB2" w:rsidRDefault="006A75CE" w:rsidP="000B6100">
      <w:pPr>
        <w:jc w:val="both"/>
        <w:rPr>
          <w:lang w:val="en-GB"/>
        </w:rPr>
      </w:pPr>
      <w:r>
        <w:rPr>
          <w:lang w:val="en-GB"/>
        </w:rPr>
        <w:t xml:space="preserve">An educational service, in collaboration with the teachers, will be responsible for: </w:t>
      </w:r>
    </w:p>
    <w:p w:rsidR="00792F56" w:rsidRPr="00BD2DB2" w:rsidRDefault="006A75CE" w:rsidP="000B6100">
      <w:pPr>
        <w:pStyle w:val="ListParagraph"/>
        <w:numPr>
          <w:ilvl w:val="0"/>
          <w:numId w:val="6"/>
        </w:numPr>
        <w:jc w:val="both"/>
        <w:rPr>
          <w:lang w:val="en-GB"/>
        </w:rPr>
      </w:pPr>
      <w:r>
        <w:rPr>
          <w:lang w:val="en-GB"/>
        </w:rPr>
        <w:t xml:space="preserve">supervision of pupils outside lesson hours; </w:t>
      </w:r>
    </w:p>
    <w:p w:rsidR="00E01B4B" w:rsidRPr="00BD2DB2" w:rsidRDefault="006A75CE" w:rsidP="000B6100">
      <w:pPr>
        <w:pStyle w:val="ListParagraph"/>
        <w:numPr>
          <w:ilvl w:val="0"/>
          <w:numId w:val="6"/>
        </w:numPr>
        <w:jc w:val="both"/>
        <w:rPr>
          <w:lang w:val="en-GB"/>
        </w:rPr>
      </w:pPr>
      <w:r>
        <w:rPr>
          <w:lang w:val="en-GB"/>
        </w:rPr>
        <w:t>a</w:t>
      </w:r>
      <w:r w:rsidR="00E01B4B" w:rsidRPr="00BD2DB2">
        <w:rPr>
          <w:lang w:val="en-GB"/>
        </w:rPr>
        <w:t xml:space="preserve">ssistance </w:t>
      </w:r>
      <w:r>
        <w:rPr>
          <w:lang w:val="en-GB"/>
        </w:rPr>
        <w:t xml:space="preserve">in the context of homework and possible remediation measures; </w:t>
      </w:r>
    </w:p>
    <w:p w:rsidR="00E01B4B" w:rsidRPr="00BD2DB2" w:rsidRDefault="006A75CE" w:rsidP="000B6100">
      <w:pPr>
        <w:pStyle w:val="ListParagraph"/>
        <w:numPr>
          <w:ilvl w:val="0"/>
          <w:numId w:val="6"/>
        </w:numPr>
        <w:jc w:val="both"/>
        <w:rPr>
          <w:lang w:val="en-GB"/>
        </w:rPr>
      </w:pPr>
      <w:r>
        <w:rPr>
          <w:lang w:val="en-GB"/>
        </w:rPr>
        <w:t>monitoring of pupils</w:t>
      </w:r>
      <w:r w:rsidR="00E01B4B" w:rsidRPr="00BD2DB2">
        <w:rPr>
          <w:lang w:val="en-GB"/>
        </w:rPr>
        <w:t>;</w:t>
      </w:r>
    </w:p>
    <w:p w:rsidR="00E01B4B" w:rsidRPr="00BD2DB2" w:rsidRDefault="006A75CE" w:rsidP="000B6100">
      <w:pPr>
        <w:pStyle w:val="ListParagraph"/>
        <w:numPr>
          <w:ilvl w:val="0"/>
          <w:numId w:val="6"/>
        </w:numPr>
        <w:jc w:val="both"/>
        <w:rPr>
          <w:lang w:val="en-GB"/>
        </w:rPr>
      </w:pPr>
      <w:r>
        <w:rPr>
          <w:lang w:val="en-GB"/>
        </w:rPr>
        <w:t xml:space="preserve">development of partnerships with local and regional </w:t>
      </w:r>
      <w:r w:rsidR="00020238" w:rsidRPr="00BD2DB2">
        <w:rPr>
          <w:lang w:val="en-GB"/>
        </w:rPr>
        <w:t xml:space="preserve">associations </w:t>
      </w:r>
      <w:r>
        <w:rPr>
          <w:lang w:val="en-GB"/>
        </w:rPr>
        <w:t>at the scientific, cultural, craft and sporting levels;</w:t>
      </w:r>
    </w:p>
    <w:p w:rsidR="00020238" w:rsidRPr="00BD2DB2" w:rsidRDefault="006A75CE" w:rsidP="000B6100">
      <w:pPr>
        <w:pStyle w:val="ListParagraph"/>
        <w:numPr>
          <w:ilvl w:val="0"/>
          <w:numId w:val="6"/>
        </w:numPr>
        <w:jc w:val="both"/>
        <w:rPr>
          <w:lang w:val="en-GB"/>
        </w:rPr>
      </w:pPr>
      <w:r>
        <w:rPr>
          <w:lang w:val="en-GB"/>
        </w:rPr>
        <w:t xml:space="preserve">development of partnerships with businesses in the </w:t>
      </w:r>
      <w:r w:rsidR="007207A0">
        <w:rPr>
          <w:lang w:val="en-GB"/>
        </w:rPr>
        <w:t xml:space="preserve">Greater Region with a view to entering into cooperation and to making available work experience sites and apprenticeship places; </w:t>
      </w:r>
    </w:p>
    <w:p w:rsidR="00020238" w:rsidRPr="00BD2DB2" w:rsidRDefault="00020238" w:rsidP="000B6100">
      <w:pPr>
        <w:pStyle w:val="ListParagraph"/>
        <w:numPr>
          <w:ilvl w:val="0"/>
          <w:numId w:val="6"/>
        </w:numPr>
        <w:jc w:val="both"/>
        <w:rPr>
          <w:lang w:val="en-GB"/>
        </w:rPr>
      </w:pPr>
      <w:r w:rsidRPr="00BD2DB2">
        <w:rPr>
          <w:lang w:val="en-GB"/>
        </w:rPr>
        <w:t>organis</w:t>
      </w:r>
      <w:r w:rsidR="007207A0">
        <w:rPr>
          <w:lang w:val="en-GB"/>
        </w:rPr>
        <w:t>ation and supervision of cultural and sporting activities</w:t>
      </w:r>
      <w:r w:rsidRPr="00BD2DB2">
        <w:rPr>
          <w:lang w:val="en-GB"/>
        </w:rPr>
        <w:t>;</w:t>
      </w:r>
    </w:p>
    <w:p w:rsidR="00020238" w:rsidRPr="00BD2DB2" w:rsidRDefault="007207A0" w:rsidP="000B6100">
      <w:pPr>
        <w:pStyle w:val="ListParagraph"/>
        <w:numPr>
          <w:ilvl w:val="0"/>
          <w:numId w:val="6"/>
        </w:numPr>
        <w:jc w:val="both"/>
        <w:rPr>
          <w:lang w:val="en-GB"/>
        </w:rPr>
      </w:pPr>
      <w:r>
        <w:rPr>
          <w:lang w:val="en-GB"/>
        </w:rPr>
        <w:t xml:space="preserve">lesson replacement activities; </w:t>
      </w:r>
    </w:p>
    <w:p w:rsidR="00D357AB" w:rsidRPr="00BD2DB2" w:rsidRDefault="007207A0" w:rsidP="000B6100">
      <w:pPr>
        <w:pStyle w:val="ListParagraph"/>
        <w:numPr>
          <w:ilvl w:val="0"/>
          <w:numId w:val="6"/>
        </w:numPr>
        <w:jc w:val="both"/>
        <w:rPr>
          <w:lang w:val="en-GB"/>
        </w:rPr>
      </w:pPr>
      <w:r>
        <w:rPr>
          <w:lang w:val="en-GB"/>
        </w:rPr>
        <w:t>extra-curricular activities</w:t>
      </w:r>
      <w:r w:rsidR="00D357AB" w:rsidRPr="00BD2DB2">
        <w:rPr>
          <w:lang w:val="en-GB"/>
        </w:rPr>
        <w:t>.</w:t>
      </w:r>
    </w:p>
    <w:p w:rsidR="00E01B4B" w:rsidRPr="00BD2DB2" w:rsidRDefault="00E01B4B" w:rsidP="000B6100">
      <w:pPr>
        <w:jc w:val="both"/>
        <w:rPr>
          <w:lang w:val="en-GB"/>
        </w:rPr>
      </w:pPr>
    </w:p>
    <w:p w:rsidR="00D357AB" w:rsidRPr="00BD2DB2" w:rsidRDefault="007207A0" w:rsidP="006326B9">
      <w:pPr>
        <w:rPr>
          <w:lang w:val="en-GB"/>
        </w:rPr>
      </w:pPr>
      <w:r>
        <w:rPr>
          <w:lang w:val="en-GB"/>
        </w:rPr>
        <w:t xml:space="preserve">To sum up, the plan is for the school to start up in September 2018 offering: </w:t>
      </w:r>
    </w:p>
    <w:p w:rsidR="00D357AB" w:rsidRPr="00BD2DB2" w:rsidRDefault="007207A0" w:rsidP="000B6100">
      <w:pPr>
        <w:pStyle w:val="ListParagraph"/>
        <w:numPr>
          <w:ilvl w:val="0"/>
          <w:numId w:val="7"/>
        </w:numPr>
        <w:jc w:val="both"/>
        <w:rPr>
          <w:lang w:val="en-GB"/>
        </w:rPr>
      </w:pPr>
      <w:r>
        <w:rPr>
          <w:lang w:val="en-GB"/>
        </w:rPr>
        <w:t xml:space="preserve">three first classes at the primary level, including at least one English language class; </w:t>
      </w:r>
    </w:p>
    <w:p w:rsidR="00D357AB" w:rsidRPr="00BD2DB2" w:rsidRDefault="007207A0" w:rsidP="000B6100">
      <w:pPr>
        <w:pStyle w:val="ListParagraph"/>
        <w:numPr>
          <w:ilvl w:val="0"/>
          <w:numId w:val="7"/>
        </w:numPr>
        <w:jc w:val="both"/>
        <w:rPr>
          <w:lang w:val="en-GB"/>
        </w:rPr>
      </w:pPr>
      <w:r>
        <w:rPr>
          <w:lang w:val="en-GB"/>
        </w:rPr>
        <w:t xml:space="preserve">three first classes at the secondary level, including at least one English language class and at least one German language class; </w:t>
      </w:r>
      <w:r w:rsidRPr="00BD2DB2">
        <w:rPr>
          <w:lang w:val="en-GB"/>
        </w:rPr>
        <w:t xml:space="preserve"> </w:t>
      </w:r>
    </w:p>
    <w:p w:rsidR="00D357AB" w:rsidRPr="00BD2DB2" w:rsidRDefault="007207A0" w:rsidP="000B6100">
      <w:pPr>
        <w:pStyle w:val="ListParagraph"/>
        <w:numPr>
          <w:ilvl w:val="0"/>
          <w:numId w:val="7"/>
        </w:numPr>
        <w:jc w:val="both"/>
        <w:rPr>
          <w:lang w:val="en-GB"/>
        </w:rPr>
      </w:pPr>
      <w:r>
        <w:rPr>
          <w:lang w:val="en-GB"/>
        </w:rPr>
        <w:t>one preparatory class.</w:t>
      </w:r>
      <w:r w:rsidR="00D357AB" w:rsidRPr="00BD2DB2">
        <w:rPr>
          <w:lang w:val="en-GB"/>
        </w:rPr>
        <w:t xml:space="preserve"> </w:t>
      </w:r>
    </w:p>
    <w:p w:rsidR="00D357AB" w:rsidRPr="00BD2DB2" w:rsidRDefault="00D357AB" w:rsidP="000B6100">
      <w:pPr>
        <w:jc w:val="both"/>
        <w:rPr>
          <w:lang w:val="en-GB"/>
        </w:rPr>
      </w:pPr>
    </w:p>
    <w:p w:rsidR="00D357AB" w:rsidRDefault="00257FE5" w:rsidP="000B6100">
      <w:pPr>
        <w:jc w:val="both"/>
        <w:rPr>
          <w:lang w:val="en-GB"/>
        </w:rPr>
      </w:pPr>
      <w:r>
        <w:rPr>
          <w:lang w:val="en-GB"/>
        </w:rPr>
        <w:t xml:space="preserve">The setting up of a school at </w:t>
      </w:r>
      <w:r w:rsidR="00510700" w:rsidRPr="00BD2DB2">
        <w:rPr>
          <w:lang w:val="en-GB"/>
        </w:rPr>
        <w:t>Mondorf</w:t>
      </w:r>
      <w:r w:rsidR="005068F1" w:rsidRPr="00BD2DB2">
        <w:rPr>
          <w:lang w:val="en-GB"/>
        </w:rPr>
        <w:t>,</w:t>
      </w:r>
      <w:r w:rsidR="00510700" w:rsidRPr="00BD2DB2">
        <w:rPr>
          <w:lang w:val="en-GB"/>
        </w:rPr>
        <w:t xml:space="preserve"> </w:t>
      </w:r>
      <w:r>
        <w:rPr>
          <w:lang w:val="en-GB"/>
        </w:rPr>
        <w:t xml:space="preserve">on the Accredited European School model, </w:t>
      </w:r>
      <w:r w:rsidR="0029192E">
        <w:rPr>
          <w:lang w:val="en-GB"/>
        </w:rPr>
        <w:t>will enable the Ministry of Education to meet the needs of an increasingly heterogeneous pupil population and to diversify the schooling offers landscape</w:t>
      </w:r>
      <w:r w:rsidR="0009280F">
        <w:rPr>
          <w:lang w:val="en-GB"/>
        </w:rPr>
        <w:t>,</w:t>
      </w:r>
      <w:r w:rsidR="0029192E">
        <w:rPr>
          <w:lang w:val="en-GB"/>
        </w:rPr>
        <w:t xml:space="preserve"> so as to give each pupil a real and fair chance of success, irrespective of the language spoken in his or her family. As a result, school success will be conducive to the social integration of the young people who will </w:t>
      </w:r>
      <w:r w:rsidR="00C627F6">
        <w:rPr>
          <w:lang w:val="en-GB"/>
        </w:rPr>
        <w:t>shape the future of tomorrow’s Luxembourg society and of the</w:t>
      </w:r>
      <w:r w:rsidR="00510700" w:rsidRPr="00BD2DB2">
        <w:rPr>
          <w:lang w:val="en-GB"/>
        </w:rPr>
        <w:t xml:space="preserve"> </w:t>
      </w:r>
      <w:r w:rsidR="00C627F6">
        <w:rPr>
          <w:lang w:val="en-GB"/>
        </w:rPr>
        <w:t xml:space="preserve">European Union. In the end, in the case of all who leave Luxembourg during their schooling, the new school will have given them the knowledge and skills required to continue and complete their education in a different country. </w:t>
      </w:r>
      <w:r w:rsidR="000B6100" w:rsidRPr="00BD2DB2">
        <w:rPr>
          <w:lang w:val="en-GB"/>
        </w:rPr>
        <w:t xml:space="preserve"> </w:t>
      </w:r>
      <w:bookmarkStart w:id="12" w:name="_GoBack"/>
      <w:bookmarkEnd w:id="12"/>
    </w:p>
    <w:p w:rsidR="00AF73B5" w:rsidRPr="00BD2DB2" w:rsidRDefault="00AF73B5" w:rsidP="000B6100">
      <w:pPr>
        <w:jc w:val="both"/>
        <w:rPr>
          <w:lang w:val="en-GB"/>
        </w:rPr>
      </w:pPr>
    </w:p>
    <w:p w:rsidR="00AF73B5" w:rsidRPr="005A0C05" w:rsidRDefault="00AF73B5" w:rsidP="00AF73B5">
      <w:pPr>
        <w:jc w:val="both"/>
        <w:rPr>
          <w:rFonts w:ascii="Arial" w:eastAsia="Calibri" w:hAnsi="Arial" w:cs="Arial"/>
          <w:b/>
          <w:u w:val="single"/>
          <w:lang w:val="fi-FI" w:eastAsia="fi-FI"/>
        </w:rPr>
      </w:pPr>
      <w:r>
        <w:rPr>
          <w:rFonts w:ascii="Arial" w:eastAsia="Calibri" w:hAnsi="Arial" w:cs="Arial"/>
          <w:b/>
          <w:u w:val="single"/>
          <w:lang w:val="fi-FI" w:eastAsia="fi-FI"/>
        </w:rPr>
        <w:t>OPINION OF THE JOINT BOARD OF INSPECTORS</w:t>
      </w:r>
    </w:p>
    <w:p w:rsidR="00AF73B5" w:rsidRPr="00AB765A" w:rsidRDefault="00AF73B5" w:rsidP="00AF73B5">
      <w:pPr>
        <w:spacing w:after="240" w:line="240" w:lineRule="auto"/>
        <w:jc w:val="both"/>
        <w:rPr>
          <w:rFonts w:ascii="Arial" w:eastAsia="Calibri" w:hAnsi="Arial" w:cs="Arial"/>
          <w:b/>
          <w:lang w:val="en-GB"/>
        </w:rPr>
      </w:pPr>
      <w:r w:rsidRPr="00AB765A">
        <w:rPr>
          <w:rFonts w:ascii="Arial" w:eastAsia="Calibri" w:hAnsi="Arial" w:cs="Arial"/>
          <w:b/>
          <w:lang w:val="en-GB"/>
        </w:rPr>
        <w:t xml:space="preserve">The JBI expressed a favourable opinion on the General Interest File submitted by the Luxembourg authorities concerning the request for the setting up of an Accredited European School at </w:t>
      </w:r>
      <w:r w:rsidRPr="00AB765A">
        <w:rPr>
          <w:rFonts w:ascii="Arial" w:eastAsia="Calibri" w:hAnsi="Arial" w:cs="Arial"/>
          <w:b/>
          <w:i/>
          <w:lang w:val="en-GB"/>
        </w:rPr>
        <w:t>Lycée Mondorf</w:t>
      </w:r>
      <w:r>
        <w:rPr>
          <w:rFonts w:ascii="Arial" w:eastAsia="Calibri" w:hAnsi="Arial" w:cs="Arial"/>
          <w:b/>
          <w:lang w:val="en-GB"/>
        </w:rPr>
        <w:t xml:space="preserve"> at Mondorf</w:t>
      </w:r>
      <w:r w:rsidRPr="00AB765A">
        <w:rPr>
          <w:rFonts w:ascii="Arial" w:eastAsia="Calibri" w:hAnsi="Arial" w:cs="Arial"/>
          <w:b/>
          <w:lang w:val="en-GB"/>
        </w:rPr>
        <w:t xml:space="preserve"> (GD of Luxembourg).</w:t>
      </w:r>
    </w:p>
    <w:p w:rsidR="00AF73B5" w:rsidRPr="00AB765A" w:rsidRDefault="00AF73B5" w:rsidP="00AF73B5">
      <w:pPr>
        <w:spacing w:after="120" w:line="240" w:lineRule="auto"/>
        <w:jc w:val="both"/>
        <w:rPr>
          <w:rFonts w:ascii="Arial" w:eastAsia="Calibri" w:hAnsi="Arial" w:cs="Arial"/>
          <w:b/>
          <w:lang w:val="en-GB"/>
        </w:rPr>
      </w:pPr>
      <w:r w:rsidRPr="00AB765A">
        <w:rPr>
          <w:rFonts w:ascii="Arial" w:eastAsia="Calibri" w:hAnsi="Arial" w:cs="Arial"/>
          <w:b/>
          <w:lang w:val="en-GB"/>
        </w:rPr>
        <w:t xml:space="preserve">The JBI considered that this File met the requirements of the first stage of the accreditation process defined at Mondorf in April 2005 and recommended that the BoG should approve it. </w:t>
      </w:r>
    </w:p>
    <w:p w:rsidR="00D357AB" w:rsidRPr="00BD2DB2" w:rsidRDefault="00D357AB" w:rsidP="000B6100">
      <w:pPr>
        <w:jc w:val="both"/>
        <w:rPr>
          <w:lang w:val="en-GB"/>
        </w:rPr>
      </w:pPr>
    </w:p>
    <w:sectPr w:rsidR="00D357AB" w:rsidRPr="00BD2DB2" w:rsidSect="000462B4">
      <w:footerReference w:type="default" r:id="rId1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FF" w:rsidRDefault="009824FF" w:rsidP="00E50BB6">
      <w:pPr>
        <w:spacing w:after="0" w:line="240" w:lineRule="auto"/>
      </w:pPr>
      <w:r>
        <w:separator/>
      </w:r>
    </w:p>
  </w:endnote>
  <w:endnote w:type="continuationSeparator" w:id="0">
    <w:p w:rsidR="009824FF" w:rsidRDefault="009824FF" w:rsidP="00E5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9"/>
      <w:gridCol w:w="3210"/>
    </w:tblGrid>
    <w:tr w:rsidR="00C17C19" w:rsidRPr="00B560DD" w:rsidTr="00E50BB6">
      <w:tc>
        <w:tcPr>
          <w:tcW w:w="6419" w:type="dxa"/>
        </w:tcPr>
        <w:p w:rsidR="00C17C19" w:rsidRPr="00B560DD" w:rsidRDefault="00AF73B5">
          <w:pPr>
            <w:pStyle w:val="Footer"/>
            <w:rPr>
              <w:sz w:val="18"/>
              <w:szCs w:val="18"/>
              <w:lang w:val="en-GB"/>
            </w:rPr>
          </w:pPr>
          <w:r>
            <w:rPr>
              <w:sz w:val="18"/>
              <w:szCs w:val="18"/>
              <w:lang w:val="en-GB"/>
            </w:rPr>
            <w:t>2017-09-D-42-en-2</w:t>
          </w:r>
        </w:p>
      </w:tc>
      <w:tc>
        <w:tcPr>
          <w:tcW w:w="3210" w:type="dxa"/>
        </w:tcPr>
        <w:p w:rsidR="00C17C19" w:rsidRPr="00B560DD" w:rsidRDefault="00C17C19" w:rsidP="00E50BB6">
          <w:pPr>
            <w:pStyle w:val="Footer"/>
            <w:jc w:val="right"/>
            <w:rPr>
              <w:sz w:val="18"/>
              <w:szCs w:val="18"/>
              <w:lang w:val="en-GB"/>
            </w:rPr>
          </w:pPr>
          <w:r w:rsidRPr="00B560DD">
            <w:rPr>
              <w:sz w:val="18"/>
              <w:szCs w:val="18"/>
              <w:lang w:val="en-GB"/>
            </w:rPr>
            <w:t xml:space="preserve">Page </w:t>
          </w:r>
          <w:r w:rsidRPr="00B560DD">
            <w:rPr>
              <w:sz w:val="18"/>
              <w:szCs w:val="18"/>
              <w:lang w:val="en-GB"/>
            </w:rPr>
            <w:fldChar w:fldCharType="begin"/>
          </w:r>
          <w:r w:rsidRPr="00B560DD">
            <w:rPr>
              <w:sz w:val="18"/>
              <w:szCs w:val="18"/>
              <w:lang w:val="en-GB"/>
            </w:rPr>
            <w:instrText xml:space="preserve"> PAGE  \* Arabic  \* MERGEFORMAT </w:instrText>
          </w:r>
          <w:r w:rsidRPr="00B560DD">
            <w:rPr>
              <w:sz w:val="18"/>
              <w:szCs w:val="18"/>
              <w:lang w:val="en-GB"/>
            </w:rPr>
            <w:fldChar w:fldCharType="separate"/>
          </w:r>
          <w:r w:rsidR="00AF73B5">
            <w:rPr>
              <w:noProof/>
              <w:sz w:val="18"/>
              <w:szCs w:val="18"/>
              <w:lang w:val="en-GB"/>
            </w:rPr>
            <w:t>15</w:t>
          </w:r>
          <w:r w:rsidRPr="00B560DD">
            <w:rPr>
              <w:sz w:val="18"/>
              <w:szCs w:val="18"/>
              <w:lang w:val="en-GB"/>
            </w:rPr>
            <w:fldChar w:fldCharType="end"/>
          </w:r>
          <w:r w:rsidRPr="00B560DD">
            <w:rPr>
              <w:sz w:val="18"/>
              <w:szCs w:val="18"/>
              <w:lang w:val="en-GB"/>
            </w:rPr>
            <w:t xml:space="preserve"> of </w:t>
          </w:r>
          <w:fldSimple w:instr=" NUMPAGES  \* Arabic  \* MERGEFORMAT ">
            <w:r w:rsidR="00AF73B5" w:rsidRPr="00AF73B5">
              <w:rPr>
                <w:noProof/>
                <w:sz w:val="18"/>
                <w:szCs w:val="18"/>
                <w:lang w:val="en-GB"/>
              </w:rPr>
              <w:t>15</w:t>
            </w:r>
          </w:fldSimple>
        </w:p>
      </w:tc>
    </w:tr>
  </w:tbl>
  <w:p w:rsidR="00C17C19" w:rsidRPr="00B560DD" w:rsidRDefault="00C17C19">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FF" w:rsidRDefault="009824FF" w:rsidP="00E50BB6">
      <w:pPr>
        <w:spacing w:after="0" w:line="240" w:lineRule="auto"/>
      </w:pPr>
      <w:r>
        <w:separator/>
      </w:r>
    </w:p>
  </w:footnote>
  <w:footnote w:type="continuationSeparator" w:id="0">
    <w:p w:rsidR="009824FF" w:rsidRDefault="009824FF" w:rsidP="00E50BB6">
      <w:pPr>
        <w:spacing w:after="0" w:line="240" w:lineRule="auto"/>
      </w:pPr>
      <w:r>
        <w:continuationSeparator/>
      </w:r>
    </w:p>
  </w:footnote>
  <w:footnote w:id="1">
    <w:p w:rsidR="00C17C19" w:rsidRPr="00814926" w:rsidRDefault="00C17C19" w:rsidP="0089307D">
      <w:pPr>
        <w:pStyle w:val="FootnoteText"/>
        <w:jc w:val="both"/>
        <w:rPr>
          <w:lang w:val="en-GB"/>
        </w:rPr>
      </w:pPr>
      <w:r>
        <w:rPr>
          <w:rStyle w:val="FootnoteReference"/>
        </w:rPr>
        <w:footnoteRef/>
      </w:r>
      <w:r w:rsidRPr="00AF73B5">
        <w:t xml:space="preserve"> </w:t>
      </w:r>
      <w:r w:rsidRPr="00814926">
        <w:rPr>
          <w:lang w:val="en-GB"/>
        </w:rPr>
        <w:t>For pupils i</w:t>
      </w:r>
      <w:r>
        <w:rPr>
          <w:lang w:val="en-GB"/>
        </w:rPr>
        <w:t>n national secondary education, the figures for whom are shown in the following table, the relative position of</w:t>
      </w:r>
      <w:r w:rsidRPr="00814926">
        <w:rPr>
          <w:lang w:val="en-GB"/>
        </w:rPr>
        <w:t xml:space="preserve"> </w:t>
      </w:r>
      <w:r w:rsidRPr="00814926">
        <w:rPr>
          <w:bCs/>
          <w:lang w:val="en-GB"/>
        </w:rPr>
        <w:t>Lëtzebuergesch</w:t>
      </w:r>
      <w:r>
        <w:rPr>
          <w:lang w:val="en-GB"/>
        </w:rPr>
        <w:t xml:space="preserve"> remains higher in percentage terms</w:t>
      </w:r>
      <w:r w:rsidRPr="00814926">
        <w:rPr>
          <w:lang w:val="en-GB"/>
        </w:rPr>
        <w:t xml:space="preserve">, </w:t>
      </w:r>
      <w:r>
        <w:rPr>
          <w:lang w:val="en-GB"/>
        </w:rPr>
        <w:t>but is also subject to steady decline.</w:t>
      </w:r>
    </w:p>
  </w:footnote>
  <w:footnote w:id="2">
    <w:p w:rsidR="00C17C19" w:rsidRPr="00814926" w:rsidRDefault="00C17C19" w:rsidP="0089307D">
      <w:pPr>
        <w:pStyle w:val="FootnoteText"/>
        <w:jc w:val="both"/>
        <w:rPr>
          <w:lang w:val="en-GB"/>
        </w:rPr>
      </w:pPr>
      <w:r w:rsidRPr="00814926">
        <w:rPr>
          <w:rStyle w:val="FootnoteReference"/>
          <w:lang w:val="en-GB"/>
        </w:rPr>
        <w:footnoteRef/>
      </w:r>
      <w:r>
        <w:rPr>
          <w:lang w:val="en-GB"/>
        </w:rPr>
        <w:t xml:space="preserve"> The figure does not include the 618 pupils enrolled in 2015-2016 in the international programmes offered in Luxembourg </w:t>
      </w:r>
      <w:r w:rsidRPr="00D54D3D">
        <w:rPr>
          <w:i/>
          <w:lang w:val="en-GB"/>
        </w:rPr>
        <w:t>Lycées</w:t>
      </w:r>
      <w:r>
        <w:rPr>
          <w:lang w:val="en-GB"/>
        </w:rPr>
        <w:t>.</w:t>
      </w:r>
      <w:r w:rsidRPr="00814926">
        <w:rPr>
          <w:lang w:val="en-GB"/>
        </w:rPr>
        <w:t xml:space="preserve"> </w:t>
      </w:r>
    </w:p>
  </w:footnote>
  <w:footnote w:id="3">
    <w:p w:rsidR="00C17C19" w:rsidRPr="0027562E" w:rsidRDefault="00C17C19" w:rsidP="0089307D">
      <w:pPr>
        <w:pStyle w:val="FootnoteText"/>
        <w:jc w:val="both"/>
        <w:rPr>
          <w:lang w:val="lb-LU"/>
        </w:rPr>
      </w:pPr>
      <w:r w:rsidRPr="00814926">
        <w:rPr>
          <w:rStyle w:val="FootnoteReference"/>
          <w:lang w:val="en-GB"/>
        </w:rPr>
        <w:footnoteRef/>
      </w:r>
      <w:r w:rsidRPr="00814926">
        <w:rPr>
          <w:lang w:val="en-GB"/>
        </w:rPr>
        <w:t xml:space="preserve"> </w:t>
      </w:r>
      <w:r>
        <w:rPr>
          <w:lang w:val="en-GB"/>
        </w:rPr>
        <w:t xml:space="preserve">The figure does not include the 623 pupils enrolled in 2016-2017 in the international programmes offered in Luxembourg </w:t>
      </w:r>
      <w:r w:rsidRPr="00D54D3D">
        <w:rPr>
          <w:i/>
          <w:lang w:val="en-GB"/>
        </w:rPr>
        <w:t>Lycées</w:t>
      </w:r>
      <w:r>
        <w:rPr>
          <w:lang w:val="en-GB"/>
        </w:rPr>
        <w:t>.</w:t>
      </w:r>
      <w:r w:rsidRPr="00814926">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7A1"/>
    <w:multiLevelType w:val="hybridMultilevel"/>
    <w:tmpl w:val="08AC1ADE"/>
    <w:lvl w:ilvl="0" w:tplc="DA10264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94BA6"/>
    <w:multiLevelType w:val="hybridMultilevel"/>
    <w:tmpl w:val="811EEA10"/>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 w15:restartNumberingAfterBreak="0">
    <w:nsid w:val="1DFB69C8"/>
    <w:multiLevelType w:val="hybridMultilevel"/>
    <w:tmpl w:val="C9204E54"/>
    <w:lvl w:ilvl="0" w:tplc="DA10264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81072"/>
    <w:multiLevelType w:val="hybridMultilevel"/>
    <w:tmpl w:val="3A12532C"/>
    <w:lvl w:ilvl="0" w:tplc="DA10264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77166"/>
    <w:multiLevelType w:val="hybridMultilevel"/>
    <w:tmpl w:val="E43C7966"/>
    <w:lvl w:ilvl="0" w:tplc="B9F8DC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2119C"/>
    <w:multiLevelType w:val="hybridMultilevel"/>
    <w:tmpl w:val="940CFC84"/>
    <w:lvl w:ilvl="0" w:tplc="DA10264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F6AFD"/>
    <w:multiLevelType w:val="hybridMultilevel"/>
    <w:tmpl w:val="80F255CE"/>
    <w:lvl w:ilvl="0" w:tplc="DA10264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749"/>
    <w:multiLevelType w:val="hybridMultilevel"/>
    <w:tmpl w:val="72E2DEEC"/>
    <w:lvl w:ilvl="0" w:tplc="DA10264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ctiveWritingStyle w:appName="MSWord" w:lang="fr-BE" w:vendorID="64" w:dllVersion="131078" w:nlCheck="1" w:checkStyle="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38EC"/>
    <w:rsid w:val="00011BB9"/>
    <w:rsid w:val="00020238"/>
    <w:rsid w:val="00037BE7"/>
    <w:rsid w:val="000400A2"/>
    <w:rsid w:val="00041603"/>
    <w:rsid w:val="00041CB9"/>
    <w:rsid w:val="0004314F"/>
    <w:rsid w:val="000448BC"/>
    <w:rsid w:val="000462B4"/>
    <w:rsid w:val="000475D0"/>
    <w:rsid w:val="00067A9E"/>
    <w:rsid w:val="00082919"/>
    <w:rsid w:val="00084C17"/>
    <w:rsid w:val="00087B88"/>
    <w:rsid w:val="0009055C"/>
    <w:rsid w:val="0009280F"/>
    <w:rsid w:val="000B6100"/>
    <w:rsid w:val="000B7CCC"/>
    <w:rsid w:val="000D1646"/>
    <w:rsid w:val="000D1722"/>
    <w:rsid w:val="000D4A1C"/>
    <w:rsid w:val="000F2DD9"/>
    <w:rsid w:val="00102D85"/>
    <w:rsid w:val="001116F1"/>
    <w:rsid w:val="00113B54"/>
    <w:rsid w:val="0012039B"/>
    <w:rsid w:val="0012516B"/>
    <w:rsid w:val="001304C9"/>
    <w:rsid w:val="00177096"/>
    <w:rsid w:val="00177AF0"/>
    <w:rsid w:val="001A5549"/>
    <w:rsid w:val="001B64F3"/>
    <w:rsid w:val="001B682E"/>
    <w:rsid w:val="001B7ECF"/>
    <w:rsid w:val="001C4B5F"/>
    <w:rsid w:val="001D63CD"/>
    <w:rsid w:val="001E6201"/>
    <w:rsid w:val="0020038D"/>
    <w:rsid w:val="00235465"/>
    <w:rsid w:val="002436A3"/>
    <w:rsid w:val="00257FE5"/>
    <w:rsid w:val="0027562E"/>
    <w:rsid w:val="0027684C"/>
    <w:rsid w:val="00280461"/>
    <w:rsid w:val="00280717"/>
    <w:rsid w:val="0029192E"/>
    <w:rsid w:val="002C01B0"/>
    <w:rsid w:val="002D0871"/>
    <w:rsid w:val="002E2961"/>
    <w:rsid w:val="002E4510"/>
    <w:rsid w:val="002F5EB8"/>
    <w:rsid w:val="00363D21"/>
    <w:rsid w:val="00367156"/>
    <w:rsid w:val="00370D0C"/>
    <w:rsid w:val="00373F4A"/>
    <w:rsid w:val="00393512"/>
    <w:rsid w:val="003A0A28"/>
    <w:rsid w:val="003A5413"/>
    <w:rsid w:val="003A6347"/>
    <w:rsid w:val="003E4870"/>
    <w:rsid w:val="003E4CA1"/>
    <w:rsid w:val="003F0248"/>
    <w:rsid w:val="003F0641"/>
    <w:rsid w:val="00410E15"/>
    <w:rsid w:val="00411160"/>
    <w:rsid w:val="00422B22"/>
    <w:rsid w:val="004338EC"/>
    <w:rsid w:val="0043585D"/>
    <w:rsid w:val="00440442"/>
    <w:rsid w:val="0044764C"/>
    <w:rsid w:val="004514C8"/>
    <w:rsid w:val="004531D6"/>
    <w:rsid w:val="00460DB5"/>
    <w:rsid w:val="004857CA"/>
    <w:rsid w:val="00491193"/>
    <w:rsid w:val="004B11AE"/>
    <w:rsid w:val="004C2E31"/>
    <w:rsid w:val="004C6DE3"/>
    <w:rsid w:val="004C747B"/>
    <w:rsid w:val="004D6FD9"/>
    <w:rsid w:val="004E185E"/>
    <w:rsid w:val="005068F1"/>
    <w:rsid w:val="00510700"/>
    <w:rsid w:val="00513C26"/>
    <w:rsid w:val="00552F5D"/>
    <w:rsid w:val="00555BF1"/>
    <w:rsid w:val="00570E25"/>
    <w:rsid w:val="005770AF"/>
    <w:rsid w:val="005902D0"/>
    <w:rsid w:val="005A29A1"/>
    <w:rsid w:val="005A3E29"/>
    <w:rsid w:val="005A4A9B"/>
    <w:rsid w:val="005B65AC"/>
    <w:rsid w:val="005E2AC8"/>
    <w:rsid w:val="005E7984"/>
    <w:rsid w:val="0060016D"/>
    <w:rsid w:val="0060251D"/>
    <w:rsid w:val="006158D1"/>
    <w:rsid w:val="00623438"/>
    <w:rsid w:val="006318EF"/>
    <w:rsid w:val="006320A9"/>
    <w:rsid w:val="006326B9"/>
    <w:rsid w:val="00632777"/>
    <w:rsid w:val="00660ABB"/>
    <w:rsid w:val="006762E7"/>
    <w:rsid w:val="006A01DB"/>
    <w:rsid w:val="006A6DB0"/>
    <w:rsid w:val="006A75CE"/>
    <w:rsid w:val="006B363A"/>
    <w:rsid w:val="006C49BB"/>
    <w:rsid w:val="006E76F3"/>
    <w:rsid w:val="007207A0"/>
    <w:rsid w:val="00727ECD"/>
    <w:rsid w:val="00760AD6"/>
    <w:rsid w:val="0076737E"/>
    <w:rsid w:val="00792F56"/>
    <w:rsid w:val="007A13C6"/>
    <w:rsid w:val="007D0F32"/>
    <w:rsid w:val="007D6A49"/>
    <w:rsid w:val="007D7D26"/>
    <w:rsid w:val="007F1BAD"/>
    <w:rsid w:val="008136F1"/>
    <w:rsid w:val="00814926"/>
    <w:rsid w:val="00822EE8"/>
    <w:rsid w:val="008266A5"/>
    <w:rsid w:val="00830221"/>
    <w:rsid w:val="00844D3B"/>
    <w:rsid w:val="008527AD"/>
    <w:rsid w:val="00854E6E"/>
    <w:rsid w:val="0086608A"/>
    <w:rsid w:val="008841A8"/>
    <w:rsid w:val="0089307D"/>
    <w:rsid w:val="008942A9"/>
    <w:rsid w:val="008A6E29"/>
    <w:rsid w:val="008C1EE5"/>
    <w:rsid w:val="008C740A"/>
    <w:rsid w:val="008E6571"/>
    <w:rsid w:val="008F4ABF"/>
    <w:rsid w:val="00905EE9"/>
    <w:rsid w:val="0091798A"/>
    <w:rsid w:val="00941B83"/>
    <w:rsid w:val="00951A7C"/>
    <w:rsid w:val="009546C4"/>
    <w:rsid w:val="00955EE7"/>
    <w:rsid w:val="0096122C"/>
    <w:rsid w:val="00967919"/>
    <w:rsid w:val="00977877"/>
    <w:rsid w:val="009824FF"/>
    <w:rsid w:val="00986C4A"/>
    <w:rsid w:val="009A2A4C"/>
    <w:rsid w:val="009A6B10"/>
    <w:rsid w:val="009B1331"/>
    <w:rsid w:val="009D505F"/>
    <w:rsid w:val="00A017EB"/>
    <w:rsid w:val="00A05CF9"/>
    <w:rsid w:val="00A14DE0"/>
    <w:rsid w:val="00A410B7"/>
    <w:rsid w:val="00A56F7A"/>
    <w:rsid w:val="00A90EAB"/>
    <w:rsid w:val="00A97420"/>
    <w:rsid w:val="00AD04B4"/>
    <w:rsid w:val="00AE33C1"/>
    <w:rsid w:val="00AE66E1"/>
    <w:rsid w:val="00AE7668"/>
    <w:rsid w:val="00AF73B5"/>
    <w:rsid w:val="00B04F1C"/>
    <w:rsid w:val="00B144EF"/>
    <w:rsid w:val="00B421CE"/>
    <w:rsid w:val="00B5539E"/>
    <w:rsid w:val="00B560DD"/>
    <w:rsid w:val="00BB1509"/>
    <w:rsid w:val="00BC0B01"/>
    <w:rsid w:val="00BD1F13"/>
    <w:rsid w:val="00BD2DB2"/>
    <w:rsid w:val="00C10350"/>
    <w:rsid w:val="00C17C19"/>
    <w:rsid w:val="00C252A4"/>
    <w:rsid w:val="00C401AF"/>
    <w:rsid w:val="00C4647B"/>
    <w:rsid w:val="00C541D3"/>
    <w:rsid w:val="00C627F6"/>
    <w:rsid w:val="00C67A58"/>
    <w:rsid w:val="00C93067"/>
    <w:rsid w:val="00C97571"/>
    <w:rsid w:val="00CB5B90"/>
    <w:rsid w:val="00CE00B2"/>
    <w:rsid w:val="00CE4FF4"/>
    <w:rsid w:val="00CE523B"/>
    <w:rsid w:val="00CF2433"/>
    <w:rsid w:val="00CF6219"/>
    <w:rsid w:val="00D13FB2"/>
    <w:rsid w:val="00D23F2D"/>
    <w:rsid w:val="00D31512"/>
    <w:rsid w:val="00D357AB"/>
    <w:rsid w:val="00D538ED"/>
    <w:rsid w:val="00D54D3D"/>
    <w:rsid w:val="00D60DB7"/>
    <w:rsid w:val="00D651F3"/>
    <w:rsid w:val="00D74680"/>
    <w:rsid w:val="00D8011F"/>
    <w:rsid w:val="00DA080A"/>
    <w:rsid w:val="00DA0BDD"/>
    <w:rsid w:val="00DC15A7"/>
    <w:rsid w:val="00DC2EE6"/>
    <w:rsid w:val="00DC5FED"/>
    <w:rsid w:val="00DD4E19"/>
    <w:rsid w:val="00DD6ED1"/>
    <w:rsid w:val="00DE041E"/>
    <w:rsid w:val="00DF233C"/>
    <w:rsid w:val="00E01B4B"/>
    <w:rsid w:val="00E13DD4"/>
    <w:rsid w:val="00E263D9"/>
    <w:rsid w:val="00E273EE"/>
    <w:rsid w:val="00E32FDF"/>
    <w:rsid w:val="00E50BB6"/>
    <w:rsid w:val="00E54BD9"/>
    <w:rsid w:val="00E67BFE"/>
    <w:rsid w:val="00E85B33"/>
    <w:rsid w:val="00EB1489"/>
    <w:rsid w:val="00EC679E"/>
    <w:rsid w:val="00ED7557"/>
    <w:rsid w:val="00EE065C"/>
    <w:rsid w:val="00EF4D8B"/>
    <w:rsid w:val="00EF5A58"/>
    <w:rsid w:val="00F150AA"/>
    <w:rsid w:val="00F41717"/>
    <w:rsid w:val="00F90FA9"/>
    <w:rsid w:val="00F9284D"/>
    <w:rsid w:val="00F92F0E"/>
    <w:rsid w:val="00FA31E8"/>
    <w:rsid w:val="00FB1EDD"/>
    <w:rsid w:val="00FB507E"/>
    <w:rsid w:val="00FB606E"/>
    <w:rsid w:val="00FD481E"/>
    <w:rsid w:val="00FD5E08"/>
    <w:rsid w:val="00FD606F"/>
    <w:rsid w:val="00FD6132"/>
    <w:rsid w:val="00FD7CB7"/>
    <w:rsid w:val="00FF03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9DE4"/>
  <w15:docId w15:val="{76D8B546-5966-4208-A185-B11888D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D9"/>
  </w:style>
  <w:style w:type="paragraph" w:styleId="Heading1">
    <w:name w:val="heading 1"/>
    <w:basedOn w:val="Normal"/>
    <w:next w:val="Normal"/>
    <w:link w:val="Heading1Char"/>
    <w:uiPriority w:val="9"/>
    <w:qFormat/>
    <w:rsid w:val="00660A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8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A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40442"/>
    <w:pPr>
      <w:ind w:left="720"/>
      <w:contextualSpacing/>
    </w:pPr>
  </w:style>
  <w:style w:type="table" w:styleId="TableGrid">
    <w:name w:val="Table Grid"/>
    <w:basedOn w:val="TableNormal"/>
    <w:uiPriority w:val="39"/>
    <w:rsid w:val="001B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B6"/>
  </w:style>
  <w:style w:type="paragraph" w:styleId="Footer">
    <w:name w:val="footer"/>
    <w:basedOn w:val="Normal"/>
    <w:link w:val="FooterChar"/>
    <w:uiPriority w:val="99"/>
    <w:unhideWhenUsed/>
    <w:rsid w:val="00E50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B6"/>
  </w:style>
  <w:style w:type="character" w:customStyle="1" w:styleId="Heading2Char">
    <w:name w:val="Heading 2 Char"/>
    <w:basedOn w:val="DefaultParagraphFont"/>
    <w:link w:val="Heading2"/>
    <w:uiPriority w:val="9"/>
    <w:rsid w:val="0097787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55B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BF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55BF1"/>
    <w:pPr>
      <w:outlineLvl w:val="9"/>
    </w:pPr>
  </w:style>
  <w:style w:type="paragraph" w:styleId="TOC1">
    <w:name w:val="toc 1"/>
    <w:basedOn w:val="Normal"/>
    <w:next w:val="Normal"/>
    <w:autoRedefine/>
    <w:uiPriority w:val="39"/>
    <w:unhideWhenUsed/>
    <w:rsid w:val="00555BF1"/>
    <w:pPr>
      <w:spacing w:after="100"/>
    </w:pPr>
  </w:style>
  <w:style w:type="paragraph" w:styleId="TOC2">
    <w:name w:val="toc 2"/>
    <w:basedOn w:val="Normal"/>
    <w:next w:val="Normal"/>
    <w:autoRedefine/>
    <w:uiPriority w:val="39"/>
    <w:unhideWhenUsed/>
    <w:rsid w:val="00555BF1"/>
    <w:pPr>
      <w:spacing w:after="100"/>
      <w:ind w:left="220"/>
    </w:pPr>
  </w:style>
  <w:style w:type="character" w:styleId="Hyperlink">
    <w:name w:val="Hyperlink"/>
    <w:basedOn w:val="DefaultParagraphFont"/>
    <w:uiPriority w:val="99"/>
    <w:unhideWhenUsed/>
    <w:rsid w:val="00555BF1"/>
    <w:rPr>
      <w:color w:val="0563C1" w:themeColor="hyperlink"/>
      <w:u w:val="single"/>
    </w:rPr>
  </w:style>
  <w:style w:type="paragraph" w:styleId="BalloonText">
    <w:name w:val="Balloon Text"/>
    <w:basedOn w:val="Normal"/>
    <w:link w:val="BalloonTextChar"/>
    <w:uiPriority w:val="99"/>
    <w:semiHidden/>
    <w:unhideWhenUsed/>
    <w:rsid w:val="00435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85D"/>
    <w:rPr>
      <w:rFonts w:ascii="Segoe UI" w:hAnsi="Segoe UI" w:cs="Segoe UI"/>
      <w:sz w:val="18"/>
      <w:szCs w:val="18"/>
    </w:rPr>
  </w:style>
  <w:style w:type="paragraph" w:styleId="FootnoteText">
    <w:name w:val="footnote text"/>
    <w:basedOn w:val="Normal"/>
    <w:link w:val="FootnoteTextChar"/>
    <w:uiPriority w:val="99"/>
    <w:semiHidden/>
    <w:unhideWhenUsed/>
    <w:rsid w:val="00275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62E"/>
    <w:rPr>
      <w:sz w:val="20"/>
      <w:szCs w:val="20"/>
    </w:rPr>
  </w:style>
  <w:style w:type="character" w:styleId="FootnoteReference">
    <w:name w:val="footnote reference"/>
    <w:basedOn w:val="DefaultParagraphFont"/>
    <w:uiPriority w:val="99"/>
    <w:semiHidden/>
    <w:unhideWhenUsed/>
    <w:rsid w:val="0027562E"/>
    <w:rPr>
      <w:vertAlign w:val="superscript"/>
    </w:rPr>
  </w:style>
  <w:style w:type="character" w:styleId="FollowedHyperlink">
    <w:name w:val="FollowedHyperlink"/>
    <w:basedOn w:val="DefaultParagraphFont"/>
    <w:uiPriority w:val="99"/>
    <w:semiHidden/>
    <w:unhideWhenUsed/>
    <w:rsid w:val="0060251D"/>
    <w:rPr>
      <w:color w:val="954F72" w:themeColor="followedHyperlink"/>
      <w:u w:val="single"/>
    </w:rPr>
  </w:style>
  <w:style w:type="character" w:customStyle="1" w:styleId="Bodytext">
    <w:name w:val="Body text_"/>
    <w:basedOn w:val="DefaultParagraphFont"/>
    <w:link w:val="BodyText1"/>
    <w:rsid w:val="00BD2DB2"/>
    <w:rPr>
      <w:rFonts w:ascii="Arial Unicode MS" w:eastAsia="Arial Unicode MS" w:hAnsi="Arial Unicode MS" w:cs="Arial Unicode MS"/>
      <w:spacing w:val="2"/>
      <w:sz w:val="19"/>
      <w:szCs w:val="19"/>
      <w:shd w:val="clear" w:color="auto" w:fill="FFFFFF"/>
    </w:rPr>
  </w:style>
  <w:style w:type="paragraph" w:customStyle="1" w:styleId="BodyText1">
    <w:name w:val="Body Text1"/>
    <w:basedOn w:val="Normal"/>
    <w:link w:val="Bodytext"/>
    <w:rsid w:val="00BD2DB2"/>
    <w:pPr>
      <w:widowControl w:val="0"/>
      <w:shd w:val="clear" w:color="auto" w:fill="FFFFFF"/>
      <w:spacing w:after="0" w:line="0" w:lineRule="atLeast"/>
    </w:pPr>
    <w:rPr>
      <w:rFonts w:ascii="Arial Unicode MS" w:eastAsia="Arial Unicode MS" w:hAnsi="Arial Unicode MS" w:cs="Arial Unicode MS"/>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62011">
      <w:bodyDiv w:val="1"/>
      <w:marLeft w:val="0"/>
      <w:marRight w:val="0"/>
      <w:marTop w:val="0"/>
      <w:marBottom w:val="0"/>
      <w:divBdr>
        <w:top w:val="none" w:sz="0" w:space="0" w:color="auto"/>
        <w:left w:val="none" w:sz="0" w:space="0" w:color="auto"/>
        <w:bottom w:val="none" w:sz="0" w:space="0" w:color="auto"/>
        <w:right w:val="none" w:sz="0" w:space="0" w:color="auto"/>
      </w:divBdr>
      <w:divsChild>
        <w:div w:id="1335379322">
          <w:marLeft w:val="0"/>
          <w:marRight w:val="0"/>
          <w:marTop w:val="0"/>
          <w:marBottom w:val="0"/>
          <w:divBdr>
            <w:top w:val="none" w:sz="0" w:space="0" w:color="auto"/>
            <w:left w:val="none" w:sz="0" w:space="0" w:color="auto"/>
            <w:bottom w:val="none" w:sz="0" w:space="0" w:color="auto"/>
            <w:right w:val="none" w:sz="0" w:space="0" w:color="auto"/>
          </w:divBdr>
        </w:div>
        <w:div w:id="2015567675">
          <w:marLeft w:val="0"/>
          <w:marRight w:val="0"/>
          <w:marTop w:val="0"/>
          <w:marBottom w:val="0"/>
          <w:divBdr>
            <w:top w:val="none" w:sz="0" w:space="0" w:color="auto"/>
            <w:left w:val="none" w:sz="0" w:space="0" w:color="auto"/>
            <w:bottom w:val="none" w:sz="0" w:space="0" w:color="auto"/>
            <w:right w:val="none" w:sz="0" w:space="0" w:color="auto"/>
          </w:divBdr>
        </w:div>
        <w:div w:id="628896579">
          <w:marLeft w:val="0"/>
          <w:marRight w:val="0"/>
          <w:marTop w:val="0"/>
          <w:marBottom w:val="0"/>
          <w:divBdr>
            <w:top w:val="none" w:sz="0" w:space="0" w:color="auto"/>
            <w:left w:val="none" w:sz="0" w:space="0" w:color="auto"/>
            <w:bottom w:val="none" w:sz="0" w:space="0" w:color="auto"/>
            <w:right w:val="none" w:sz="0" w:space="0" w:color="auto"/>
          </w:divBdr>
        </w:div>
        <w:div w:id="726997435">
          <w:marLeft w:val="0"/>
          <w:marRight w:val="0"/>
          <w:marTop w:val="0"/>
          <w:marBottom w:val="0"/>
          <w:divBdr>
            <w:top w:val="none" w:sz="0" w:space="0" w:color="auto"/>
            <w:left w:val="none" w:sz="0" w:space="0" w:color="auto"/>
            <w:bottom w:val="none" w:sz="0" w:space="0" w:color="auto"/>
            <w:right w:val="none" w:sz="0" w:space="0" w:color="auto"/>
          </w:divBdr>
        </w:div>
      </w:divsChild>
    </w:div>
    <w:div w:id="18065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viane.rhein@men.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DF09483508441A229934B2D3D82F1" ma:contentTypeVersion="6" ma:contentTypeDescription="Create a new document." ma:contentTypeScope="" ma:versionID="74b2dafe59a4b88aad30e9ff7be5ed1b">
  <xsd:schema xmlns:xsd="http://www.w3.org/2001/XMLSchema" xmlns:xs="http://www.w3.org/2001/XMLSchema" xmlns:p="http://schemas.microsoft.com/office/2006/metadata/properties" xmlns:ns2="b59995d7-0af2-4976-b403-f80acb60c6cb" xmlns:ns3="3f477334-6d05-42d8-97fa-5c99fd7f1007" targetNamespace="http://schemas.microsoft.com/office/2006/metadata/properties" ma:root="true" ma:fieldsID="1feab36d5411aeb093a00606b0b29b7c" ns2:_="" ns3:_="">
    <xsd:import namespace="b59995d7-0af2-4976-b403-f80acb60c6cb"/>
    <xsd:import namespace="3f477334-6d05-42d8-97fa-5c99fd7f10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995d7-0af2-4976-b403-f80acb60c6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77334-6d05-42d8-97fa-5c99fd7f10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7A1F-21F8-495C-B784-713FFA1F39D9}">
  <ds:schemaRefs>
    <ds:schemaRef ds:uri="http://schemas.microsoft.com/office/2006/documentManagement/types"/>
    <ds:schemaRef ds:uri="b59995d7-0af2-4976-b403-f80acb60c6cb"/>
    <ds:schemaRef ds:uri="http://purl.org/dc/elements/1.1/"/>
    <ds:schemaRef ds:uri="http://schemas.openxmlformats.org/package/2006/metadata/core-properties"/>
    <ds:schemaRef ds:uri="http://schemas.microsoft.com/office/infopath/2007/PartnerControls"/>
    <ds:schemaRef ds:uri="http://purl.org/dc/terms/"/>
    <ds:schemaRef ds:uri="3f477334-6d05-42d8-97fa-5c99fd7f10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6B38DD-3A83-4DD0-9ED9-D6C80B54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995d7-0af2-4976-b403-f80acb60c6cb"/>
    <ds:schemaRef ds:uri="3f477334-6d05-42d8-97fa-5c99fd7f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792BF-30A7-4FE2-AE65-86D85F19EB45}">
  <ds:schemaRefs>
    <ds:schemaRef ds:uri="http://schemas.microsoft.com/sharepoint/v3/contenttype/forms"/>
  </ds:schemaRefs>
</ds:datastoreItem>
</file>

<file path=customXml/itemProps4.xml><?xml version="1.0" encoding="utf-8"?>
<ds:datastoreItem xmlns:ds="http://schemas.openxmlformats.org/officeDocument/2006/customXml" ds:itemID="{B18A9006-428B-4234-964D-806357DD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4328</Words>
  <Characters>24670</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interêt général-à approuver par le CS</dc:title>
  <dc:creator>Camille WEYRICH</dc:creator>
  <cp:lastModifiedBy>DAFOS Wayra (OSG)</cp:lastModifiedBy>
  <cp:revision>2</cp:revision>
  <cp:lastPrinted>2017-10-04T08:25:00Z</cp:lastPrinted>
  <dcterms:created xsi:type="dcterms:W3CDTF">2017-11-20T13:42:00Z</dcterms:created>
  <dcterms:modified xsi:type="dcterms:W3CDTF">2017-11-20T13:42:00Z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0x010100EBFDF09483508441A229934B2D3D82F1</vt:lpwstr>
  </property>
</Properties>
</file>