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Ind w:w="8" w:type="dxa"/>
        <w:tblLayout w:type="fixed"/>
        <w:tblCellMar>
          <w:left w:w="0" w:type="dxa"/>
          <w:right w:w="0" w:type="dxa"/>
        </w:tblCellMar>
        <w:tblLook w:val="0000" w:firstRow="0" w:lastRow="0" w:firstColumn="0" w:lastColumn="0" w:noHBand="0" w:noVBand="0"/>
      </w:tblPr>
      <w:tblGrid>
        <w:gridCol w:w="5103"/>
        <w:gridCol w:w="4366"/>
      </w:tblGrid>
      <w:tr w:rsidR="0033745C" w:rsidRPr="005A1483" w:rsidTr="00597C4F">
        <w:trPr>
          <w:trHeight w:val="1440"/>
        </w:trPr>
        <w:tc>
          <w:tcPr>
            <w:tcW w:w="5103" w:type="dxa"/>
          </w:tcPr>
          <w:p w:rsidR="0033745C" w:rsidRPr="005A1483" w:rsidRDefault="00B77881" w:rsidP="00597C4F">
            <w:pPr>
              <w:rPr>
                <w:rFonts w:cs="Arial"/>
                <w:sz w:val="24"/>
                <w:szCs w:val="24"/>
                <w:lang w:val="en-GB"/>
              </w:rPr>
            </w:pPr>
            <w:r>
              <w:rPr>
                <w:rFonts w:cs="Arial"/>
                <w:noProof/>
                <w:sz w:val="24"/>
                <w:szCs w:val="24"/>
                <w:lang w:val="en-GB"/>
              </w:rPr>
              <w:object w:dxaOrig="1440" w:dyaOrig="1440" w14:anchorId="203F2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5pt;margin-top:5.7pt;width:242.95pt;height:66.15pt;z-index:251659264;mso-wrap-distance-left:9.05pt;mso-wrap-distance-right:9.05pt" filled="t">
                  <v:fill color2="black"/>
                  <v:imagedata r:id="rId8" o:title=""/>
                  <w10:wrap type="topAndBottom"/>
                </v:shape>
                <o:OLEObject Type="Embed" ProgID="Microsoft" ShapeID="_x0000_s1026" DrawAspect="Content" ObjectID="_1551852677" r:id="rId9"/>
              </w:object>
            </w:r>
          </w:p>
        </w:tc>
        <w:tc>
          <w:tcPr>
            <w:tcW w:w="4366" w:type="dxa"/>
          </w:tcPr>
          <w:p w:rsidR="0033745C" w:rsidRPr="005A1483" w:rsidRDefault="0033745C" w:rsidP="00597C4F">
            <w:pPr>
              <w:pStyle w:val="ZCom"/>
              <w:rPr>
                <w:rFonts w:cs="Arial"/>
                <w:b/>
                <w:color w:val="0000FF"/>
                <w:szCs w:val="24"/>
                <w:lang w:val="en-GB"/>
              </w:rPr>
            </w:pPr>
            <w:r w:rsidRPr="005A1483">
              <w:rPr>
                <w:rFonts w:cs="Arial"/>
                <w:b/>
                <w:color w:val="0000FF"/>
                <w:szCs w:val="24"/>
                <w:lang w:val="en-GB"/>
              </w:rPr>
              <w:t>European Schools</w:t>
            </w:r>
          </w:p>
          <w:p w:rsidR="0033745C" w:rsidRPr="005A1483" w:rsidRDefault="0033745C" w:rsidP="00597C4F">
            <w:pPr>
              <w:pStyle w:val="ZDGName"/>
              <w:rPr>
                <w:rFonts w:cs="Arial"/>
                <w:color w:val="0000FF"/>
                <w:sz w:val="24"/>
                <w:szCs w:val="24"/>
                <w:lang w:val="en-GB"/>
              </w:rPr>
            </w:pPr>
            <w:r w:rsidRPr="005A1483">
              <w:rPr>
                <w:rFonts w:cs="Arial"/>
                <w:color w:val="0000FF"/>
                <w:sz w:val="24"/>
                <w:szCs w:val="24"/>
                <w:lang w:val="en-GB"/>
              </w:rPr>
              <w:t>Office of the Secretary-General</w:t>
            </w:r>
          </w:p>
          <w:p w:rsidR="0033745C" w:rsidRPr="005A1483" w:rsidRDefault="0033745C" w:rsidP="00597C4F">
            <w:pPr>
              <w:pStyle w:val="ZDGName"/>
              <w:rPr>
                <w:rFonts w:cs="Arial"/>
                <w:color w:val="0000FF"/>
                <w:sz w:val="24"/>
                <w:szCs w:val="24"/>
                <w:lang w:val="en-GB"/>
              </w:rPr>
            </w:pPr>
          </w:p>
          <w:p w:rsidR="0033745C" w:rsidRPr="005A1483" w:rsidRDefault="0033745C" w:rsidP="00597C4F">
            <w:pPr>
              <w:pStyle w:val="ZDGName"/>
              <w:rPr>
                <w:rFonts w:cs="Arial"/>
                <w:color w:val="0000FF"/>
                <w:sz w:val="24"/>
                <w:szCs w:val="24"/>
                <w:lang w:val="en-GB"/>
              </w:rPr>
            </w:pPr>
          </w:p>
          <w:p w:rsidR="0033745C" w:rsidRPr="005A1483" w:rsidRDefault="00C367F8" w:rsidP="00597C4F">
            <w:pPr>
              <w:pStyle w:val="ZDGName"/>
              <w:rPr>
                <w:rFonts w:cs="Arial"/>
                <w:color w:val="0000FF"/>
                <w:sz w:val="24"/>
                <w:szCs w:val="24"/>
                <w:lang w:val="en-GB"/>
              </w:rPr>
            </w:pPr>
            <w:r>
              <w:rPr>
                <w:rFonts w:cs="Arial"/>
                <w:color w:val="0000FF"/>
                <w:sz w:val="24"/>
                <w:szCs w:val="24"/>
                <w:lang w:val="en-GB"/>
              </w:rPr>
              <w:t>Accountancy Unit</w:t>
            </w:r>
          </w:p>
          <w:p w:rsidR="0033745C" w:rsidRPr="005A1483" w:rsidRDefault="0033745C" w:rsidP="00597C4F">
            <w:pPr>
              <w:pStyle w:val="ZDGName"/>
              <w:rPr>
                <w:rFonts w:cs="Arial"/>
                <w:sz w:val="24"/>
                <w:szCs w:val="24"/>
                <w:lang w:val="en-GB"/>
              </w:rPr>
            </w:pPr>
          </w:p>
        </w:tc>
      </w:tr>
    </w:tbl>
    <w:p w:rsidR="0033745C" w:rsidRPr="005A1483" w:rsidRDefault="0033745C" w:rsidP="0033745C">
      <w:pPr>
        <w:pStyle w:val="References"/>
        <w:rPr>
          <w:sz w:val="24"/>
          <w:szCs w:val="24"/>
          <w:lang w:val="en-GB"/>
        </w:rPr>
      </w:pPr>
      <w:r w:rsidRPr="005A1483">
        <w:rPr>
          <w:sz w:val="24"/>
          <w:szCs w:val="24"/>
          <w:lang w:val="en-GB"/>
        </w:rPr>
        <w:t>Ref.: 201</w:t>
      </w:r>
      <w:r w:rsidR="00E631FF">
        <w:rPr>
          <w:sz w:val="24"/>
          <w:szCs w:val="24"/>
          <w:lang w:val="en-GB"/>
        </w:rPr>
        <w:t>7-02-D-24-en-2</w:t>
      </w:r>
    </w:p>
    <w:p w:rsidR="0033745C" w:rsidRPr="005A1483" w:rsidRDefault="0033745C" w:rsidP="0033745C">
      <w:pPr>
        <w:pStyle w:val="References"/>
        <w:rPr>
          <w:sz w:val="24"/>
          <w:szCs w:val="24"/>
          <w:lang w:val="en-GB"/>
        </w:rPr>
      </w:pPr>
      <w:r>
        <w:rPr>
          <w:sz w:val="24"/>
          <w:szCs w:val="24"/>
          <w:lang w:val="en-GB"/>
        </w:rPr>
        <w:t>Original</w:t>
      </w:r>
      <w:r w:rsidR="00C367F8">
        <w:rPr>
          <w:sz w:val="24"/>
          <w:szCs w:val="24"/>
          <w:lang w:val="en-GB"/>
        </w:rPr>
        <w:t>: EN</w:t>
      </w:r>
    </w:p>
    <w:p w:rsidR="0033745C" w:rsidRPr="00D1704D" w:rsidRDefault="00662A6C" w:rsidP="0033745C">
      <w:pPr>
        <w:pStyle w:val="DocumentTitle"/>
        <w:rPr>
          <w:lang w:val="en-GB"/>
        </w:rPr>
      </w:pPr>
      <w:r>
        <w:rPr>
          <w:lang w:val="en-GB"/>
        </w:rPr>
        <w:t>AMENDING BUDGET 1/2017</w:t>
      </w:r>
    </w:p>
    <w:p w:rsidR="0033745C" w:rsidRPr="00E631FF" w:rsidRDefault="00E631FF" w:rsidP="0033745C">
      <w:pPr>
        <w:spacing w:after="0"/>
        <w:rPr>
          <w:rFonts w:ascii="Arial" w:eastAsia="Times" w:hAnsi="Arial" w:cs="Arial"/>
          <w:b/>
          <w:sz w:val="24"/>
          <w:lang w:val="en-GB" w:eastAsia="fr-BE"/>
        </w:rPr>
      </w:pPr>
      <w:r w:rsidRPr="00E631FF">
        <w:rPr>
          <w:rFonts w:ascii="Arial" w:eastAsia="Times" w:hAnsi="Arial" w:cs="Arial"/>
          <w:b/>
          <w:sz w:val="24"/>
          <w:lang w:val="en-GB" w:eastAsia="fr-BE"/>
        </w:rPr>
        <w:t>Board of Governors</w:t>
      </w:r>
    </w:p>
    <w:p w:rsidR="0033745C" w:rsidRDefault="0033745C" w:rsidP="0033745C">
      <w:pPr>
        <w:spacing w:after="0"/>
        <w:rPr>
          <w:rFonts w:eastAsia="Times"/>
          <w:sz w:val="24"/>
          <w:lang w:val="en-GB" w:eastAsia="fr-BE"/>
        </w:rPr>
      </w:pPr>
    </w:p>
    <w:p w:rsidR="0033745C" w:rsidRDefault="0033745C" w:rsidP="0033745C">
      <w:pPr>
        <w:spacing w:after="0"/>
        <w:rPr>
          <w:rFonts w:eastAsia="Times"/>
          <w:sz w:val="24"/>
          <w:lang w:val="en-GB" w:eastAsia="fr-BE"/>
        </w:rPr>
      </w:pPr>
    </w:p>
    <w:p w:rsidR="0033745C" w:rsidRDefault="0033745C" w:rsidP="0033745C">
      <w:pPr>
        <w:spacing w:after="0"/>
        <w:rPr>
          <w:rFonts w:eastAsia="Times"/>
          <w:sz w:val="24"/>
          <w:lang w:val="en-GB" w:eastAsia="fr-BE"/>
        </w:rPr>
      </w:pPr>
    </w:p>
    <w:p w:rsidR="0033745C" w:rsidRPr="00E631FF" w:rsidRDefault="0033745C" w:rsidP="0033745C">
      <w:pPr>
        <w:pBdr>
          <w:bottom w:val="single" w:sz="4" w:space="0" w:color="auto"/>
        </w:pBdr>
        <w:spacing w:after="0"/>
        <w:rPr>
          <w:rFonts w:ascii="Arial" w:hAnsi="Arial" w:cs="Arial"/>
          <w:sz w:val="28"/>
          <w:szCs w:val="28"/>
          <w:lang w:val="en-GB" w:eastAsia="de-AT"/>
        </w:rPr>
      </w:pPr>
      <w:r w:rsidRPr="00E631FF">
        <w:rPr>
          <w:rFonts w:ascii="Arial" w:eastAsia="Times" w:hAnsi="Arial" w:cs="Arial"/>
          <w:sz w:val="24"/>
          <w:lang w:val="en-GB" w:eastAsia="fr-BE"/>
        </w:rPr>
        <w:t xml:space="preserve">Meeting on </w:t>
      </w:r>
      <w:r w:rsidR="00E631FF">
        <w:rPr>
          <w:rFonts w:ascii="Arial" w:eastAsia="Times" w:hAnsi="Arial" w:cs="Arial"/>
          <w:sz w:val="24"/>
          <w:lang w:val="en-GB" w:eastAsia="fr-BE"/>
        </w:rPr>
        <w:t>4</w:t>
      </w:r>
      <w:proofErr w:type="gramStart"/>
      <w:r w:rsidR="00E631FF">
        <w:rPr>
          <w:rFonts w:ascii="Arial" w:eastAsia="Times" w:hAnsi="Arial" w:cs="Arial"/>
          <w:sz w:val="24"/>
          <w:lang w:val="en-GB" w:eastAsia="fr-BE"/>
        </w:rPr>
        <w:t>,5</w:t>
      </w:r>
      <w:proofErr w:type="gramEnd"/>
      <w:r w:rsidR="00E631FF">
        <w:rPr>
          <w:rFonts w:ascii="Arial" w:eastAsia="Times" w:hAnsi="Arial" w:cs="Arial"/>
          <w:sz w:val="24"/>
          <w:lang w:val="en-GB" w:eastAsia="fr-BE"/>
        </w:rPr>
        <w:t>-6</w:t>
      </w:r>
      <w:r w:rsidRPr="00E631FF">
        <w:rPr>
          <w:rFonts w:ascii="Arial" w:eastAsia="Times" w:hAnsi="Arial" w:cs="Arial"/>
          <w:sz w:val="24"/>
          <w:lang w:val="en-GB" w:eastAsia="fr-BE"/>
        </w:rPr>
        <w:t xml:space="preserve"> </w:t>
      </w:r>
      <w:r w:rsidR="00E631FF">
        <w:rPr>
          <w:rFonts w:ascii="Arial" w:eastAsia="Times" w:hAnsi="Arial" w:cs="Arial"/>
          <w:sz w:val="24"/>
          <w:lang w:val="en-GB" w:eastAsia="fr-BE"/>
        </w:rPr>
        <w:t>April</w:t>
      </w:r>
      <w:r w:rsidRPr="00E631FF">
        <w:rPr>
          <w:rFonts w:ascii="Arial" w:eastAsia="Times" w:hAnsi="Arial" w:cs="Arial"/>
          <w:sz w:val="24"/>
          <w:lang w:val="en-GB" w:eastAsia="fr-BE"/>
        </w:rPr>
        <w:t xml:space="preserve"> 2017 </w:t>
      </w:r>
      <w:r w:rsidR="00E631FF">
        <w:rPr>
          <w:rFonts w:ascii="Arial" w:eastAsia="Times" w:hAnsi="Arial" w:cs="Arial"/>
          <w:sz w:val="24"/>
          <w:szCs w:val="24"/>
          <w:lang w:eastAsia="da-DK"/>
        </w:rPr>
        <w:t>– Berlin</w:t>
      </w:r>
    </w:p>
    <w:p w:rsidR="0033745C" w:rsidRPr="00384D25" w:rsidRDefault="0033745C" w:rsidP="0033745C">
      <w:pPr>
        <w:spacing w:after="0"/>
        <w:rPr>
          <w:rFonts w:cs="Arial"/>
          <w:b/>
          <w:bCs/>
          <w:sz w:val="24"/>
          <w:szCs w:val="24"/>
          <w:lang w:val="en-GB" w:eastAsia="de-AT"/>
        </w:rPr>
      </w:pPr>
    </w:p>
    <w:p w:rsidR="005660E1" w:rsidRPr="0033745C" w:rsidRDefault="005660E1" w:rsidP="00EC76A8">
      <w:pPr>
        <w:pStyle w:val="Default"/>
        <w:rPr>
          <w:bCs/>
          <w:sz w:val="22"/>
          <w:szCs w:val="22"/>
          <w:lang w:val="en-GB"/>
        </w:rPr>
      </w:pPr>
    </w:p>
    <w:p w:rsidR="005660E1" w:rsidRPr="005660E1" w:rsidRDefault="005660E1" w:rsidP="00EC76A8">
      <w:pPr>
        <w:pStyle w:val="Default"/>
        <w:rPr>
          <w:bCs/>
          <w:sz w:val="22"/>
          <w:szCs w:val="22"/>
        </w:rPr>
      </w:pPr>
    </w:p>
    <w:p w:rsidR="005660E1" w:rsidRPr="005660E1" w:rsidRDefault="005660E1" w:rsidP="00EC76A8">
      <w:pPr>
        <w:pStyle w:val="Default"/>
        <w:rPr>
          <w:bCs/>
          <w:sz w:val="22"/>
          <w:szCs w:val="22"/>
        </w:rPr>
      </w:pPr>
    </w:p>
    <w:p w:rsidR="005660E1" w:rsidRPr="005660E1" w:rsidRDefault="005660E1" w:rsidP="00EC76A8">
      <w:pPr>
        <w:pStyle w:val="Default"/>
        <w:rPr>
          <w:bCs/>
          <w:sz w:val="22"/>
          <w:szCs w:val="22"/>
        </w:rPr>
      </w:pPr>
    </w:p>
    <w:p w:rsidR="005660E1" w:rsidRDefault="005660E1" w:rsidP="00EC76A8">
      <w:pPr>
        <w:pStyle w:val="Default"/>
        <w:rPr>
          <w:b/>
          <w:bCs/>
          <w:sz w:val="36"/>
          <w:szCs w:val="22"/>
        </w:rPr>
        <w:sectPr w:rsidR="005660E1">
          <w:footerReference w:type="default" r:id="rId10"/>
          <w:pgSz w:w="12240" w:h="15840"/>
          <w:pgMar w:top="1440" w:right="1440" w:bottom="1440" w:left="1440" w:header="708" w:footer="708" w:gutter="0"/>
          <w:cols w:space="708"/>
          <w:docGrid w:linePitch="360"/>
        </w:sectPr>
      </w:pPr>
    </w:p>
    <w:p w:rsidR="00C367F8" w:rsidRPr="00662A6C" w:rsidRDefault="00C367F8" w:rsidP="00C367F8">
      <w:pPr>
        <w:jc w:val="both"/>
      </w:pPr>
    </w:p>
    <w:p w:rsidR="00C367F8" w:rsidRPr="00E631FF" w:rsidRDefault="00C367F8" w:rsidP="00C367F8">
      <w:pPr>
        <w:pStyle w:val="ListParagraph"/>
        <w:numPr>
          <w:ilvl w:val="0"/>
          <w:numId w:val="21"/>
        </w:numPr>
        <w:jc w:val="both"/>
        <w:rPr>
          <w:rFonts w:ascii="Arial" w:hAnsi="Arial" w:cs="Arial"/>
          <w:b/>
          <w:sz w:val="24"/>
          <w:szCs w:val="24"/>
          <w:lang w:val="fr-BE"/>
        </w:rPr>
      </w:pPr>
      <w:r w:rsidRPr="00E631FF">
        <w:rPr>
          <w:rFonts w:ascii="Arial" w:hAnsi="Arial" w:cs="Arial"/>
          <w:b/>
          <w:sz w:val="24"/>
          <w:szCs w:val="24"/>
          <w:lang w:val="fr-BE"/>
        </w:rPr>
        <w:t>Background</w:t>
      </w:r>
    </w:p>
    <w:p w:rsidR="00C367F8" w:rsidRPr="00C367F8" w:rsidRDefault="00C367F8" w:rsidP="00C367F8">
      <w:pPr>
        <w:pStyle w:val="ListParagraph"/>
        <w:jc w:val="both"/>
        <w:rPr>
          <w:rFonts w:ascii="Arial" w:hAnsi="Arial" w:cs="Arial"/>
          <w:b/>
          <w:lang w:val="fr-BE"/>
        </w:rPr>
      </w:pPr>
    </w:p>
    <w:p w:rsidR="00C367F8" w:rsidRPr="00C367F8" w:rsidRDefault="00C367F8" w:rsidP="00C367F8">
      <w:pPr>
        <w:pStyle w:val="ListParagraph"/>
        <w:jc w:val="both"/>
        <w:rPr>
          <w:rFonts w:ascii="Arial" w:hAnsi="Arial" w:cs="Arial"/>
        </w:rPr>
      </w:pPr>
      <w:r w:rsidRPr="00C367F8">
        <w:rPr>
          <w:rFonts w:ascii="Arial" w:hAnsi="Arial" w:cs="Arial"/>
        </w:rPr>
        <w:t xml:space="preserve">The Financial Regulation of the European Schools (Art. 15.1) stipulates that </w:t>
      </w:r>
      <w:proofErr w:type="gramStart"/>
      <w:r w:rsidRPr="00C367F8">
        <w:rPr>
          <w:rFonts w:ascii="Arial" w:hAnsi="Arial" w:cs="Arial"/>
        </w:rPr>
        <w:t>“ In</w:t>
      </w:r>
      <w:proofErr w:type="gramEnd"/>
      <w:r w:rsidRPr="00C367F8">
        <w:rPr>
          <w:rFonts w:ascii="Arial" w:hAnsi="Arial" w:cs="Arial"/>
        </w:rPr>
        <w:t xml:space="preserve"> the event of unavoidable, exceptional or unforeseen circumstances, the Secretary General may submit preliminary draft amending budgets”. </w:t>
      </w:r>
    </w:p>
    <w:p w:rsidR="00C367F8" w:rsidRPr="00C367F8" w:rsidRDefault="00C367F8" w:rsidP="00C367F8">
      <w:pPr>
        <w:pStyle w:val="ListParagraph"/>
        <w:jc w:val="both"/>
        <w:rPr>
          <w:rFonts w:ascii="Arial" w:hAnsi="Arial" w:cs="Arial"/>
        </w:rPr>
      </w:pPr>
    </w:p>
    <w:p w:rsidR="00C367F8" w:rsidRPr="00C367F8" w:rsidRDefault="00C367F8" w:rsidP="00C367F8">
      <w:pPr>
        <w:pStyle w:val="ListParagraph"/>
        <w:jc w:val="both"/>
        <w:rPr>
          <w:rFonts w:ascii="Arial" w:hAnsi="Arial" w:cs="Arial"/>
        </w:rPr>
      </w:pPr>
      <w:r w:rsidRPr="00C367F8">
        <w:rPr>
          <w:rFonts w:ascii="Arial" w:hAnsi="Arial" w:cs="Arial"/>
        </w:rPr>
        <w:t>The W</w:t>
      </w:r>
      <w:r w:rsidR="004D4AA1">
        <w:rPr>
          <w:rFonts w:ascii="Arial" w:hAnsi="Arial" w:cs="Arial"/>
        </w:rPr>
        <w:t xml:space="preserve">orking </w:t>
      </w:r>
      <w:r w:rsidRPr="00C367F8">
        <w:rPr>
          <w:rFonts w:ascii="Arial" w:hAnsi="Arial" w:cs="Arial"/>
        </w:rPr>
        <w:t>G</w:t>
      </w:r>
      <w:r w:rsidR="004D4AA1">
        <w:rPr>
          <w:rFonts w:ascii="Arial" w:hAnsi="Arial" w:cs="Arial"/>
        </w:rPr>
        <w:t>roup</w:t>
      </w:r>
      <w:r w:rsidRPr="00C367F8">
        <w:rPr>
          <w:rFonts w:ascii="Arial" w:hAnsi="Arial" w:cs="Arial"/>
        </w:rPr>
        <w:t xml:space="preserve"> “Financial Regulation”</w:t>
      </w:r>
      <w:r w:rsidR="004D4AA1">
        <w:rPr>
          <w:rFonts w:ascii="Arial" w:hAnsi="Arial" w:cs="Arial"/>
        </w:rPr>
        <w:t xml:space="preserve">, which was </w:t>
      </w:r>
      <w:r w:rsidRPr="00C367F8">
        <w:rPr>
          <w:rFonts w:ascii="Arial" w:hAnsi="Arial" w:cs="Arial"/>
        </w:rPr>
        <w:t>set up by the Board of Governors</w:t>
      </w:r>
      <w:r w:rsidR="004D4AA1">
        <w:rPr>
          <w:rFonts w:ascii="Arial" w:hAnsi="Arial" w:cs="Arial"/>
        </w:rPr>
        <w:t>,</w:t>
      </w:r>
      <w:r w:rsidRPr="00C367F8">
        <w:rPr>
          <w:rFonts w:ascii="Arial" w:hAnsi="Arial" w:cs="Arial"/>
        </w:rPr>
        <w:t xml:space="preserve"> has submitted a </w:t>
      </w:r>
      <w:r w:rsidR="004D4AA1">
        <w:rPr>
          <w:rFonts w:ascii="Arial" w:hAnsi="Arial" w:cs="Arial"/>
        </w:rPr>
        <w:t xml:space="preserve">proposal for </w:t>
      </w:r>
      <w:r w:rsidRPr="00C367F8">
        <w:rPr>
          <w:rFonts w:ascii="Arial" w:hAnsi="Arial" w:cs="Arial"/>
        </w:rPr>
        <w:t>revision of the Financial Regulation to the Secretary General. This proposal</w:t>
      </w:r>
      <w:r w:rsidR="004D4AA1">
        <w:rPr>
          <w:rFonts w:ascii="Arial" w:hAnsi="Arial" w:cs="Arial"/>
        </w:rPr>
        <w:t xml:space="preserve"> includes a new model of financial governance for the European Schools and was discussed </w:t>
      </w:r>
      <w:proofErr w:type="gramStart"/>
      <w:r w:rsidR="004D4AA1">
        <w:rPr>
          <w:rFonts w:ascii="Arial" w:hAnsi="Arial" w:cs="Arial"/>
        </w:rPr>
        <w:t xml:space="preserve">by </w:t>
      </w:r>
      <w:r w:rsidRPr="00C367F8">
        <w:rPr>
          <w:rFonts w:ascii="Arial" w:hAnsi="Arial" w:cs="Arial"/>
        </w:rPr>
        <w:t xml:space="preserve"> the</w:t>
      </w:r>
      <w:proofErr w:type="gramEnd"/>
      <w:r w:rsidRPr="00C367F8">
        <w:rPr>
          <w:rFonts w:ascii="Arial" w:hAnsi="Arial" w:cs="Arial"/>
        </w:rPr>
        <w:t xml:space="preserve"> Budgetary Committee</w:t>
      </w:r>
      <w:r w:rsidR="004D4AA1">
        <w:rPr>
          <w:rFonts w:ascii="Arial" w:hAnsi="Arial" w:cs="Arial"/>
        </w:rPr>
        <w:t xml:space="preserve">. </w:t>
      </w:r>
      <w:r w:rsidRPr="00C367F8">
        <w:rPr>
          <w:rFonts w:ascii="Arial" w:hAnsi="Arial" w:cs="Arial"/>
        </w:rPr>
        <w:t xml:space="preserve">. Accordingly, in the </w:t>
      </w:r>
      <w:proofErr w:type="gramStart"/>
      <w:r w:rsidRPr="00C367F8">
        <w:rPr>
          <w:rFonts w:ascii="Arial" w:hAnsi="Arial" w:cs="Arial"/>
        </w:rPr>
        <w:t>long run</w:t>
      </w:r>
      <w:proofErr w:type="gramEnd"/>
      <w:r w:rsidRPr="00C367F8">
        <w:rPr>
          <w:rFonts w:ascii="Arial" w:hAnsi="Arial" w:cs="Arial"/>
        </w:rPr>
        <w:t xml:space="preserve"> the current system of one Authorizing Officer by school would be replaced by one Authorizing Officer for the entire European School system. Similarly, one Accounting Officer would replace the existing fifteen accounting officers. </w:t>
      </w:r>
    </w:p>
    <w:p w:rsidR="00C367F8" w:rsidRPr="00C367F8" w:rsidRDefault="00C367F8" w:rsidP="00C367F8">
      <w:pPr>
        <w:pStyle w:val="ListParagraph"/>
        <w:jc w:val="both"/>
        <w:rPr>
          <w:rFonts w:ascii="Arial" w:hAnsi="Arial" w:cs="Arial"/>
        </w:rPr>
      </w:pPr>
    </w:p>
    <w:p w:rsidR="00C367F8" w:rsidRPr="00C367F8" w:rsidRDefault="00C367F8" w:rsidP="00C367F8">
      <w:pPr>
        <w:pStyle w:val="ListParagraph"/>
        <w:jc w:val="both"/>
        <w:rPr>
          <w:rFonts w:ascii="Arial" w:hAnsi="Arial" w:cs="Arial"/>
        </w:rPr>
      </w:pPr>
      <w:r w:rsidRPr="00C367F8">
        <w:rPr>
          <w:rFonts w:ascii="Arial" w:hAnsi="Arial" w:cs="Arial"/>
        </w:rPr>
        <w:t xml:space="preserve">The centralization process of both functions will begin as soon as the Board of Governors approves this fundamental review of the Financial Regulation and </w:t>
      </w:r>
      <w:proofErr w:type="gramStart"/>
      <w:r w:rsidRPr="00C367F8">
        <w:rPr>
          <w:rFonts w:ascii="Arial" w:hAnsi="Arial" w:cs="Arial"/>
        </w:rPr>
        <w:t>should be concluded</w:t>
      </w:r>
      <w:proofErr w:type="gramEnd"/>
      <w:r w:rsidRPr="00C367F8">
        <w:rPr>
          <w:rFonts w:ascii="Arial" w:hAnsi="Arial" w:cs="Arial"/>
        </w:rPr>
        <w:t xml:space="preserve"> by 1 January 2020. The successful implementation of this new model of financial governance will require an investment already starting in 2017. </w:t>
      </w:r>
    </w:p>
    <w:p w:rsidR="00C367F8" w:rsidRPr="00C367F8" w:rsidRDefault="00C367F8" w:rsidP="00C367F8">
      <w:pPr>
        <w:pStyle w:val="ListParagraph"/>
        <w:jc w:val="both"/>
        <w:rPr>
          <w:rFonts w:ascii="Arial" w:hAnsi="Arial" w:cs="Arial"/>
        </w:rPr>
      </w:pPr>
      <w:r w:rsidRPr="00C367F8">
        <w:rPr>
          <w:rFonts w:ascii="Arial" w:hAnsi="Arial" w:cs="Arial"/>
        </w:rPr>
        <w:t xml:space="preserve"> </w:t>
      </w:r>
    </w:p>
    <w:p w:rsidR="00C367F8" w:rsidRPr="00E631FF" w:rsidRDefault="00C367F8" w:rsidP="00C367F8">
      <w:pPr>
        <w:pStyle w:val="ListParagraph"/>
        <w:numPr>
          <w:ilvl w:val="0"/>
          <w:numId w:val="21"/>
        </w:numPr>
        <w:jc w:val="both"/>
        <w:rPr>
          <w:rFonts w:ascii="Arial" w:hAnsi="Arial" w:cs="Arial"/>
          <w:b/>
          <w:sz w:val="24"/>
          <w:szCs w:val="24"/>
        </w:rPr>
      </w:pPr>
      <w:r w:rsidRPr="00E631FF">
        <w:rPr>
          <w:rFonts w:ascii="Arial" w:hAnsi="Arial" w:cs="Arial"/>
          <w:b/>
          <w:sz w:val="24"/>
          <w:szCs w:val="24"/>
        </w:rPr>
        <w:t>Amending Budget 1 / 2017</w:t>
      </w:r>
    </w:p>
    <w:p w:rsidR="00C367F8" w:rsidRPr="00C367F8" w:rsidRDefault="00C367F8" w:rsidP="00C367F8">
      <w:pPr>
        <w:pStyle w:val="ListParagraph"/>
        <w:jc w:val="both"/>
        <w:rPr>
          <w:rFonts w:ascii="Arial" w:hAnsi="Arial" w:cs="Arial"/>
          <w:b/>
        </w:rPr>
      </w:pPr>
      <w:r w:rsidRPr="00C367F8">
        <w:rPr>
          <w:rFonts w:ascii="Arial" w:hAnsi="Arial" w:cs="Arial"/>
          <w:b/>
        </w:rPr>
        <w:t xml:space="preserve">2.1 </w:t>
      </w:r>
      <w:r w:rsidR="004D4AA1">
        <w:rPr>
          <w:rFonts w:ascii="Arial" w:hAnsi="Arial" w:cs="Arial"/>
          <w:b/>
        </w:rPr>
        <w:t xml:space="preserve">Permanent </w:t>
      </w:r>
      <w:r w:rsidRPr="00C367F8">
        <w:rPr>
          <w:rFonts w:ascii="Arial" w:hAnsi="Arial" w:cs="Arial"/>
          <w:b/>
        </w:rPr>
        <w:t>Posts</w:t>
      </w:r>
    </w:p>
    <w:p w:rsidR="00C367F8" w:rsidRPr="00C367F8" w:rsidRDefault="00C367F8" w:rsidP="00C367F8">
      <w:pPr>
        <w:pStyle w:val="ListParagraph"/>
        <w:jc w:val="both"/>
        <w:rPr>
          <w:rFonts w:ascii="Arial" w:hAnsi="Arial" w:cs="Arial"/>
        </w:rPr>
      </w:pPr>
      <w:r w:rsidRPr="00C367F8">
        <w:rPr>
          <w:rFonts w:ascii="Arial" w:hAnsi="Arial" w:cs="Arial"/>
        </w:rPr>
        <w:t xml:space="preserve">The centralization of the Authorizing Officer and Accounting Officer functions will require the creation of posts in the Office of the Secretary General. Altogether, 10.5 permanent posts </w:t>
      </w:r>
      <w:proofErr w:type="gramStart"/>
      <w:r w:rsidRPr="00C367F8">
        <w:rPr>
          <w:rFonts w:ascii="Arial" w:hAnsi="Arial" w:cs="Arial"/>
        </w:rPr>
        <w:t>are requested</w:t>
      </w:r>
      <w:proofErr w:type="gramEnd"/>
      <w:r w:rsidRPr="00C367F8">
        <w:rPr>
          <w:rFonts w:ascii="Arial" w:hAnsi="Arial" w:cs="Arial"/>
        </w:rPr>
        <w:t xml:space="preserve"> between 2017 and 2019. For 2017, three posts </w:t>
      </w:r>
      <w:proofErr w:type="gramStart"/>
      <w:r w:rsidRPr="00C367F8">
        <w:rPr>
          <w:rFonts w:ascii="Arial" w:hAnsi="Arial" w:cs="Arial"/>
        </w:rPr>
        <w:t>are requested</w:t>
      </w:r>
      <w:proofErr w:type="gramEnd"/>
      <w:r w:rsidRPr="00C367F8">
        <w:rPr>
          <w:rFonts w:ascii="Arial" w:hAnsi="Arial" w:cs="Arial"/>
        </w:rPr>
        <w:t xml:space="preserve">: </w:t>
      </w:r>
    </w:p>
    <w:p w:rsidR="00C367F8" w:rsidRPr="00C367F8" w:rsidRDefault="00C367F8" w:rsidP="00C367F8">
      <w:pPr>
        <w:pStyle w:val="ListParagraph"/>
        <w:jc w:val="both"/>
        <w:rPr>
          <w:rFonts w:ascii="Arial" w:hAnsi="Arial" w:cs="Arial"/>
        </w:rPr>
      </w:pPr>
    </w:p>
    <w:p w:rsidR="00C367F8" w:rsidRPr="00C367F8" w:rsidRDefault="00C367F8" w:rsidP="00C367F8">
      <w:pPr>
        <w:pStyle w:val="ListParagraph"/>
        <w:numPr>
          <w:ilvl w:val="0"/>
          <w:numId w:val="22"/>
        </w:numPr>
        <w:jc w:val="both"/>
        <w:rPr>
          <w:rFonts w:ascii="Arial" w:hAnsi="Arial" w:cs="Arial"/>
        </w:rPr>
      </w:pPr>
      <w:r w:rsidRPr="00C367F8">
        <w:rPr>
          <w:rFonts w:ascii="Arial" w:hAnsi="Arial" w:cs="Arial"/>
          <w:i/>
        </w:rPr>
        <w:t>Accounting Officer (seconded)</w:t>
      </w:r>
      <w:r w:rsidRPr="00C367F8">
        <w:rPr>
          <w:rFonts w:ascii="Arial" w:hAnsi="Arial" w:cs="Arial"/>
        </w:rPr>
        <w:t xml:space="preserve">. This new position will play a key role in the new organizational structure. He/she </w:t>
      </w:r>
      <w:proofErr w:type="gramStart"/>
      <w:r w:rsidRPr="00C367F8">
        <w:rPr>
          <w:rFonts w:ascii="Arial" w:hAnsi="Arial" w:cs="Arial"/>
        </w:rPr>
        <w:t>will be nominated</w:t>
      </w:r>
      <w:proofErr w:type="gramEnd"/>
      <w:r w:rsidRPr="00C367F8">
        <w:rPr>
          <w:rFonts w:ascii="Arial" w:hAnsi="Arial" w:cs="Arial"/>
        </w:rPr>
        <w:t xml:space="preserve"> by the Board of Governors and should take up the function as soon as possible in order to set up the new unit, which support him/her in this new function. The appropriation foreseen in relation to this post includes cost</w:t>
      </w:r>
      <w:r w:rsidR="004D4AA1">
        <w:rPr>
          <w:rFonts w:ascii="Arial" w:hAnsi="Arial" w:cs="Arial"/>
        </w:rPr>
        <w:t>s</w:t>
      </w:r>
      <w:r w:rsidRPr="00C367F8">
        <w:rPr>
          <w:rFonts w:ascii="Arial" w:hAnsi="Arial" w:cs="Arial"/>
        </w:rPr>
        <w:t xml:space="preserve"> for the last quarter of 2017. He/she will also be responsible for the gradual implementation of this role starting in early 2018, including setting up the centralization of the automatic payment system and the central bank reconciliation system. </w:t>
      </w:r>
    </w:p>
    <w:p w:rsidR="00C367F8" w:rsidRPr="00C367F8" w:rsidRDefault="00C367F8" w:rsidP="00C367F8">
      <w:pPr>
        <w:pStyle w:val="ListParagraph"/>
        <w:ind w:left="1440"/>
        <w:jc w:val="both"/>
        <w:rPr>
          <w:rFonts w:ascii="Arial" w:hAnsi="Arial" w:cs="Arial"/>
        </w:rPr>
      </w:pPr>
    </w:p>
    <w:p w:rsidR="00C367F8" w:rsidRPr="00C367F8" w:rsidRDefault="00C367F8" w:rsidP="00C367F8">
      <w:pPr>
        <w:pStyle w:val="ListParagraph"/>
        <w:numPr>
          <w:ilvl w:val="0"/>
          <w:numId w:val="22"/>
        </w:numPr>
        <w:jc w:val="both"/>
        <w:rPr>
          <w:rFonts w:ascii="Arial" w:hAnsi="Arial" w:cs="Arial"/>
        </w:rPr>
      </w:pPr>
      <w:r w:rsidRPr="00C367F8">
        <w:rPr>
          <w:rFonts w:ascii="Arial" w:hAnsi="Arial" w:cs="Arial"/>
          <w:i/>
        </w:rPr>
        <w:t>Accountant.</w:t>
      </w:r>
      <w:r w:rsidRPr="00C367F8">
        <w:rPr>
          <w:rFonts w:ascii="Arial" w:hAnsi="Arial" w:cs="Arial"/>
        </w:rPr>
        <w:t xml:space="preserve"> One accountant post </w:t>
      </w:r>
      <w:proofErr w:type="gramStart"/>
      <w:r w:rsidRPr="00C367F8">
        <w:rPr>
          <w:rFonts w:ascii="Arial" w:hAnsi="Arial" w:cs="Arial"/>
        </w:rPr>
        <w:t>is requested</w:t>
      </w:r>
      <w:proofErr w:type="gramEnd"/>
      <w:r w:rsidRPr="00C367F8">
        <w:rPr>
          <w:rFonts w:ascii="Arial" w:hAnsi="Arial" w:cs="Arial"/>
        </w:rPr>
        <w:t xml:space="preserve"> in order to assist the Accounting Officer in the roll out of the initial Accounting Officer activities as described above. This post </w:t>
      </w:r>
      <w:proofErr w:type="gramStart"/>
      <w:r w:rsidRPr="00C367F8">
        <w:rPr>
          <w:rFonts w:ascii="Arial" w:hAnsi="Arial" w:cs="Arial"/>
        </w:rPr>
        <w:t>is foreseen</w:t>
      </w:r>
      <w:proofErr w:type="gramEnd"/>
      <w:r w:rsidRPr="00C367F8">
        <w:rPr>
          <w:rFonts w:ascii="Arial" w:hAnsi="Arial" w:cs="Arial"/>
        </w:rPr>
        <w:t xml:space="preserve"> beginning in November 2017. His main responsibilities will include central bank reconciliation and central payment execution. </w:t>
      </w:r>
    </w:p>
    <w:p w:rsidR="00C367F8" w:rsidRPr="00C367F8" w:rsidRDefault="00C367F8" w:rsidP="00C367F8">
      <w:pPr>
        <w:pStyle w:val="ListParagraph"/>
        <w:rPr>
          <w:rFonts w:ascii="Arial" w:hAnsi="Arial" w:cs="Arial"/>
        </w:rPr>
      </w:pPr>
    </w:p>
    <w:p w:rsidR="00C367F8" w:rsidRPr="00C367F8" w:rsidRDefault="00C367F8" w:rsidP="00C367F8">
      <w:pPr>
        <w:pStyle w:val="ListParagraph"/>
        <w:numPr>
          <w:ilvl w:val="0"/>
          <w:numId w:val="22"/>
        </w:numPr>
        <w:jc w:val="both"/>
        <w:rPr>
          <w:rFonts w:ascii="Arial" w:hAnsi="Arial" w:cs="Arial"/>
        </w:rPr>
      </w:pPr>
      <w:r w:rsidRPr="00C367F8">
        <w:rPr>
          <w:rFonts w:ascii="Arial" w:hAnsi="Arial" w:cs="Arial"/>
        </w:rPr>
        <w:t xml:space="preserve">Internal Control assistant (Advisory). This post </w:t>
      </w:r>
      <w:proofErr w:type="gramStart"/>
      <w:r w:rsidRPr="00C367F8">
        <w:rPr>
          <w:rFonts w:ascii="Arial" w:hAnsi="Arial" w:cs="Arial"/>
        </w:rPr>
        <w:t>is needed</w:t>
      </w:r>
      <w:proofErr w:type="gramEnd"/>
      <w:r w:rsidRPr="00C367F8">
        <w:rPr>
          <w:rFonts w:ascii="Arial" w:hAnsi="Arial" w:cs="Arial"/>
        </w:rPr>
        <w:t xml:space="preserve"> already in 2017 in order to assist the Project Manager in the alignment and documentation of financial </w:t>
      </w:r>
      <w:r w:rsidRPr="00C367F8">
        <w:rPr>
          <w:rFonts w:ascii="Arial" w:hAnsi="Arial" w:cs="Arial"/>
        </w:rPr>
        <w:lastRenderedPageBreak/>
        <w:t xml:space="preserve">procedures. These procedures are paramount for the successful implementation of all components of the project. This post </w:t>
      </w:r>
      <w:proofErr w:type="gramStart"/>
      <w:r w:rsidRPr="00C367F8">
        <w:rPr>
          <w:rFonts w:ascii="Arial" w:hAnsi="Arial" w:cs="Arial"/>
        </w:rPr>
        <w:t>is foreseen</w:t>
      </w:r>
      <w:proofErr w:type="gramEnd"/>
      <w:r w:rsidRPr="00C367F8">
        <w:rPr>
          <w:rFonts w:ascii="Arial" w:hAnsi="Arial" w:cs="Arial"/>
        </w:rPr>
        <w:t xml:space="preserve"> starting in June 2017. </w:t>
      </w:r>
    </w:p>
    <w:p w:rsidR="00C367F8" w:rsidRPr="00C367F8" w:rsidRDefault="00C367F8" w:rsidP="00C367F8">
      <w:pPr>
        <w:pStyle w:val="ListParagraph"/>
        <w:jc w:val="both"/>
        <w:rPr>
          <w:rFonts w:ascii="Arial" w:hAnsi="Arial" w:cs="Arial"/>
        </w:rPr>
      </w:pPr>
    </w:p>
    <w:p w:rsidR="00C367F8" w:rsidRPr="00C367F8" w:rsidRDefault="00C367F8" w:rsidP="00C367F8">
      <w:pPr>
        <w:pStyle w:val="ListParagraph"/>
        <w:jc w:val="both"/>
        <w:rPr>
          <w:rFonts w:ascii="Arial" w:hAnsi="Arial" w:cs="Arial"/>
          <w:b/>
        </w:rPr>
      </w:pPr>
      <w:r w:rsidRPr="00C367F8">
        <w:rPr>
          <w:rFonts w:ascii="Arial" w:hAnsi="Arial" w:cs="Arial"/>
          <w:b/>
        </w:rPr>
        <w:t>2.2 Project Manager</w:t>
      </w:r>
    </w:p>
    <w:p w:rsidR="00C367F8" w:rsidRPr="00C367F8" w:rsidRDefault="00C367F8" w:rsidP="00C367F8">
      <w:pPr>
        <w:pStyle w:val="ListParagraph"/>
        <w:jc w:val="both"/>
        <w:rPr>
          <w:rFonts w:ascii="Arial" w:hAnsi="Arial" w:cs="Arial"/>
          <w:b/>
        </w:rPr>
      </w:pPr>
    </w:p>
    <w:p w:rsidR="00C367F8" w:rsidRPr="00C367F8" w:rsidRDefault="00C367F8" w:rsidP="00C367F8">
      <w:pPr>
        <w:pStyle w:val="ListParagraph"/>
        <w:jc w:val="both"/>
        <w:rPr>
          <w:rFonts w:ascii="Arial" w:hAnsi="Arial" w:cs="Arial"/>
        </w:rPr>
      </w:pPr>
      <w:r w:rsidRPr="00C367F8">
        <w:rPr>
          <w:rFonts w:ascii="Arial" w:hAnsi="Arial" w:cs="Arial"/>
        </w:rPr>
        <w:t xml:space="preserve">A project manager </w:t>
      </w:r>
      <w:proofErr w:type="gramStart"/>
      <w:r w:rsidRPr="00C367F8">
        <w:rPr>
          <w:rFonts w:ascii="Arial" w:hAnsi="Arial" w:cs="Arial"/>
        </w:rPr>
        <w:t>will be needed</w:t>
      </w:r>
      <w:proofErr w:type="gramEnd"/>
      <w:r w:rsidRPr="00C367F8">
        <w:rPr>
          <w:rFonts w:ascii="Arial" w:hAnsi="Arial" w:cs="Arial"/>
        </w:rPr>
        <w:t xml:space="preserve"> from the beginning of the project until its total completion. This is not a permanent post, but a temporary contract which should begin a soon as the Board of Governors adopts the project and the resources which are necessary in order to achieve it. His /her responsibility will be to coordinate the preparation of the procedures and to supervise the implementation of each step in the process, in close coordination with the Secretary General, Accounting Officer and their staff as well as representatives from the schools. </w:t>
      </w:r>
    </w:p>
    <w:p w:rsidR="00C367F8" w:rsidRPr="00C367F8" w:rsidRDefault="00C367F8" w:rsidP="00C367F8">
      <w:pPr>
        <w:pStyle w:val="ListParagraph"/>
        <w:jc w:val="both"/>
        <w:rPr>
          <w:rFonts w:ascii="Arial" w:hAnsi="Arial" w:cs="Arial"/>
        </w:rPr>
      </w:pPr>
    </w:p>
    <w:p w:rsidR="00C367F8" w:rsidRPr="00C367F8" w:rsidRDefault="00C367F8" w:rsidP="00C367F8">
      <w:pPr>
        <w:pStyle w:val="ListParagraph"/>
        <w:jc w:val="both"/>
        <w:rPr>
          <w:rFonts w:ascii="Arial" w:hAnsi="Arial" w:cs="Arial"/>
          <w:b/>
        </w:rPr>
      </w:pPr>
      <w:r w:rsidRPr="00C367F8">
        <w:rPr>
          <w:rFonts w:ascii="Arial" w:hAnsi="Arial" w:cs="Arial"/>
          <w:b/>
        </w:rPr>
        <w:t>2.3 SAP</w:t>
      </w:r>
    </w:p>
    <w:p w:rsidR="00C367F8" w:rsidRPr="00C367F8" w:rsidRDefault="00C367F8" w:rsidP="00C367F8">
      <w:pPr>
        <w:pStyle w:val="ListParagraph"/>
        <w:jc w:val="both"/>
        <w:rPr>
          <w:rFonts w:ascii="Arial" w:hAnsi="Arial" w:cs="Arial"/>
          <w:b/>
        </w:rPr>
      </w:pPr>
    </w:p>
    <w:p w:rsidR="00C367F8" w:rsidRPr="00C367F8" w:rsidRDefault="00C367F8" w:rsidP="00C367F8">
      <w:pPr>
        <w:pStyle w:val="ListParagraph"/>
        <w:jc w:val="both"/>
        <w:rPr>
          <w:rFonts w:ascii="Arial" w:hAnsi="Arial" w:cs="Arial"/>
        </w:rPr>
      </w:pPr>
      <w:r w:rsidRPr="00C367F8">
        <w:rPr>
          <w:rFonts w:ascii="Arial" w:hAnsi="Arial" w:cs="Arial"/>
        </w:rPr>
        <w:t xml:space="preserve">The Accounting software SAP, which is in use in the European Schools since beginning of 2015, will need to be adapted to the new financial governance structure. </w:t>
      </w:r>
      <w:proofErr w:type="gramStart"/>
      <w:r w:rsidRPr="00C367F8">
        <w:rPr>
          <w:rFonts w:ascii="Arial" w:hAnsi="Arial" w:cs="Arial"/>
        </w:rPr>
        <w:t>At the moment</w:t>
      </w:r>
      <w:proofErr w:type="gramEnd"/>
      <w:r w:rsidRPr="00C367F8">
        <w:rPr>
          <w:rFonts w:ascii="Arial" w:hAnsi="Arial" w:cs="Arial"/>
        </w:rPr>
        <w:t xml:space="preserve">, fifteen Accounting Officers carry out accounting operations under their own responsibility and fifteen Authorizing Officers authorize transactions. In the future, a number of operations </w:t>
      </w:r>
      <w:proofErr w:type="gramStart"/>
      <w:r w:rsidRPr="00C367F8">
        <w:rPr>
          <w:rFonts w:ascii="Arial" w:hAnsi="Arial" w:cs="Arial"/>
        </w:rPr>
        <w:t>will be centralized</w:t>
      </w:r>
      <w:proofErr w:type="gramEnd"/>
      <w:r w:rsidRPr="00C367F8">
        <w:rPr>
          <w:rFonts w:ascii="Arial" w:hAnsi="Arial" w:cs="Arial"/>
        </w:rPr>
        <w:t xml:space="preserve"> and will require modifications in SAP, namely: </w:t>
      </w:r>
    </w:p>
    <w:p w:rsidR="00C367F8" w:rsidRPr="00C367F8" w:rsidRDefault="00C367F8" w:rsidP="00C367F8">
      <w:pPr>
        <w:pStyle w:val="ListParagraph"/>
        <w:jc w:val="both"/>
        <w:rPr>
          <w:rFonts w:ascii="Arial" w:hAnsi="Arial" w:cs="Arial"/>
        </w:rPr>
      </w:pPr>
    </w:p>
    <w:p w:rsidR="00C367F8" w:rsidRPr="00C367F8" w:rsidRDefault="00C367F8" w:rsidP="00C367F8">
      <w:pPr>
        <w:pStyle w:val="ListParagraph"/>
        <w:ind w:left="993"/>
        <w:jc w:val="both"/>
        <w:rPr>
          <w:rFonts w:ascii="Arial" w:hAnsi="Arial" w:cs="Arial"/>
        </w:rPr>
      </w:pPr>
      <w:r w:rsidRPr="00C367F8">
        <w:rPr>
          <w:rFonts w:ascii="Arial" w:hAnsi="Arial" w:cs="Arial"/>
        </w:rPr>
        <w:t xml:space="preserve">- The </w:t>
      </w:r>
      <w:r w:rsidRPr="00C367F8">
        <w:rPr>
          <w:rFonts w:ascii="Arial" w:hAnsi="Arial" w:cs="Arial"/>
          <w:b/>
        </w:rPr>
        <w:t>segregation of duties</w:t>
      </w:r>
      <w:r w:rsidRPr="00C367F8">
        <w:rPr>
          <w:rFonts w:ascii="Arial" w:hAnsi="Arial" w:cs="Arial"/>
        </w:rPr>
        <w:t xml:space="preserve"> will need to be adapted, as the Authorizing Officer will have to </w:t>
      </w:r>
      <w:proofErr w:type="gramStart"/>
      <w:r w:rsidRPr="00C367F8">
        <w:rPr>
          <w:rFonts w:ascii="Arial" w:hAnsi="Arial" w:cs="Arial"/>
        </w:rPr>
        <w:t>be enabled</w:t>
      </w:r>
      <w:proofErr w:type="gramEnd"/>
      <w:r w:rsidRPr="00C367F8">
        <w:rPr>
          <w:rFonts w:ascii="Arial" w:hAnsi="Arial" w:cs="Arial"/>
        </w:rPr>
        <w:t xml:space="preserve"> to delegate the capacity to authorize and to revoke such delegation. Delegation could be by type of transaction or by applying a specific threshold in type of transaction. In this context, approval workflows need to be redefined completely for both expenditure-related transactions as well as for revenue ones. The estimated cost for this essential element of SAP is 170 work/days.</w:t>
      </w:r>
    </w:p>
    <w:p w:rsidR="00C367F8" w:rsidRPr="00C367F8" w:rsidRDefault="00C367F8" w:rsidP="00C367F8">
      <w:pPr>
        <w:pStyle w:val="ListParagraph"/>
        <w:ind w:left="993"/>
        <w:jc w:val="both"/>
        <w:rPr>
          <w:rFonts w:ascii="Arial" w:hAnsi="Arial" w:cs="Arial"/>
        </w:rPr>
      </w:pPr>
    </w:p>
    <w:p w:rsidR="00C367F8" w:rsidRPr="00C367F8" w:rsidRDefault="00C367F8" w:rsidP="00C367F8">
      <w:pPr>
        <w:pStyle w:val="ListParagraph"/>
        <w:ind w:left="993"/>
        <w:jc w:val="both"/>
        <w:rPr>
          <w:rFonts w:ascii="Arial" w:hAnsi="Arial" w:cs="Arial"/>
        </w:rPr>
      </w:pPr>
      <w:r w:rsidRPr="00C367F8">
        <w:rPr>
          <w:rFonts w:ascii="Arial" w:hAnsi="Arial" w:cs="Arial"/>
        </w:rPr>
        <w:t xml:space="preserve">- The centralization of the </w:t>
      </w:r>
      <w:r w:rsidRPr="00C367F8">
        <w:rPr>
          <w:rFonts w:ascii="Arial" w:hAnsi="Arial" w:cs="Arial"/>
          <w:b/>
        </w:rPr>
        <w:t>automatic payment system</w:t>
      </w:r>
      <w:r w:rsidRPr="00C367F8">
        <w:rPr>
          <w:rFonts w:ascii="Arial" w:hAnsi="Arial" w:cs="Arial"/>
        </w:rPr>
        <w:t xml:space="preserve"> is one of the essential tasks of the Accounting Officer. Six different payment systems will need to </w:t>
      </w:r>
      <w:proofErr w:type="gramStart"/>
      <w:r w:rsidRPr="00C367F8">
        <w:rPr>
          <w:rFonts w:ascii="Arial" w:hAnsi="Arial" w:cs="Arial"/>
        </w:rPr>
        <w:t>be centralized</w:t>
      </w:r>
      <w:proofErr w:type="gramEnd"/>
      <w:r w:rsidRPr="00C367F8">
        <w:rPr>
          <w:rFonts w:ascii="Arial" w:hAnsi="Arial" w:cs="Arial"/>
        </w:rPr>
        <w:t xml:space="preserve"> into the OSG in order to enable the Accounting Officer to enable the efficient implementation of this responsibility. Similarly, bank statements need to </w:t>
      </w:r>
      <w:proofErr w:type="gramStart"/>
      <w:r w:rsidRPr="00C367F8">
        <w:rPr>
          <w:rFonts w:ascii="Arial" w:hAnsi="Arial" w:cs="Arial"/>
        </w:rPr>
        <w:t>be sent</w:t>
      </w:r>
      <w:proofErr w:type="gramEnd"/>
      <w:r w:rsidRPr="00C367F8">
        <w:rPr>
          <w:rFonts w:ascii="Arial" w:hAnsi="Arial" w:cs="Arial"/>
        </w:rPr>
        <w:t xml:space="preserve"> to one central point and bank reconciliation performed by the Accounting Officer. The estimated effort for this element is 90 work/days in 2017. </w:t>
      </w:r>
    </w:p>
    <w:p w:rsidR="00C367F8" w:rsidRPr="00C367F8" w:rsidRDefault="00C367F8" w:rsidP="00C367F8">
      <w:pPr>
        <w:pStyle w:val="ListParagraph"/>
        <w:ind w:left="993"/>
        <w:jc w:val="both"/>
        <w:rPr>
          <w:rFonts w:ascii="Arial" w:hAnsi="Arial" w:cs="Arial"/>
        </w:rPr>
      </w:pPr>
    </w:p>
    <w:p w:rsidR="00C367F8" w:rsidRPr="00C367F8" w:rsidRDefault="00C367F8" w:rsidP="00C367F8">
      <w:pPr>
        <w:pStyle w:val="ListParagraph"/>
        <w:ind w:left="993"/>
        <w:jc w:val="both"/>
        <w:rPr>
          <w:rFonts w:ascii="Arial" w:hAnsi="Arial" w:cs="Arial"/>
        </w:rPr>
      </w:pPr>
      <w:r w:rsidRPr="00C367F8">
        <w:rPr>
          <w:rFonts w:ascii="Arial" w:hAnsi="Arial" w:cs="Arial"/>
        </w:rPr>
        <w:t xml:space="preserve">- </w:t>
      </w:r>
      <w:r w:rsidRPr="00C367F8">
        <w:rPr>
          <w:rFonts w:ascii="Arial" w:hAnsi="Arial" w:cs="Arial"/>
          <w:b/>
        </w:rPr>
        <w:t>Reports</w:t>
      </w:r>
      <w:r w:rsidRPr="00C367F8">
        <w:rPr>
          <w:rFonts w:ascii="Arial" w:hAnsi="Arial" w:cs="Arial"/>
        </w:rPr>
        <w:t xml:space="preserve"> need to </w:t>
      </w:r>
      <w:proofErr w:type="gramStart"/>
      <w:r w:rsidRPr="00C367F8">
        <w:rPr>
          <w:rFonts w:ascii="Arial" w:hAnsi="Arial" w:cs="Arial"/>
        </w:rPr>
        <w:t>be developed</w:t>
      </w:r>
      <w:proofErr w:type="gramEnd"/>
      <w:r w:rsidRPr="00C367F8">
        <w:rPr>
          <w:rFonts w:ascii="Arial" w:hAnsi="Arial" w:cs="Arial"/>
        </w:rPr>
        <w:t xml:space="preserve"> in order to provide the </w:t>
      </w:r>
      <w:proofErr w:type="spellStart"/>
      <w:r w:rsidRPr="00C367F8">
        <w:rPr>
          <w:rFonts w:ascii="Arial" w:hAnsi="Arial" w:cs="Arial"/>
        </w:rPr>
        <w:t>Authorising</w:t>
      </w:r>
      <w:proofErr w:type="spellEnd"/>
      <w:r w:rsidRPr="00C367F8">
        <w:rPr>
          <w:rFonts w:ascii="Arial" w:hAnsi="Arial" w:cs="Arial"/>
        </w:rPr>
        <w:t xml:space="preserve"> Officer with the tool to control correct financial management in the schools. </w:t>
      </w:r>
      <w:proofErr w:type="gramStart"/>
      <w:r w:rsidRPr="00C367F8">
        <w:rPr>
          <w:rFonts w:ascii="Arial" w:hAnsi="Arial" w:cs="Arial"/>
        </w:rPr>
        <w:t>A variety of reports include</w:t>
      </w:r>
      <w:proofErr w:type="gramEnd"/>
      <w:r w:rsidRPr="00C367F8">
        <w:rPr>
          <w:rFonts w:ascii="Arial" w:hAnsi="Arial" w:cs="Arial"/>
        </w:rPr>
        <w:t xml:space="preserve"> improved, more detailed budget implementation reports, situation of assets and exception reports. The cost will be 50 work/days in 2017 mainly dedicated to analysis. The development phase will take place in 2018. </w:t>
      </w:r>
    </w:p>
    <w:p w:rsidR="00C367F8" w:rsidRPr="00C367F8" w:rsidRDefault="00C367F8" w:rsidP="00C367F8">
      <w:pPr>
        <w:pStyle w:val="ListParagraph"/>
        <w:jc w:val="both"/>
        <w:rPr>
          <w:rFonts w:ascii="Arial" w:hAnsi="Arial" w:cs="Arial"/>
        </w:rPr>
      </w:pPr>
    </w:p>
    <w:p w:rsidR="00C367F8" w:rsidRDefault="00C367F8" w:rsidP="00C367F8">
      <w:pPr>
        <w:pStyle w:val="ListParagraph"/>
        <w:jc w:val="both"/>
        <w:rPr>
          <w:rFonts w:ascii="Arial" w:hAnsi="Arial" w:cs="Arial"/>
        </w:rPr>
      </w:pPr>
    </w:p>
    <w:p w:rsidR="00B77881" w:rsidRPr="00C367F8" w:rsidRDefault="00B77881" w:rsidP="00C367F8">
      <w:pPr>
        <w:pStyle w:val="ListParagraph"/>
        <w:jc w:val="both"/>
        <w:rPr>
          <w:rFonts w:ascii="Arial" w:hAnsi="Arial" w:cs="Arial"/>
        </w:rPr>
      </w:pPr>
      <w:bookmarkStart w:id="0" w:name="_GoBack"/>
      <w:bookmarkEnd w:id="0"/>
    </w:p>
    <w:p w:rsidR="00C367F8" w:rsidRPr="00C367F8" w:rsidRDefault="00C367F8" w:rsidP="00C367F8">
      <w:pPr>
        <w:ind w:left="709"/>
        <w:jc w:val="both"/>
        <w:rPr>
          <w:rFonts w:ascii="Arial" w:hAnsi="Arial" w:cs="Arial"/>
          <w:b/>
        </w:rPr>
      </w:pPr>
      <w:r w:rsidRPr="00C367F8">
        <w:rPr>
          <w:rFonts w:ascii="Arial" w:hAnsi="Arial" w:cs="Arial"/>
          <w:b/>
        </w:rPr>
        <w:lastRenderedPageBreak/>
        <w:t>2.4 Financing of this Amending Budget 1/ 2017</w:t>
      </w:r>
    </w:p>
    <w:p w:rsidR="00C367F8" w:rsidRPr="00C367F8" w:rsidRDefault="00C367F8" w:rsidP="00C367F8">
      <w:pPr>
        <w:ind w:left="709"/>
        <w:jc w:val="both"/>
        <w:rPr>
          <w:rFonts w:ascii="Arial" w:hAnsi="Arial" w:cs="Arial"/>
        </w:rPr>
      </w:pPr>
      <w:r w:rsidRPr="00C367F8">
        <w:rPr>
          <w:rFonts w:ascii="Arial" w:hAnsi="Arial" w:cs="Arial"/>
        </w:rPr>
        <w:t xml:space="preserve">Given the limited amount of appropriation needed in 2017, together with the fact that the final 2016 surplus in still unknown, it is proposed to finance this Amending Budget from that surplus. Like every year, a more precise view on financial needs will be available in September 2017. If necessary, additional resources </w:t>
      </w:r>
      <w:proofErr w:type="gramStart"/>
      <w:r w:rsidRPr="00C367F8">
        <w:rPr>
          <w:rFonts w:ascii="Arial" w:hAnsi="Arial" w:cs="Arial"/>
        </w:rPr>
        <w:t>will be requested</w:t>
      </w:r>
      <w:proofErr w:type="gramEnd"/>
      <w:r w:rsidRPr="00C367F8">
        <w:rPr>
          <w:rFonts w:ascii="Arial" w:hAnsi="Arial" w:cs="Arial"/>
        </w:rPr>
        <w:t xml:space="preserve"> at that stage. </w:t>
      </w:r>
    </w:p>
    <w:p w:rsidR="00C367F8" w:rsidRPr="00C367F8" w:rsidRDefault="00C367F8" w:rsidP="00C367F8">
      <w:pPr>
        <w:pStyle w:val="ListParagraph"/>
        <w:jc w:val="both"/>
        <w:rPr>
          <w:rFonts w:ascii="Arial" w:hAnsi="Arial" w:cs="Arial"/>
        </w:rPr>
      </w:pPr>
    </w:p>
    <w:p w:rsidR="00C367F8" w:rsidRDefault="00E631FF" w:rsidP="00C367F8">
      <w:pPr>
        <w:pStyle w:val="ListParagraph"/>
        <w:numPr>
          <w:ilvl w:val="0"/>
          <w:numId w:val="21"/>
        </w:numPr>
        <w:jc w:val="both"/>
        <w:rPr>
          <w:rFonts w:ascii="Arial" w:hAnsi="Arial" w:cs="Arial"/>
          <w:b/>
          <w:sz w:val="24"/>
          <w:szCs w:val="24"/>
        </w:rPr>
      </w:pPr>
      <w:r>
        <w:rPr>
          <w:rFonts w:ascii="Arial" w:hAnsi="Arial" w:cs="Arial"/>
          <w:b/>
          <w:sz w:val="24"/>
          <w:szCs w:val="24"/>
        </w:rPr>
        <w:t>Opinion of the Budgetary Committee</w:t>
      </w:r>
    </w:p>
    <w:p w:rsidR="00E631FF" w:rsidRDefault="00E631FF" w:rsidP="00E631FF">
      <w:pPr>
        <w:pStyle w:val="ListParagraph"/>
        <w:jc w:val="both"/>
        <w:rPr>
          <w:rFonts w:ascii="Arial" w:hAnsi="Arial" w:cs="Arial"/>
          <w:b/>
          <w:sz w:val="24"/>
          <w:szCs w:val="24"/>
        </w:rPr>
      </w:pPr>
    </w:p>
    <w:p w:rsidR="00E631FF" w:rsidRPr="00A15E15" w:rsidRDefault="00E631FF" w:rsidP="00E631FF">
      <w:pPr>
        <w:pStyle w:val="ListParagraph"/>
        <w:ind w:left="709"/>
        <w:jc w:val="both"/>
        <w:rPr>
          <w:rFonts w:ascii="Arial" w:hAnsi="Arial" w:cs="Arial"/>
          <w:lang w:val="en-GB"/>
        </w:rPr>
      </w:pPr>
      <w:r w:rsidRPr="00A15E15">
        <w:rPr>
          <w:rFonts w:ascii="Arial" w:hAnsi="Arial" w:cs="Arial"/>
          <w:lang w:val="en-GB"/>
        </w:rPr>
        <w:t xml:space="preserve">The Budgetary Committee expressed a favourable opinion on the principle of funding the possible amending budget from the 2016 surplus and invited the Board of Governors to approve this request.  France, Germany and the European Commission entered a reservation on the amending budget as presented at the meeting, in view of the uncertainties with respect to the new financial governance concept </w:t>
      </w:r>
      <w:r w:rsidR="004D4AA1">
        <w:rPr>
          <w:rFonts w:ascii="Arial" w:hAnsi="Arial" w:cs="Arial"/>
          <w:lang w:val="en-GB"/>
        </w:rPr>
        <w:t>proposed</w:t>
      </w:r>
      <w:r w:rsidRPr="00A15E15">
        <w:rPr>
          <w:rFonts w:ascii="Arial" w:hAnsi="Arial" w:cs="Arial"/>
          <w:lang w:val="en-GB"/>
        </w:rPr>
        <w:t>.</w:t>
      </w:r>
    </w:p>
    <w:p w:rsidR="00E631FF" w:rsidRPr="00A15E15" w:rsidRDefault="00E631FF" w:rsidP="00E631FF">
      <w:pPr>
        <w:pStyle w:val="ListParagraph"/>
        <w:ind w:left="709"/>
        <w:jc w:val="both"/>
        <w:rPr>
          <w:rFonts w:ascii="Arial" w:hAnsi="Arial" w:cs="Arial"/>
          <w:lang w:val="en-GB"/>
        </w:rPr>
      </w:pPr>
    </w:p>
    <w:p w:rsidR="00E631FF" w:rsidRPr="00E631FF" w:rsidRDefault="00E631FF" w:rsidP="00E631FF">
      <w:pPr>
        <w:pStyle w:val="ListParagraph"/>
        <w:jc w:val="both"/>
        <w:rPr>
          <w:rFonts w:ascii="Arial" w:hAnsi="Arial" w:cs="Arial"/>
          <w:b/>
          <w:sz w:val="24"/>
          <w:szCs w:val="24"/>
        </w:rPr>
      </w:pPr>
      <w:r>
        <w:rPr>
          <w:rFonts w:ascii="Arial" w:hAnsi="Arial" w:cs="Arial"/>
          <w:lang w:val="en-GB"/>
        </w:rPr>
        <w:t>The BC took note of a non-paper of the E</w:t>
      </w:r>
      <w:r w:rsidR="006C00B2">
        <w:rPr>
          <w:rFonts w:ascii="Arial" w:hAnsi="Arial" w:cs="Arial"/>
          <w:lang w:val="en-GB"/>
        </w:rPr>
        <w:t xml:space="preserve">uropean </w:t>
      </w:r>
      <w:r>
        <w:rPr>
          <w:rFonts w:ascii="Arial" w:hAnsi="Arial" w:cs="Arial"/>
          <w:lang w:val="en-GB"/>
        </w:rPr>
        <w:t>S</w:t>
      </w:r>
      <w:r w:rsidR="006C00B2">
        <w:rPr>
          <w:rFonts w:ascii="Arial" w:hAnsi="Arial" w:cs="Arial"/>
          <w:lang w:val="en-GB"/>
        </w:rPr>
        <w:t>chools</w:t>
      </w:r>
      <w:r>
        <w:rPr>
          <w:rFonts w:ascii="Arial" w:hAnsi="Arial" w:cs="Arial"/>
          <w:lang w:val="en-GB"/>
        </w:rPr>
        <w:t xml:space="preserve"> concerning additional financial needs for security measures.</w:t>
      </w:r>
    </w:p>
    <w:p w:rsidR="00C367F8" w:rsidRPr="00C367F8" w:rsidRDefault="00C367F8" w:rsidP="00C367F8">
      <w:pPr>
        <w:ind w:left="709"/>
        <w:jc w:val="both"/>
        <w:rPr>
          <w:rFonts w:ascii="Arial" w:hAnsi="Arial" w:cs="Arial"/>
        </w:rPr>
      </w:pPr>
    </w:p>
    <w:tbl>
      <w:tblPr>
        <w:tblW w:w="12329" w:type="dxa"/>
        <w:tblInd w:w="93" w:type="dxa"/>
        <w:tblLook w:val="04A0" w:firstRow="1" w:lastRow="0" w:firstColumn="1" w:lastColumn="0" w:noHBand="0" w:noVBand="1"/>
      </w:tblPr>
      <w:tblGrid>
        <w:gridCol w:w="2181"/>
        <w:gridCol w:w="1872"/>
        <w:gridCol w:w="1872"/>
        <w:gridCol w:w="2761"/>
        <w:gridCol w:w="236"/>
        <w:gridCol w:w="1120"/>
        <w:gridCol w:w="1327"/>
        <w:gridCol w:w="960"/>
      </w:tblGrid>
      <w:tr w:rsidR="00C367F8" w:rsidRPr="00C367F8" w:rsidTr="00E631FF">
        <w:trPr>
          <w:trHeight w:val="540"/>
        </w:trPr>
        <w:tc>
          <w:tcPr>
            <w:tcW w:w="8686" w:type="dxa"/>
            <w:gridSpan w:val="4"/>
            <w:tcBorders>
              <w:top w:val="nil"/>
              <w:left w:val="nil"/>
              <w:bottom w:val="nil"/>
              <w:right w:val="nil"/>
            </w:tcBorders>
            <w:shd w:val="clear" w:color="auto" w:fill="auto"/>
            <w:noWrap/>
            <w:vAlign w:val="bottom"/>
          </w:tcPr>
          <w:p w:rsidR="00C367F8" w:rsidRDefault="00E631FF" w:rsidP="00C367F8">
            <w:pPr>
              <w:pStyle w:val="ListParagraph"/>
              <w:numPr>
                <w:ilvl w:val="0"/>
                <w:numId w:val="21"/>
              </w:numPr>
              <w:spacing w:after="0" w:line="240" w:lineRule="auto"/>
              <w:rPr>
                <w:rFonts w:ascii="Arial" w:eastAsia="Times New Roman" w:hAnsi="Arial" w:cs="Arial"/>
                <w:b/>
                <w:bCs/>
                <w:color w:val="000000"/>
                <w:sz w:val="24"/>
                <w:szCs w:val="28"/>
              </w:rPr>
            </w:pPr>
            <w:r>
              <w:rPr>
                <w:rFonts w:ascii="Arial" w:eastAsia="Times New Roman" w:hAnsi="Arial" w:cs="Arial"/>
                <w:b/>
                <w:bCs/>
                <w:color w:val="000000"/>
                <w:sz w:val="24"/>
                <w:szCs w:val="28"/>
              </w:rPr>
              <w:t>Board of Governors</w:t>
            </w:r>
          </w:p>
          <w:p w:rsidR="00E631FF" w:rsidRDefault="00E631FF" w:rsidP="00E631FF">
            <w:pPr>
              <w:pStyle w:val="ListParagraph"/>
              <w:spacing w:after="0" w:line="240" w:lineRule="auto"/>
              <w:rPr>
                <w:rFonts w:ascii="Arial" w:eastAsia="Times New Roman" w:hAnsi="Arial" w:cs="Arial"/>
                <w:b/>
                <w:bCs/>
                <w:color w:val="000000"/>
                <w:sz w:val="24"/>
                <w:szCs w:val="28"/>
              </w:rPr>
            </w:pPr>
          </w:p>
          <w:p w:rsidR="00E631FF" w:rsidRPr="00E631FF" w:rsidRDefault="00E631FF" w:rsidP="00E631FF">
            <w:pPr>
              <w:pStyle w:val="ListParagraph"/>
              <w:spacing w:after="0" w:line="240" w:lineRule="auto"/>
              <w:rPr>
                <w:rFonts w:ascii="Arial" w:eastAsia="Times New Roman" w:hAnsi="Arial" w:cs="Arial"/>
                <w:bCs/>
                <w:color w:val="000000"/>
              </w:rPr>
            </w:pPr>
            <w:r>
              <w:rPr>
                <w:rFonts w:ascii="Arial" w:eastAsia="Times New Roman" w:hAnsi="Arial" w:cs="Arial"/>
                <w:bCs/>
                <w:color w:val="000000"/>
              </w:rPr>
              <w:t xml:space="preserve">The Board of Governors </w:t>
            </w:r>
            <w:proofErr w:type="gramStart"/>
            <w:r>
              <w:rPr>
                <w:rFonts w:ascii="Arial" w:eastAsia="Times New Roman" w:hAnsi="Arial" w:cs="Arial"/>
                <w:bCs/>
                <w:color w:val="000000"/>
              </w:rPr>
              <w:t>is requested</w:t>
            </w:r>
            <w:proofErr w:type="gramEnd"/>
            <w:r>
              <w:rPr>
                <w:rFonts w:ascii="Arial" w:eastAsia="Times New Roman" w:hAnsi="Arial" w:cs="Arial"/>
                <w:bCs/>
                <w:color w:val="000000"/>
              </w:rPr>
              <w:t xml:space="preserve"> to adopt this Amending Budget 1/2017</w:t>
            </w:r>
            <w:r w:rsidR="006C00B2">
              <w:rPr>
                <w:rFonts w:ascii="Arial" w:eastAsia="Times New Roman" w:hAnsi="Arial" w:cs="Arial"/>
                <w:bCs/>
                <w:color w:val="000000"/>
              </w:rPr>
              <w:t>, thus enabling the Office of the Secretary General to begin the implementation of the new financial governance model as soon as possible</w:t>
            </w:r>
            <w:r>
              <w:rPr>
                <w:rFonts w:ascii="Arial" w:eastAsia="Times New Roman" w:hAnsi="Arial" w:cs="Arial"/>
                <w:bCs/>
                <w:color w:val="000000"/>
              </w:rPr>
              <w:t>.</w:t>
            </w:r>
          </w:p>
          <w:p w:rsidR="00E631FF" w:rsidRPr="00E631FF" w:rsidRDefault="00E631FF" w:rsidP="00E631FF">
            <w:pPr>
              <w:spacing w:after="0" w:line="240" w:lineRule="auto"/>
              <w:rPr>
                <w:rFonts w:ascii="Arial" w:eastAsia="Times New Roman" w:hAnsi="Arial" w:cs="Arial"/>
                <w:b/>
                <w:bCs/>
                <w:color w:val="000000"/>
                <w:sz w:val="24"/>
                <w:szCs w:val="28"/>
              </w:rPr>
            </w:pPr>
          </w:p>
        </w:tc>
        <w:tc>
          <w:tcPr>
            <w:tcW w:w="236" w:type="dxa"/>
            <w:tcBorders>
              <w:top w:val="nil"/>
              <w:left w:val="nil"/>
              <w:bottom w:val="nil"/>
              <w:right w:val="nil"/>
            </w:tcBorders>
            <w:shd w:val="clear" w:color="auto" w:fill="auto"/>
            <w:noWrap/>
            <w:vAlign w:val="bottom"/>
          </w:tcPr>
          <w:p w:rsidR="00C367F8" w:rsidRPr="00C367F8" w:rsidRDefault="00C367F8" w:rsidP="00033C02">
            <w:pPr>
              <w:spacing w:after="0" w:line="240" w:lineRule="auto"/>
              <w:rPr>
                <w:rFonts w:ascii="Arial" w:eastAsia="Times New Roman" w:hAnsi="Arial" w:cs="Arial"/>
                <w:color w:val="000000"/>
                <w:sz w:val="24"/>
              </w:rPr>
            </w:pPr>
          </w:p>
        </w:tc>
        <w:tc>
          <w:tcPr>
            <w:tcW w:w="1120" w:type="dxa"/>
            <w:tcBorders>
              <w:top w:val="nil"/>
              <w:left w:val="nil"/>
              <w:bottom w:val="nil"/>
              <w:right w:val="nil"/>
            </w:tcBorders>
            <w:shd w:val="clear" w:color="auto" w:fill="auto"/>
            <w:noWrap/>
            <w:vAlign w:val="bottom"/>
          </w:tcPr>
          <w:p w:rsidR="00C367F8" w:rsidRPr="00C367F8" w:rsidRDefault="00C367F8" w:rsidP="00033C02">
            <w:pPr>
              <w:spacing w:after="0" w:line="240" w:lineRule="auto"/>
              <w:rPr>
                <w:rFonts w:ascii="Arial" w:eastAsia="Times New Roman" w:hAnsi="Arial" w:cs="Arial"/>
                <w:color w:val="000000"/>
                <w:sz w:val="24"/>
              </w:rPr>
            </w:pPr>
          </w:p>
        </w:tc>
        <w:tc>
          <w:tcPr>
            <w:tcW w:w="1327" w:type="dxa"/>
            <w:tcBorders>
              <w:top w:val="nil"/>
              <w:left w:val="nil"/>
              <w:bottom w:val="nil"/>
              <w:right w:val="nil"/>
            </w:tcBorders>
            <w:shd w:val="clear" w:color="auto" w:fill="auto"/>
            <w:noWrap/>
            <w:vAlign w:val="bottom"/>
          </w:tcPr>
          <w:p w:rsidR="00C367F8" w:rsidRPr="00C367F8" w:rsidRDefault="00C367F8" w:rsidP="00033C02">
            <w:pPr>
              <w:spacing w:after="0" w:line="240" w:lineRule="auto"/>
              <w:rPr>
                <w:rFonts w:ascii="Arial" w:eastAsia="Times New Roman" w:hAnsi="Arial" w:cs="Arial"/>
                <w:color w:val="000000"/>
                <w:sz w:val="24"/>
              </w:rPr>
            </w:pPr>
          </w:p>
        </w:tc>
        <w:tc>
          <w:tcPr>
            <w:tcW w:w="960" w:type="dxa"/>
            <w:tcBorders>
              <w:top w:val="nil"/>
              <w:left w:val="nil"/>
              <w:bottom w:val="nil"/>
              <w:right w:val="nil"/>
            </w:tcBorders>
            <w:shd w:val="clear" w:color="auto" w:fill="auto"/>
            <w:noWrap/>
            <w:vAlign w:val="bottom"/>
          </w:tcPr>
          <w:p w:rsidR="00C367F8" w:rsidRPr="00C367F8" w:rsidRDefault="00C367F8" w:rsidP="00033C02">
            <w:pPr>
              <w:spacing w:after="0" w:line="240" w:lineRule="auto"/>
              <w:rPr>
                <w:rFonts w:ascii="Arial" w:eastAsia="Times New Roman" w:hAnsi="Arial" w:cs="Arial"/>
                <w:color w:val="000000"/>
                <w:sz w:val="24"/>
              </w:rPr>
            </w:pPr>
          </w:p>
        </w:tc>
      </w:tr>
      <w:tr w:rsidR="00C367F8" w:rsidRPr="00C367F8" w:rsidTr="00E631FF">
        <w:trPr>
          <w:trHeight w:val="225"/>
        </w:trPr>
        <w:tc>
          <w:tcPr>
            <w:tcW w:w="2181" w:type="dxa"/>
            <w:tcBorders>
              <w:top w:val="nil"/>
              <w:left w:val="nil"/>
              <w:bottom w:val="nil"/>
              <w:right w:val="nil"/>
            </w:tcBorders>
            <w:shd w:val="clear" w:color="auto" w:fill="auto"/>
            <w:noWrap/>
            <w:vAlign w:val="bottom"/>
            <w:hideMark/>
          </w:tcPr>
          <w:p w:rsidR="00C367F8" w:rsidRPr="00C367F8" w:rsidRDefault="00C367F8" w:rsidP="00033C02">
            <w:pPr>
              <w:spacing w:after="0" w:line="240" w:lineRule="auto"/>
              <w:rPr>
                <w:rFonts w:ascii="Arial" w:eastAsia="Times New Roman" w:hAnsi="Arial" w:cs="Arial"/>
                <w:color w:val="000000"/>
              </w:rPr>
            </w:pPr>
          </w:p>
        </w:tc>
        <w:tc>
          <w:tcPr>
            <w:tcW w:w="1872" w:type="dxa"/>
            <w:tcBorders>
              <w:top w:val="nil"/>
              <w:left w:val="nil"/>
              <w:bottom w:val="nil"/>
              <w:right w:val="nil"/>
            </w:tcBorders>
            <w:shd w:val="clear" w:color="auto" w:fill="auto"/>
            <w:noWrap/>
            <w:vAlign w:val="bottom"/>
            <w:hideMark/>
          </w:tcPr>
          <w:p w:rsidR="00C367F8" w:rsidRPr="00C367F8" w:rsidRDefault="00C367F8" w:rsidP="00033C02">
            <w:pPr>
              <w:spacing w:after="0" w:line="240" w:lineRule="auto"/>
              <w:rPr>
                <w:rFonts w:ascii="Arial" w:eastAsia="Times New Roman" w:hAnsi="Arial" w:cs="Arial"/>
                <w:color w:val="000000"/>
              </w:rPr>
            </w:pPr>
          </w:p>
        </w:tc>
        <w:tc>
          <w:tcPr>
            <w:tcW w:w="1872" w:type="dxa"/>
            <w:tcBorders>
              <w:top w:val="nil"/>
              <w:left w:val="nil"/>
              <w:bottom w:val="nil"/>
              <w:right w:val="nil"/>
            </w:tcBorders>
            <w:shd w:val="clear" w:color="auto" w:fill="auto"/>
            <w:noWrap/>
            <w:vAlign w:val="bottom"/>
            <w:hideMark/>
          </w:tcPr>
          <w:p w:rsidR="00C367F8" w:rsidRPr="00C367F8" w:rsidRDefault="00C367F8" w:rsidP="00033C02">
            <w:pPr>
              <w:spacing w:after="0" w:line="240" w:lineRule="auto"/>
              <w:rPr>
                <w:rFonts w:ascii="Arial" w:eastAsia="Times New Roman" w:hAnsi="Arial" w:cs="Arial"/>
                <w:color w:val="000000"/>
              </w:rPr>
            </w:pPr>
          </w:p>
        </w:tc>
        <w:tc>
          <w:tcPr>
            <w:tcW w:w="2761" w:type="dxa"/>
            <w:tcBorders>
              <w:top w:val="nil"/>
              <w:left w:val="nil"/>
              <w:bottom w:val="nil"/>
              <w:right w:val="nil"/>
            </w:tcBorders>
            <w:shd w:val="clear" w:color="auto" w:fill="auto"/>
            <w:noWrap/>
            <w:vAlign w:val="bottom"/>
            <w:hideMark/>
          </w:tcPr>
          <w:p w:rsidR="00C367F8" w:rsidRPr="00C367F8" w:rsidRDefault="00C367F8" w:rsidP="00033C02">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rsidR="00C367F8" w:rsidRPr="00C367F8" w:rsidRDefault="00C367F8" w:rsidP="00033C02">
            <w:pPr>
              <w:spacing w:after="0" w:line="240" w:lineRule="auto"/>
              <w:rPr>
                <w:rFonts w:ascii="Arial" w:eastAsia="Times New Roman" w:hAnsi="Arial" w:cs="Arial"/>
                <w:color w:val="000000"/>
              </w:rPr>
            </w:pPr>
          </w:p>
        </w:tc>
        <w:tc>
          <w:tcPr>
            <w:tcW w:w="1120" w:type="dxa"/>
            <w:tcBorders>
              <w:top w:val="nil"/>
              <w:left w:val="nil"/>
              <w:bottom w:val="nil"/>
              <w:right w:val="nil"/>
            </w:tcBorders>
            <w:shd w:val="clear" w:color="auto" w:fill="auto"/>
            <w:noWrap/>
            <w:vAlign w:val="bottom"/>
            <w:hideMark/>
          </w:tcPr>
          <w:p w:rsidR="00C367F8" w:rsidRPr="00C367F8" w:rsidRDefault="00C367F8" w:rsidP="00033C02">
            <w:pPr>
              <w:spacing w:after="0" w:line="240" w:lineRule="auto"/>
              <w:rPr>
                <w:rFonts w:ascii="Arial" w:eastAsia="Times New Roman" w:hAnsi="Arial" w:cs="Arial"/>
                <w:color w:val="000000"/>
              </w:rPr>
            </w:pPr>
          </w:p>
        </w:tc>
        <w:tc>
          <w:tcPr>
            <w:tcW w:w="1327" w:type="dxa"/>
            <w:tcBorders>
              <w:top w:val="nil"/>
              <w:left w:val="nil"/>
              <w:bottom w:val="nil"/>
              <w:right w:val="nil"/>
            </w:tcBorders>
            <w:shd w:val="clear" w:color="auto" w:fill="auto"/>
            <w:noWrap/>
            <w:vAlign w:val="bottom"/>
            <w:hideMark/>
          </w:tcPr>
          <w:p w:rsidR="00C367F8" w:rsidRPr="00C367F8" w:rsidRDefault="00C367F8" w:rsidP="00033C02">
            <w:pPr>
              <w:spacing w:after="0" w:line="240" w:lineRule="auto"/>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rsidR="00C367F8" w:rsidRPr="00C367F8" w:rsidRDefault="00C367F8" w:rsidP="00033C02">
            <w:pPr>
              <w:spacing w:after="0" w:line="240" w:lineRule="auto"/>
              <w:rPr>
                <w:rFonts w:ascii="Arial" w:eastAsia="Times New Roman" w:hAnsi="Arial" w:cs="Arial"/>
                <w:color w:val="000000"/>
              </w:rPr>
            </w:pPr>
          </w:p>
        </w:tc>
      </w:tr>
    </w:tbl>
    <w:p w:rsidR="00E631FF" w:rsidRDefault="00E631FF" w:rsidP="00C367F8">
      <w:pPr>
        <w:ind w:left="993"/>
        <w:rPr>
          <w:rFonts w:ascii="Arial" w:hAnsi="Arial" w:cs="Arial"/>
        </w:rPr>
      </w:pPr>
    </w:p>
    <w:p w:rsidR="00E631FF" w:rsidRDefault="00E631FF">
      <w:pPr>
        <w:rPr>
          <w:rFonts w:ascii="Arial" w:hAnsi="Arial" w:cs="Arial"/>
        </w:rPr>
      </w:pPr>
      <w:r>
        <w:rPr>
          <w:rFonts w:ascii="Arial" w:hAnsi="Arial" w:cs="Arial"/>
        </w:rPr>
        <w:br w:type="page"/>
      </w:r>
    </w:p>
    <w:p w:rsidR="00C367F8" w:rsidRDefault="00C367F8" w:rsidP="00C367F8">
      <w:pPr>
        <w:ind w:left="993"/>
        <w:rPr>
          <w:rFonts w:ascii="Arial" w:hAnsi="Arial" w:cs="Arial"/>
        </w:rPr>
      </w:pPr>
    </w:p>
    <w:p w:rsidR="00E631FF" w:rsidRDefault="00E631FF" w:rsidP="00C367F8">
      <w:pPr>
        <w:ind w:left="993"/>
        <w:rPr>
          <w:rFonts w:ascii="Arial" w:hAnsi="Arial" w:cs="Arial"/>
        </w:rPr>
      </w:pPr>
    </w:p>
    <w:p w:rsidR="00E631FF" w:rsidRDefault="00E631FF" w:rsidP="00C367F8">
      <w:pPr>
        <w:ind w:left="993"/>
        <w:rPr>
          <w:rFonts w:ascii="Arial" w:hAnsi="Arial" w:cs="Arial"/>
          <w:i/>
          <w:sz w:val="24"/>
          <w:szCs w:val="24"/>
          <w:u w:val="single"/>
        </w:rPr>
      </w:pPr>
      <w:r w:rsidRPr="00E631FF">
        <w:rPr>
          <w:rFonts w:ascii="Arial" w:hAnsi="Arial" w:cs="Arial"/>
          <w:i/>
          <w:sz w:val="24"/>
          <w:szCs w:val="24"/>
          <w:u w:val="single"/>
        </w:rPr>
        <w:t xml:space="preserve">Annex </w:t>
      </w:r>
    </w:p>
    <w:p w:rsidR="00E631FF" w:rsidRDefault="00E631FF" w:rsidP="00C367F8">
      <w:pPr>
        <w:ind w:left="993"/>
        <w:rPr>
          <w:rFonts w:ascii="Arial" w:hAnsi="Arial" w:cs="Arial"/>
          <w:i/>
          <w:sz w:val="24"/>
          <w:szCs w:val="24"/>
          <w:u w:val="single"/>
        </w:rPr>
      </w:pPr>
    </w:p>
    <w:p w:rsidR="00E631FF" w:rsidRPr="00E631FF" w:rsidRDefault="00E631FF" w:rsidP="00C367F8">
      <w:pPr>
        <w:ind w:left="993"/>
        <w:rPr>
          <w:rFonts w:ascii="Arial" w:hAnsi="Arial" w:cs="Arial"/>
          <w:i/>
          <w:sz w:val="24"/>
          <w:szCs w:val="24"/>
          <w:u w:val="single"/>
        </w:rPr>
      </w:pPr>
      <w:r w:rsidRPr="00C367F8">
        <w:rPr>
          <w:rFonts w:ascii="Arial" w:eastAsia="Times New Roman" w:hAnsi="Arial" w:cs="Arial"/>
          <w:b/>
          <w:bCs/>
          <w:color w:val="000000"/>
          <w:sz w:val="24"/>
          <w:szCs w:val="28"/>
        </w:rPr>
        <w:t>Financial Implications of Draft Amending Budget 1 / 2017</w:t>
      </w:r>
    </w:p>
    <w:tbl>
      <w:tblPr>
        <w:tblStyle w:val="TableGrid"/>
        <w:tblW w:w="0" w:type="auto"/>
        <w:tblInd w:w="993" w:type="dxa"/>
        <w:tblLook w:val="04A0" w:firstRow="1" w:lastRow="0" w:firstColumn="1" w:lastColumn="0" w:noHBand="0" w:noVBand="1"/>
      </w:tblPr>
      <w:tblGrid>
        <w:gridCol w:w="1270"/>
        <w:gridCol w:w="4353"/>
        <w:gridCol w:w="2734"/>
      </w:tblGrid>
      <w:tr w:rsidR="00C367F8" w:rsidRPr="00C367F8" w:rsidTr="00D80295">
        <w:trPr>
          <w:trHeight w:val="578"/>
        </w:trPr>
        <w:tc>
          <w:tcPr>
            <w:tcW w:w="8583" w:type="dxa"/>
            <w:gridSpan w:val="3"/>
            <w:vAlign w:val="center"/>
          </w:tcPr>
          <w:p w:rsidR="00C367F8" w:rsidRPr="00C367F8" w:rsidRDefault="00C367F8" w:rsidP="006C00B2">
            <w:pPr>
              <w:rPr>
                <w:rFonts w:ascii="Arial" w:hAnsi="Arial" w:cs="Arial"/>
                <w:b/>
              </w:rPr>
            </w:pPr>
            <w:r w:rsidRPr="00C367F8">
              <w:rPr>
                <w:rFonts w:ascii="Arial" w:hAnsi="Arial" w:cs="Arial"/>
                <w:b/>
              </w:rPr>
              <w:t xml:space="preserve">Expenditure in OSG </w:t>
            </w:r>
          </w:p>
        </w:tc>
      </w:tr>
      <w:tr w:rsidR="00C367F8" w:rsidRPr="00C367F8" w:rsidTr="00D80295">
        <w:trPr>
          <w:trHeight w:val="455"/>
        </w:trPr>
        <w:tc>
          <w:tcPr>
            <w:tcW w:w="1301" w:type="dxa"/>
            <w:vAlign w:val="center"/>
          </w:tcPr>
          <w:p w:rsidR="00C367F8" w:rsidRPr="00C367F8" w:rsidRDefault="00C367F8" w:rsidP="00D80295">
            <w:pPr>
              <w:spacing w:line="360" w:lineRule="auto"/>
              <w:rPr>
                <w:rFonts w:ascii="Arial" w:hAnsi="Arial" w:cs="Arial"/>
              </w:rPr>
            </w:pPr>
            <w:r w:rsidRPr="00C367F8">
              <w:rPr>
                <w:rFonts w:ascii="Arial" w:hAnsi="Arial" w:cs="Arial"/>
              </w:rPr>
              <w:t>60 11 01</w:t>
            </w:r>
          </w:p>
        </w:tc>
        <w:tc>
          <w:tcPr>
            <w:tcW w:w="4467" w:type="dxa"/>
            <w:vAlign w:val="center"/>
          </w:tcPr>
          <w:p w:rsidR="00C367F8" w:rsidRPr="00C367F8" w:rsidRDefault="00C367F8" w:rsidP="006C00B2">
            <w:pPr>
              <w:rPr>
                <w:rFonts w:ascii="Arial" w:hAnsi="Arial" w:cs="Arial"/>
              </w:rPr>
            </w:pPr>
            <w:r w:rsidRPr="00C367F8">
              <w:rPr>
                <w:rFonts w:ascii="Arial" w:hAnsi="Arial" w:cs="Arial"/>
              </w:rPr>
              <w:t>Accounting Officer (3 months)</w:t>
            </w:r>
          </w:p>
        </w:tc>
        <w:tc>
          <w:tcPr>
            <w:tcW w:w="2815" w:type="dxa"/>
            <w:vAlign w:val="center"/>
          </w:tcPr>
          <w:p w:rsidR="00C367F8" w:rsidRPr="00C367F8" w:rsidRDefault="00C367F8" w:rsidP="006C00B2">
            <w:pPr>
              <w:jc w:val="right"/>
              <w:rPr>
                <w:rFonts w:ascii="Arial" w:hAnsi="Arial" w:cs="Arial"/>
              </w:rPr>
            </w:pPr>
            <w:r w:rsidRPr="00C367F8">
              <w:rPr>
                <w:rFonts w:ascii="Arial" w:hAnsi="Arial" w:cs="Arial"/>
              </w:rPr>
              <w:t>21 500</w:t>
            </w:r>
          </w:p>
        </w:tc>
      </w:tr>
      <w:tr w:rsidR="00C367F8" w:rsidRPr="00C367F8" w:rsidTr="00D80295">
        <w:trPr>
          <w:trHeight w:val="419"/>
        </w:trPr>
        <w:tc>
          <w:tcPr>
            <w:tcW w:w="1301" w:type="dxa"/>
            <w:vAlign w:val="center"/>
          </w:tcPr>
          <w:p w:rsidR="00C367F8" w:rsidRPr="00C367F8" w:rsidRDefault="00C367F8" w:rsidP="00D80295">
            <w:pPr>
              <w:spacing w:line="360" w:lineRule="auto"/>
              <w:rPr>
                <w:rFonts w:ascii="Arial" w:hAnsi="Arial" w:cs="Arial"/>
              </w:rPr>
            </w:pPr>
            <w:r w:rsidRPr="00C367F8">
              <w:rPr>
                <w:rFonts w:ascii="Arial" w:hAnsi="Arial" w:cs="Arial"/>
              </w:rPr>
              <w:t>60 11 03</w:t>
            </w:r>
          </w:p>
        </w:tc>
        <w:tc>
          <w:tcPr>
            <w:tcW w:w="4467" w:type="dxa"/>
            <w:vAlign w:val="center"/>
          </w:tcPr>
          <w:p w:rsidR="00C367F8" w:rsidRPr="00C367F8" w:rsidRDefault="00C367F8" w:rsidP="006C00B2">
            <w:pPr>
              <w:rPr>
                <w:rFonts w:ascii="Arial" w:hAnsi="Arial" w:cs="Arial"/>
              </w:rPr>
            </w:pPr>
            <w:r w:rsidRPr="00C367F8">
              <w:rPr>
                <w:rFonts w:ascii="Arial" w:hAnsi="Arial" w:cs="Arial"/>
              </w:rPr>
              <w:t>Accountant (2 months)</w:t>
            </w:r>
          </w:p>
        </w:tc>
        <w:tc>
          <w:tcPr>
            <w:tcW w:w="2815" w:type="dxa"/>
            <w:vAlign w:val="center"/>
          </w:tcPr>
          <w:p w:rsidR="00C367F8" w:rsidRPr="00C367F8" w:rsidRDefault="00C367F8" w:rsidP="006C00B2">
            <w:pPr>
              <w:jc w:val="right"/>
              <w:rPr>
                <w:rFonts w:ascii="Arial" w:hAnsi="Arial" w:cs="Arial"/>
              </w:rPr>
            </w:pPr>
            <w:r w:rsidRPr="00C367F8">
              <w:rPr>
                <w:rFonts w:ascii="Arial" w:hAnsi="Arial" w:cs="Arial"/>
              </w:rPr>
              <w:t>12 500</w:t>
            </w:r>
          </w:p>
        </w:tc>
      </w:tr>
      <w:tr w:rsidR="00C367F8" w:rsidRPr="00C367F8" w:rsidTr="00D80295">
        <w:trPr>
          <w:trHeight w:val="410"/>
        </w:trPr>
        <w:tc>
          <w:tcPr>
            <w:tcW w:w="1301" w:type="dxa"/>
            <w:vAlign w:val="center"/>
          </w:tcPr>
          <w:p w:rsidR="00C367F8" w:rsidRPr="00C367F8" w:rsidRDefault="00C367F8" w:rsidP="00D80295">
            <w:pPr>
              <w:spacing w:line="360" w:lineRule="auto"/>
              <w:rPr>
                <w:rFonts w:ascii="Arial" w:hAnsi="Arial" w:cs="Arial"/>
              </w:rPr>
            </w:pPr>
            <w:r w:rsidRPr="00C367F8">
              <w:rPr>
                <w:rFonts w:ascii="Arial" w:hAnsi="Arial" w:cs="Arial"/>
              </w:rPr>
              <w:t>60 11 03</w:t>
            </w:r>
          </w:p>
        </w:tc>
        <w:tc>
          <w:tcPr>
            <w:tcW w:w="4467" w:type="dxa"/>
            <w:vAlign w:val="center"/>
          </w:tcPr>
          <w:p w:rsidR="00C367F8" w:rsidRPr="00C367F8" w:rsidRDefault="00C367F8" w:rsidP="006C00B2">
            <w:pPr>
              <w:rPr>
                <w:rFonts w:ascii="Arial" w:hAnsi="Arial" w:cs="Arial"/>
              </w:rPr>
            </w:pPr>
            <w:r w:rsidRPr="00C367F8">
              <w:rPr>
                <w:rFonts w:ascii="Arial" w:hAnsi="Arial" w:cs="Arial"/>
              </w:rPr>
              <w:t>Internal Control – Advisory (7 months)</w:t>
            </w:r>
          </w:p>
        </w:tc>
        <w:tc>
          <w:tcPr>
            <w:tcW w:w="2815" w:type="dxa"/>
            <w:vAlign w:val="center"/>
          </w:tcPr>
          <w:p w:rsidR="00C367F8" w:rsidRPr="00C367F8" w:rsidRDefault="00C367F8" w:rsidP="006C00B2">
            <w:pPr>
              <w:jc w:val="right"/>
              <w:rPr>
                <w:rFonts w:ascii="Arial" w:hAnsi="Arial" w:cs="Arial"/>
              </w:rPr>
            </w:pPr>
            <w:r w:rsidRPr="00C367F8">
              <w:rPr>
                <w:rFonts w:ascii="Arial" w:hAnsi="Arial" w:cs="Arial"/>
              </w:rPr>
              <w:t>43 750</w:t>
            </w:r>
          </w:p>
        </w:tc>
      </w:tr>
      <w:tr w:rsidR="00C367F8" w:rsidRPr="00C367F8" w:rsidTr="00D80295">
        <w:trPr>
          <w:trHeight w:val="417"/>
        </w:trPr>
        <w:tc>
          <w:tcPr>
            <w:tcW w:w="1301" w:type="dxa"/>
            <w:vAlign w:val="center"/>
          </w:tcPr>
          <w:p w:rsidR="00C367F8" w:rsidRPr="00C367F8" w:rsidRDefault="00C367F8" w:rsidP="00D80295">
            <w:pPr>
              <w:spacing w:line="360" w:lineRule="auto"/>
              <w:rPr>
                <w:rFonts w:ascii="Arial" w:hAnsi="Arial" w:cs="Arial"/>
              </w:rPr>
            </w:pPr>
            <w:r w:rsidRPr="00C367F8">
              <w:rPr>
                <w:rFonts w:ascii="Arial" w:hAnsi="Arial" w:cs="Arial"/>
              </w:rPr>
              <w:t>60 11 03</w:t>
            </w:r>
          </w:p>
        </w:tc>
        <w:tc>
          <w:tcPr>
            <w:tcW w:w="4467" w:type="dxa"/>
            <w:vAlign w:val="center"/>
          </w:tcPr>
          <w:p w:rsidR="00C367F8" w:rsidRPr="00C367F8" w:rsidRDefault="00C367F8" w:rsidP="006C00B2">
            <w:pPr>
              <w:rPr>
                <w:rFonts w:ascii="Arial" w:hAnsi="Arial" w:cs="Arial"/>
              </w:rPr>
            </w:pPr>
            <w:r w:rsidRPr="00C367F8">
              <w:rPr>
                <w:rFonts w:ascii="Arial" w:hAnsi="Arial" w:cs="Arial"/>
              </w:rPr>
              <w:t>Project Manager (7 months)</w:t>
            </w:r>
          </w:p>
        </w:tc>
        <w:tc>
          <w:tcPr>
            <w:tcW w:w="2815" w:type="dxa"/>
            <w:vAlign w:val="center"/>
          </w:tcPr>
          <w:p w:rsidR="00C367F8" w:rsidRPr="00C367F8" w:rsidRDefault="00C367F8" w:rsidP="006C00B2">
            <w:pPr>
              <w:jc w:val="right"/>
              <w:rPr>
                <w:rFonts w:ascii="Arial" w:hAnsi="Arial" w:cs="Arial"/>
              </w:rPr>
            </w:pPr>
            <w:r w:rsidRPr="00C367F8">
              <w:rPr>
                <w:rFonts w:ascii="Arial" w:hAnsi="Arial" w:cs="Arial"/>
              </w:rPr>
              <w:t>63 000</w:t>
            </w:r>
          </w:p>
        </w:tc>
      </w:tr>
      <w:tr w:rsidR="00C367F8" w:rsidRPr="00C367F8" w:rsidTr="00D80295">
        <w:trPr>
          <w:trHeight w:val="409"/>
        </w:trPr>
        <w:tc>
          <w:tcPr>
            <w:tcW w:w="1301" w:type="dxa"/>
            <w:vAlign w:val="center"/>
          </w:tcPr>
          <w:p w:rsidR="00C367F8" w:rsidRPr="00C367F8" w:rsidRDefault="00C367F8" w:rsidP="00D80295">
            <w:pPr>
              <w:spacing w:line="360" w:lineRule="auto"/>
              <w:rPr>
                <w:rFonts w:ascii="Arial" w:hAnsi="Arial" w:cs="Arial"/>
              </w:rPr>
            </w:pPr>
            <w:r w:rsidRPr="00C367F8">
              <w:rPr>
                <w:rFonts w:ascii="Arial" w:hAnsi="Arial" w:cs="Arial"/>
              </w:rPr>
              <w:t>60 12 02</w:t>
            </w:r>
          </w:p>
        </w:tc>
        <w:tc>
          <w:tcPr>
            <w:tcW w:w="4467" w:type="dxa"/>
            <w:vAlign w:val="center"/>
          </w:tcPr>
          <w:p w:rsidR="00C367F8" w:rsidRPr="00C367F8" w:rsidRDefault="00C367F8" w:rsidP="006C00B2">
            <w:pPr>
              <w:rPr>
                <w:rFonts w:ascii="Arial" w:hAnsi="Arial" w:cs="Arial"/>
              </w:rPr>
            </w:pPr>
            <w:r w:rsidRPr="00C367F8">
              <w:rPr>
                <w:rFonts w:ascii="Arial" w:hAnsi="Arial" w:cs="Arial"/>
              </w:rPr>
              <w:t>SAP (310 work/days at 1500 EURO)</w:t>
            </w:r>
          </w:p>
        </w:tc>
        <w:tc>
          <w:tcPr>
            <w:tcW w:w="2815" w:type="dxa"/>
            <w:vAlign w:val="center"/>
          </w:tcPr>
          <w:p w:rsidR="00C367F8" w:rsidRPr="00C367F8" w:rsidRDefault="00C367F8" w:rsidP="006C00B2">
            <w:pPr>
              <w:jc w:val="right"/>
              <w:rPr>
                <w:rFonts w:ascii="Arial" w:hAnsi="Arial" w:cs="Arial"/>
              </w:rPr>
            </w:pPr>
            <w:r w:rsidRPr="00C367F8">
              <w:rPr>
                <w:rFonts w:ascii="Arial" w:hAnsi="Arial" w:cs="Arial"/>
              </w:rPr>
              <w:t>465 000</w:t>
            </w:r>
          </w:p>
        </w:tc>
      </w:tr>
      <w:tr w:rsidR="00C367F8" w:rsidRPr="00C367F8" w:rsidTr="00D80295">
        <w:trPr>
          <w:trHeight w:val="558"/>
        </w:trPr>
        <w:tc>
          <w:tcPr>
            <w:tcW w:w="1301" w:type="dxa"/>
            <w:vAlign w:val="center"/>
          </w:tcPr>
          <w:p w:rsidR="00C367F8" w:rsidRPr="00C367F8" w:rsidRDefault="00C367F8" w:rsidP="006C00B2">
            <w:pPr>
              <w:rPr>
                <w:rFonts w:ascii="Arial" w:hAnsi="Arial" w:cs="Arial"/>
                <w:b/>
              </w:rPr>
            </w:pPr>
          </w:p>
        </w:tc>
        <w:tc>
          <w:tcPr>
            <w:tcW w:w="4467" w:type="dxa"/>
            <w:vAlign w:val="center"/>
          </w:tcPr>
          <w:p w:rsidR="00C367F8" w:rsidRPr="00C367F8" w:rsidRDefault="00C367F8" w:rsidP="006C00B2">
            <w:pPr>
              <w:rPr>
                <w:rFonts w:ascii="Arial" w:hAnsi="Arial" w:cs="Arial"/>
                <w:b/>
              </w:rPr>
            </w:pPr>
            <w:r w:rsidRPr="00C367F8">
              <w:rPr>
                <w:rFonts w:ascii="Arial" w:hAnsi="Arial" w:cs="Arial"/>
                <w:b/>
              </w:rPr>
              <w:t xml:space="preserve">Total </w:t>
            </w:r>
          </w:p>
        </w:tc>
        <w:tc>
          <w:tcPr>
            <w:tcW w:w="2815" w:type="dxa"/>
            <w:vAlign w:val="center"/>
          </w:tcPr>
          <w:p w:rsidR="00C367F8" w:rsidRPr="00C367F8" w:rsidRDefault="00C367F8" w:rsidP="006C00B2">
            <w:pPr>
              <w:jc w:val="right"/>
              <w:rPr>
                <w:rFonts w:ascii="Arial" w:hAnsi="Arial" w:cs="Arial"/>
                <w:b/>
              </w:rPr>
            </w:pPr>
            <w:r w:rsidRPr="00C367F8">
              <w:rPr>
                <w:rFonts w:ascii="Arial" w:hAnsi="Arial" w:cs="Arial"/>
                <w:b/>
              </w:rPr>
              <w:t>605 750</w:t>
            </w:r>
          </w:p>
        </w:tc>
      </w:tr>
      <w:tr w:rsidR="00C367F8" w:rsidRPr="00C367F8" w:rsidTr="00D80295">
        <w:trPr>
          <w:trHeight w:val="652"/>
        </w:trPr>
        <w:tc>
          <w:tcPr>
            <w:tcW w:w="8583" w:type="dxa"/>
            <w:gridSpan w:val="3"/>
            <w:vAlign w:val="center"/>
          </w:tcPr>
          <w:p w:rsidR="00C367F8" w:rsidRPr="00C367F8" w:rsidRDefault="00C367F8" w:rsidP="006C00B2">
            <w:pPr>
              <w:rPr>
                <w:rFonts w:ascii="Arial" w:hAnsi="Arial" w:cs="Arial"/>
                <w:b/>
              </w:rPr>
            </w:pPr>
            <w:r w:rsidRPr="00C367F8">
              <w:rPr>
                <w:rFonts w:ascii="Arial" w:hAnsi="Arial" w:cs="Arial"/>
                <w:b/>
              </w:rPr>
              <w:t>Revenue in OSG</w:t>
            </w:r>
          </w:p>
        </w:tc>
      </w:tr>
      <w:tr w:rsidR="00C367F8" w:rsidRPr="00C367F8" w:rsidTr="00D80295">
        <w:trPr>
          <w:trHeight w:val="452"/>
        </w:trPr>
        <w:tc>
          <w:tcPr>
            <w:tcW w:w="1301" w:type="dxa"/>
          </w:tcPr>
          <w:p w:rsidR="00C367F8" w:rsidRPr="00C367F8" w:rsidRDefault="00C367F8" w:rsidP="00033C02">
            <w:pPr>
              <w:rPr>
                <w:rFonts w:ascii="Arial" w:hAnsi="Arial" w:cs="Arial"/>
              </w:rPr>
            </w:pPr>
            <w:r w:rsidRPr="00C367F8">
              <w:rPr>
                <w:rFonts w:ascii="Arial" w:hAnsi="Arial" w:cs="Arial"/>
              </w:rPr>
              <w:t>70 33 01</w:t>
            </w:r>
          </w:p>
        </w:tc>
        <w:tc>
          <w:tcPr>
            <w:tcW w:w="4467" w:type="dxa"/>
          </w:tcPr>
          <w:p w:rsidR="00C367F8" w:rsidRPr="00C367F8" w:rsidRDefault="00C367F8" w:rsidP="00033C02">
            <w:pPr>
              <w:rPr>
                <w:rFonts w:ascii="Arial" w:hAnsi="Arial" w:cs="Arial"/>
              </w:rPr>
            </w:pPr>
            <w:r w:rsidRPr="00C367F8">
              <w:rPr>
                <w:rFonts w:ascii="Arial" w:hAnsi="Arial" w:cs="Arial"/>
              </w:rPr>
              <w:t>Surplus from year n-1</w:t>
            </w:r>
          </w:p>
        </w:tc>
        <w:tc>
          <w:tcPr>
            <w:tcW w:w="2815" w:type="dxa"/>
            <w:vAlign w:val="center"/>
          </w:tcPr>
          <w:p w:rsidR="00C367F8" w:rsidRPr="00C367F8" w:rsidRDefault="00C367F8" w:rsidP="006C00B2">
            <w:pPr>
              <w:jc w:val="right"/>
              <w:rPr>
                <w:rFonts w:ascii="Arial" w:hAnsi="Arial" w:cs="Arial"/>
              </w:rPr>
            </w:pPr>
            <w:r w:rsidRPr="00C367F8">
              <w:rPr>
                <w:rFonts w:ascii="Arial" w:hAnsi="Arial" w:cs="Arial"/>
              </w:rPr>
              <w:t>605 750</w:t>
            </w:r>
          </w:p>
        </w:tc>
      </w:tr>
      <w:tr w:rsidR="006C00B2" w:rsidRPr="006C00B2" w:rsidTr="00D80295">
        <w:trPr>
          <w:trHeight w:val="452"/>
        </w:trPr>
        <w:tc>
          <w:tcPr>
            <w:tcW w:w="1301" w:type="dxa"/>
            <w:vAlign w:val="center"/>
          </w:tcPr>
          <w:p w:rsidR="006C00B2" w:rsidRPr="00D80295" w:rsidRDefault="006C00B2" w:rsidP="006C00B2">
            <w:pPr>
              <w:rPr>
                <w:rFonts w:ascii="Arial" w:hAnsi="Arial" w:cs="Arial"/>
                <w:b/>
              </w:rPr>
            </w:pPr>
          </w:p>
        </w:tc>
        <w:tc>
          <w:tcPr>
            <w:tcW w:w="4467" w:type="dxa"/>
            <w:vAlign w:val="center"/>
          </w:tcPr>
          <w:p w:rsidR="006C00B2" w:rsidRPr="00D80295" w:rsidRDefault="006C00B2" w:rsidP="006C00B2">
            <w:pPr>
              <w:rPr>
                <w:rFonts w:ascii="Arial" w:hAnsi="Arial" w:cs="Arial"/>
                <w:b/>
              </w:rPr>
            </w:pPr>
            <w:r w:rsidRPr="00D80295">
              <w:rPr>
                <w:rFonts w:ascii="Arial" w:hAnsi="Arial" w:cs="Arial"/>
                <w:b/>
              </w:rPr>
              <w:t>Total</w:t>
            </w:r>
          </w:p>
        </w:tc>
        <w:tc>
          <w:tcPr>
            <w:tcW w:w="2815" w:type="dxa"/>
            <w:vAlign w:val="center"/>
          </w:tcPr>
          <w:p w:rsidR="006C00B2" w:rsidRPr="00D80295" w:rsidRDefault="006C00B2" w:rsidP="006C00B2">
            <w:pPr>
              <w:jc w:val="right"/>
              <w:rPr>
                <w:rFonts w:ascii="Arial" w:hAnsi="Arial" w:cs="Arial"/>
                <w:b/>
              </w:rPr>
            </w:pPr>
            <w:r w:rsidRPr="00D80295">
              <w:rPr>
                <w:rFonts w:ascii="Arial" w:hAnsi="Arial" w:cs="Arial"/>
                <w:b/>
              </w:rPr>
              <w:t>605 750</w:t>
            </w:r>
          </w:p>
        </w:tc>
      </w:tr>
    </w:tbl>
    <w:p w:rsidR="00C367F8" w:rsidRPr="00C367F8" w:rsidRDefault="00C367F8" w:rsidP="00C367F8">
      <w:pPr>
        <w:ind w:left="993"/>
        <w:rPr>
          <w:rFonts w:ascii="Arial" w:hAnsi="Arial" w:cs="Arial"/>
        </w:rPr>
      </w:pPr>
    </w:p>
    <w:p w:rsidR="00C367F8" w:rsidRPr="00C367F8" w:rsidRDefault="00C367F8" w:rsidP="00C367F8">
      <w:pPr>
        <w:rPr>
          <w:rFonts w:ascii="Arial" w:hAnsi="Arial" w:cs="Arial"/>
        </w:rPr>
      </w:pPr>
    </w:p>
    <w:sectPr w:rsidR="00C367F8" w:rsidRPr="00C367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F97" w:rsidRDefault="004B1F97" w:rsidP="00A06B7F">
      <w:pPr>
        <w:spacing w:after="0" w:line="240" w:lineRule="auto"/>
      </w:pPr>
      <w:r>
        <w:separator/>
      </w:r>
    </w:p>
  </w:endnote>
  <w:endnote w:type="continuationSeparator" w:id="0">
    <w:p w:rsidR="004B1F97" w:rsidRDefault="004B1F97" w:rsidP="00A0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799952"/>
      <w:docPartObj>
        <w:docPartGallery w:val="Page Numbers (Bottom of Page)"/>
        <w:docPartUnique/>
      </w:docPartObj>
    </w:sdtPr>
    <w:sdtEndPr>
      <w:rPr>
        <w:noProof/>
      </w:rPr>
    </w:sdtEndPr>
    <w:sdtContent>
      <w:p w:rsidR="00A2388A" w:rsidRDefault="00A2388A">
        <w:pPr>
          <w:pStyle w:val="Footer"/>
          <w:jc w:val="right"/>
        </w:pPr>
        <w:r>
          <w:fldChar w:fldCharType="begin"/>
        </w:r>
        <w:r>
          <w:instrText xml:space="preserve"> PAGE   \* MERGEFORMAT </w:instrText>
        </w:r>
        <w:r>
          <w:fldChar w:fldCharType="separate"/>
        </w:r>
        <w:r w:rsidR="00B77881">
          <w:rPr>
            <w:noProof/>
          </w:rPr>
          <w:t>4</w:t>
        </w:r>
        <w:r>
          <w:rPr>
            <w:noProof/>
          </w:rPr>
          <w:fldChar w:fldCharType="end"/>
        </w:r>
      </w:p>
    </w:sdtContent>
  </w:sdt>
  <w:p w:rsidR="00A2388A" w:rsidRDefault="00A238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F97" w:rsidRDefault="004B1F97" w:rsidP="00A06B7F">
      <w:pPr>
        <w:spacing w:after="0" w:line="240" w:lineRule="auto"/>
      </w:pPr>
      <w:r>
        <w:separator/>
      </w:r>
    </w:p>
  </w:footnote>
  <w:footnote w:type="continuationSeparator" w:id="0">
    <w:p w:rsidR="004B1F97" w:rsidRDefault="004B1F97" w:rsidP="00A06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28B9"/>
    <w:multiLevelType w:val="hybridMultilevel"/>
    <w:tmpl w:val="58FAD248"/>
    <w:lvl w:ilvl="0" w:tplc="040C0001">
      <w:start w:val="1"/>
      <w:numFmt w:val="bullet"/>
      <w:lvlText w:val=""/>
      <w:lvlJc w:val="left"/>
      <w:pPr>
        <w:tabs>
          <w:tab w:val="num" w:pos="2490"/>
        </w:tabs>
        <w:ind w:left="2490" w:hanging="360"/>
      </w:pPr>
      <w:rPr>
        <w:rFonts w:ascii="Symbol" w:hAnsi="Symbol" w:hint="default"/>
      </w:rPr>
    </w:lvl>
    <w:lvl w:ilvl="1" w:tplc="040C0003">
      <w:start w:val="1"/>
      <w:numFmt w:val="bullet"/>
      <w:lvlText w:val="o"/>
      <w:lvlJc w:val="left"/>
      <w:pPr>
        <w:tabs>
          <w:tab w:val="num" w:pos="3210"/>
        </w:tabs>
        <w:ind w:left="3210" w:hanging="360"/>
      </w:pPr>
      <w:rPr>
        <w:rFonts w:ascii="Courier New" w:hAnsi="Courier New" w:cs="Courier New" w:hint="default"/>
      </w:rPr>
    </w:lvl>
    <w:lvl w:ilvl="2" w:tplc="040C0005" w:tentative="1">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cs="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cs="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1" w15:restartNumberingAfterBreak="0">
    <w:nsid w:val="0DC86D7F"/>
    <w:multiLevelType w:val="hybridMultilevel"/>
    <w:tmpl w:val="BBFE88C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E1085"/>
    <w:multiLevelType w:val="hybridMultilevel"/>
    <w:tmpl w:val="2E9A13C4"/>
    <w:lvl w:ilvl="0" w:tplc="73CA9290">
      <w:start w:val="2"/>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E144B94"/>
    <w:multiLevelType w:val="hybridMultilevel"/>
    <w:tmpl w:val="8FC03842"/>
    <w:lvl w:ilvl="0" w:tplc="C44628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A41B7"/>
    <w:multiLevelType w:val="multilevel"/>
    <w:tmpl w:val="1FB60B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78C7F53"/>
    <w:multiLevelType w:val="hybridMultilevel"/>
    <w:tmpl w:val="EF9A9E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727FEE"/>
    <w:multiLevelType w:val="hybridMultilevel"/>
    <w:tmpl w:val="3B56CEB8"/>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7" w15:restartNumberingAfterBreak="0">
    <w:nsid w:val="19BD2C2D"/>
    <w:multiLevelType w:val="hybridMultilevel"/>
    <w:tmpl w:val="CCF8C186"/>
    <w:lvl w:ilvl="0" w:tplc="85D6EB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B0027"/>
    <w:multiLevelType w:val="hybridMultilevel"/>
    <w:tmpl w:val="FB86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B9B"/>
    <w:multiLevelType w:val="hybridMultilevel"/>
    <w:tmpl w:val="5F862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B1068"/>
    <w:multiLevelType w:val="hybridMultilevel"/>
    <w:tmpl w:val="55B2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C5684"/>
    <w:multiLevelType w:val="hybridMultilevel"/>
    <w:tmpl w:val="9C3AEB08"/>
    <w:lvl w:ilvl="0" w:tplc="85D6EBC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DE6434"/>
    <w:multiLevelType w:val="hybridMultilevel"/>
    <w:tmpl w:val="BEBE1F34"/>
    <w:lvl w:ilvl="0" w:tplc="77DEDC9A">
      <w:start w:val="8"/>
      <w:numFmt w:val="bullet"/>
      <w:lvlText w:val="-"/>
      <w:lvlJc w:val="left"/>
      <w:pPr>
        <w:tabs>
          <w:tab w:val="num" w:pos="720"/>
        </w:tabs>
        <w:ind w:left="720" w:hanging="360"/>
      </w:pPr>
      <w:rPr>
        <w:rFonts w:ascii="Arial" w:eastAsia="Times New Roman" w:hAnsi="Arial" w:cs="Arial" w:hint="default"/>
        <w:lang w:val="fr-FR"/>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F62300"/>
    <w:multiLevelType w:val="hybridMultilevel"/>
    <w:tmpl w:val="F07A13F6"/>
    <w:lvl w:ilvl="0" w:tplc="85D6EBC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13018"/>
    <w:multiLevelType w:val="hybridMultilevel"/>
    <w:tmpl w:val="7216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63185"/>
    <w:multiLevelType w:val="hybridMultilevel"/>
    <w:tmpl w:val="22103158"/>
    <w:lvl w:ilvl="0" w:tplc="040C0017">
      <w:start w:val="1"/>
      <w:numFmt w:val="lowerLetter"/>
      <w:lvlText w:val="%1)"/>
      <w:lvlJc w:val="left"/>
      <w:pPr>
        <w:ind w:left="1140" w:hanging="4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6" w15:restartNumberingAfterBreak="0">
    <w:nsid w:val="5A872783"/>
    <w:multiLevelType w:val="hybridMultilevel"/>
    <w:tmpl w:val="138C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47DAD"/>
    <w:multiLevelType w:val="hybridMultilevel"/>
    <w:tmpl w:val="EF9A9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4B63E8"/>
    <w:multiLevelType w:val="hybridMultilevel"/>
    <w:tmpl w:val="12D8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F4885"/>
    <w:multiLevelType w:val="hybridMultilevel"/>
    <w:tmpl w:val="BA444A3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7786B"/>
    <w:multiLevelType w:val="hybridMultilevel"/>
    <w:tmpl w:val="FCE0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C23074"/>
    <w:multiLevelType w:val="hybridMultilevel"/>
    <w:tmpl w:val="2260052C"/>
    <w:lvl w:ilvl="0" w:tplc="85D6EB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8"/>
  </w:num>
  <w:num w:numId="4">
    <w:abstractNumId w:val="16"/>
  </w:num>
  <w:num w:numId="5">
    <w:abstractNumId w:val="14"/>
  </w:num>
  <w:num w:numId="6">
    <w:abstractNumId w:val="21"/>
  </w:num>
  <w:num w:numId="7">
    <w:abstractNumId w:val="7"/>
  </w:num>
  <w:num w:numId="8">
    <w:abstractNumId w:val="19"/>
  </w:num>
  <w:num w:numId="9">
    <w:abstractNumId w:val="2"/>
  </w:num>
  <w:num w:numId="10">
    <w:abstractNumId w:val="1"/>
  </w:num>
  <w:num w:numId="11">
    <w:abstractNumId w:val="6"/>
  </w:num>
  <w:num w:numId="12">
    <w:abstractNumId w:val="20"/>
  </w:num>
  <w:num w:numId="13">
    <w:abstractNumId w:val="11"/>
  </w:num>
  <w:num w:numId="14">
    <w:abstractNumId w:val="13"/>
  </w:num>
  <w:num w:numId="15">
    <w:abstractNumId w:val="5"/>
  </w:num>
  <w:num w:numId="16">
    <w:abstractNumId w:val="17"/>
  </w:num>
  <w:num w:numId="17">
    <w:abstractNumId w:val="15"/>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A8"/>
    <w:rsid w:val="00000C4C"/>
    <w:rsid w:val="000144C3"/>
    <w:rsid w:val="00052AEE"/>
    <w:rsid w:val="000544EB"/>
    <w:rsid w:val="00071C60"/>
    <w:rsid w:val="00090755"/>
    <w:rsid w:val="000A3FA1"/>
    <w:rsid w:val="000B2013"/>
    <w:rsid w:val="000B2C3B"/>
    <w:rsid w:val="00107797"/>
    <w:rsid w:val="00130454"/>
    <w:rsid w:val="001603DA"/>
    <w:rsid w:val="001966FE"/>
    <w:rsid w:val="00203207"/>
    <w:rsid w:val="00213094"/>
    <w:rsid w:val="00257C67"/>
    <w:rsid w:val="002A6C86"/>
    <w:rsid w:val="002C0453"/>
    <w:rsid w:val="002D73F6"/>
    <w:rsid w:val="002F7BE8"/>
    <w:rsid w:val="00301B52"/>
    <w:rsid w:val="00322851"/>
    <w:rsid w:val="0033745C"/>
    <w:rsid w:val="003417AA"/>
    <w:rsid w:val="00346549"/>
    <w:rsid w:val="003966F9"/>
    <w:rsid w:val="003F2861"/>
    <w:rsid w:val="0041761D"/>
    <w:rsid w:val="00425EEC"/>
    <w:rsid w:val="004515B4"/>
    <w:rsid w:val="0046100E"/>
    <w:rsid w:val="00477B0C"/>
    <w:rsid w:val="004B1F63"/>
    <w:rsid w:val="004B1F97"/>
    <w:rsid w:val="004C5BCD"/>
    <w:rsid w:val="004D4AA1"/>
    <w:rsid w:val="004D7847"/>
    <w:rsid w:val="005017C0"/>
    <w:rsid w:val="00517D8B"/>
    <w:rsid w:val="0052354E"/>
    <w:rsid w:val="00525D04"/>
    <w:rsid w:val="005426BD"/>
    <w:rsid w:val="00547D8E"/>
    <w:rsid w:val="0056231F"/>
    <w:rsid w:val="005660E1"/>
    <w:rsid w:val="005C20E6"/>
    <w:rsid w:val="005E43B3"/>
    <w:rsid w:val="005E4DC7"/>
    <w:rsid w:val="00647C5B"/>
    <w:rsid w:val="00657025"/>
    <w:rsid w:val="00662A6C"/>
    <w:rsid w:val="006660E4"/>
    <w:rsid w:val="006A1481"/>
    <w:rsid w:val="006B171F"/>
    <w:rsid w:val="006B1FB6"/>
    <w:rsid w:val="006B68C9"/>
    <w:rsid w:val="006C00B2"/>
    <w:rsid w:val="006D16B9"/>
    <w:rsid w:val="006D7B4B"/>
    <w:rsid w:val="006E20F5"/>
    <w:rsid w:val="00715E21"/>
    <w:rsid w:val="00722CCD"/>
    <w:rsid w:val="007358E8"/>
    <w:rsid w:val="00755919"/>
    <w:rsid w:val="007969CF"/>
    <w:rsid w:val="007A094D"/>
    <w:rsid w:val="007B5301"/>
    <w:rsid w:val="007B638C"/>
    <w:rsid w:val="007D07D5"/>
    <w:rsid w:val="007F76B2"/>
    <w:rsid w:val="00803949"/>
    <w:rsid w:val="00816B2C"/>
    <w:rsid w:val="00835B6D"/>
    <w:rsid w:val="00867907"/>
    <w:rsid w:val="00873AD5"/>
    <w:rsid w:val="00880BF9"/>
    <w:rsid w:val="008A68EB"/>
    <w:rsid w:val="008B244C"/>
    <w:rsid w:val="008C7787"/>
    <w:rsid w:val="008D0571"/>
    <w:rsid w:val="00905594"/>
    <w:rsid w:val="00907B79"/>
    <w:rsid w:val="00910CBB"/>
    <w:rsid w:val="00922BF8"/>
    <w:rsid w:val="009257E3"/>
    <w:rsid w:val="0095427B"/>
    <w:rsid w:val="009741AB"/>
    <w:rsid w:val="009751FD"/>
    <w:rsid w:val="009A696B"/>
    <w:rsid w:val="009D490B"/>
    <w:rsid w:val="00A06B7F"/>
    <w:rsid w:val="00A107E1"/>
    <w:rsid w:val="00A2388A"/>
    <w:rsid w:val="00A352ED"/>
    <w:rsid w:val="00A55300"/>
    <w:rsid w:val="00A634CF"/>
    <w:rsid w:val="00AA3BBA"/>
    <w:rsid w:val="00AB7187"/>
    <w:rsid w:val="00AC0A8A"/>
    <w:rsid w:val="00AC61EA"/>
    <w:rsid w:val="00B11B41"/>
    <w:rsid w:val="00B52164"/>
    <w:rsid w:val="00B73E1A"/>
    <w:rsid w:val="00B77881"/>
    <w:rsid w:val="00B84BEF"/>
    <w:rsid w:val="00B86AE8"/>
    <w:rsid w:val="00C02EBB"/>
    <w:rsid w:val="00C27E56"/>
    <w:rsid w:val="00C367F8"/>
    <w:rsid w:val="00C64CFA"/>
    <w:rsid w:val="00C677D4"/>
    <w:rsid w:val="00C82E40"/>
    <w:rsid w:val="00CD14D6"/>
    <w:rsid w:val="00CD55FC"/>
    <w:rsid w:val="00CE4A02"/>
    <w:rsid w:val="00CF64FA"/>
    <w:rsid w:val="00D00306"/>
    <w:rsid w:val="00D019EB"/>
    <w:rsid w:val="00D671EF"/>
    <w:rsid w:val="00D80295"/>
    <w:rsid w:val="00D875D3"/>
    <w:rsid w:val="00DB000B"/>
    <w:rsid w:val="00DB6788"/>
    <w:rsid w:val="00DE1DB7"/>
    <w:rsid w:val="00DF0789"/>
    <w:rsid w:val="00DF15D2"/>
    <w:rsid w:val="00E31BD6"/>
    <w:rsid w:val="00E34396"/>
    <w:rsid w:val="00E54805"/>
    <w:rsid w:val="00E57DFD"/>
    <w:rsid w:val="00E631FF"/>
    <w:rsid w:val="00EA7131"/>
    <w:rsid w:val="00EB0961"/>
    <w:rsid w:val="00EC76A8"/>
    <w:rsid w:val="00EF2BA5"/>
    <w:rsid w:val="00EF3957"/>
    <w:rsid w:val="00EF3FFA"/>
    <w:rsid w:val="00EF7296"/>
    <w:rsid w:val="00F02B36"/>
    <w:rsid w:val="00F16506"/>
    <w:rsid w:val="00F36412"/>
    <w:rsid w:val="00F575FD"/>
    <w:rsid w:val="00F83B6F"/>
    <w:rsid w:val="00F93B9A"/>
    <w:rsid w:val="00FB4DA3"/>
    <w:rsid w:val="00FC3CBC"/>
    <w:rsid w:val="00FD0614"/>
    <w:rsid w:val="00FD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5F2512"/>
  <w15:docId w15:val="{6EF365A5-602F-41DF-9355-5C08D309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02E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6A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01B52"/>
    <w:pPr>
      <w:ind w:left="720"/>
      <w:contextualSpacing/>
    </w:pPr>
  </w:style>
  <w:style w:type="paragraph" w:styleId="NoSpacing">
    <w:name w:val="No Spacing"/>
    <w:uiPriority w:val="1"/>
    <w:qFormat/>
    <w:rsid w:val="00301B52"/>
    <w:pPr>
      <w:spacing w:after="0" w:line="240" w:lineRule="auto"/>
    </w:pPr>
  </w:style>
  <w:style w:type="paragraph" w:styleId="FootnoteText">
    <w:name w:val="footnote text"/>
    <w:basedOn w:val="Normal"/>
    <w:link w:val="FootnoteTextChar1"/>
    <w:uiPriority w:val="99"/>
    <w:semiHidden/>
    <w:rsid w:val="00A06B7F"/>
    <w:pPr>
      <w:suppressAutoHyphens/>
      <w:spacing w:before="120" w:after="120" w:line="240" w:lineRule="auto"/>
      <w:jc w:val="both"/>
    </w:pPr>
    <w:rPr>
      <w:rFonts w:ascii="Arial" w:eastAsia="Times New Roman" w:hAnsi="Arial" w:cs="Arial"/>
      <w:sz w:val="20"/>
      <w:szCs w:val="20"/>
      <w:lang w:val="fr-FR" w:eastAsia="ar-SA"/>
    </w:rPr>
  </w:style>
  <w:style w:type="character" w:customStyle="1" w:styleId="FootnoteTextChar">
    <w:name w:val="Footnote Text Char"/>
    <w:basedOn w:val="DefaultParagraphFont"/>
    <w:uiPriority w:val="99"/>
    <w:semiHidden/>
    <w:rsid w:val="00A06B7F"/>
    <w:rPr>
      <w:sz w:val="20"/>
      <w:szCs w:val="20"/>
    </w:rPr>
  </w:style>
  <w:style w:type="character" w:customStyle="1" w:styleId="FootnoteTextChar1">
    <w:name w:val="Footnote Text Char1"/>
    <w:link w:val="FootnoteText"/>
    <w:uiPriority w:val="99"/>
    <w:semiHidden/>
    <w:locked/>
    <w:rsid w:val="00A06B7F"/>
    <w:rPr>
      <w:rFonts w:ascii="Arial" w:eastAsia="Times New Roman" w:hAnsi="Arial" w:cs="Arial"/>
      <w:sz w:val="20"/>
      <w:szCs w:val="20"/>
      <w:lang w:val="fr-FR" w:eastAsia="ar-SA"/>
    </w:rPr>
  </w:style>
  <w:style w:type="character" w:styleId="FootnoteReference">
    <w:name w:val="footnote reference"/>
    <w:uiPriority w:val="99"/>
    <w:semiHidden/>
    <w:rsid w:val="00A06B7F"/>
    <w:rPr>
      <w:rFonts w:cs="Times New Roman"/>
      <w:vertAlign w:val="superscript"/>
    </w:rPr>
  </w:style>
  <w:style w:type="paragraph" w:styleId="BalloonText">
    <w:name w:val="Balloon Text"/>
    <w:basedOn w:val="Normal"/>
    <w:link w:val="BalloonTextChar"/>
    <w:uiPriority w:val="99"/>
    <w:semiHidden/>
    <w:unhideWhenUsed/>
    <w:rsid w:val="00477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B0C"/>
    <w:rPr>
      <w:rFonts w:ascii="Tahoma" w:hAnsi="Tahoma" w:cs="Tahoma"/>
      <w:sz w:val="16"/>
      <w:szCs w:val="16"/>
    </w:rPr>
  </w:style>
  <w:style w:type="paragraph" w:customStyle="1" w:styleId="References">
    <w:name w:val="References"/>
    <w:basedOn w:val="Normal"/>
    <w:rsid w:val="00203207"/>
    <w:pPr>
      <w:suppressAutoHyphens/>
      <w:spacing w:before="120" w:after="0" w:line="240" w:lineRule="auto"/>
      <w:jc w:val="both"/>
    </w:pPr>
    <w:rPr>
      <w:rFonts w:ascii="Arial" w:eastAsia="Times New Roman" w:hAnsi="Arial" w:cs="Arial"/>
      <w:b/>
      <w:bCs/>
      <w:lang w:val="fr-FR" w:eastAsia="ar-SA"/>
    </w:rPr>
  </w:style>
  <w:style w:type="paragraph" w:customStyle="1" w:styleId="DocumentTitle">
    <w:name w:val="Document Title"/>
    <w:basedOn w:val="Normal"/>
    <w:rsid w:val="00203207"/>
    <w:pPr>
      <w:pBdr>
        <w:bottom w:val="single" w:sz="4" w:space="1" w:color="000000"/>
      </w:pBdr>
      <w:suppressAutoHyphens/>
      <w:spacing w:before="2400" w:after="120" w:line="240" w:lineRule="auto"/>
    </w:pPr>
    <w:rPr>
      <w:rFonts w:ascii="Arial" w:eastAsia="Times New Roman" w:hAnsi="Arial" w:cs="Arial"/>
      <w:b/>
      <w:bCs/>
      <w:kern w:val="1"/>
      <w:sz w:val="32"/>
      <w:szCs w:val="32"/>
      <w:lang w:val="fr-FR" w:eastAsia="ar-SA"/>
    </w:rPr>
  </w:style>
  <w:style w:type="character" w:styleId="CommentReference">
    <w:name w:val="annotation reference"/>
    <w:basedOn w:val="DefaultParagraphFont"/>
    <w:uiPriority w:val="99"/>
    <w:semiHidden/>
    <w:unhideWhenUsed/>
    <w:rsid w:val="00203207"/>
    <w:rPr>
      <w:sz w:val="16"/>
      <w:szCs w:val="16"/>
    </w:rPr>
  </w:style>
  <w:style w:type="paragraph" w:styleId="CommentText">
    <w:name w:val="annotation text"/>
    <w:basedOn w:val="Normal"/>
    <w:link w:val="CommentTextChar"/>
    <w:uiPriority w:val="99"/>
    <w:semiHidden/>
    <w:unhideWhenUsed/>
    <w:rsid w:val="00203207"/>
    <w:pPr>
      <w:spacing w:line="240" w:lineRule="auto"/>
    </w:pPr>
    <w:rPr>
      <w:sz w:val="20"/>
      <w:szCs w:val="20"/>
    </w:rPr>
  </w:style>
  <w:style w:type="character" w:customStyle="1" w:styleId="CommentTextChar">
    <w:name w:val="Comment Text Char"/>
    <w:basedOn w:val="DefaultParagraphFont"/>
    <w:link w:val="CommentText"/>
    <w:uiPriority w:val="99"/>
    <w:semiHidden/>
    <w:rsid w:val="00203207"/>
    <w:rPr>
      <w:sz w:val="20"/>
      <w:szCs w:val="20"/>
    </w:rPr>
  </w:style>
  <w:style w:type="paragraph" w:styleId="CommentSubject">
    <w:name w:val="annotation subject"/>
    <w:basedOn w:val="CommentText"/>
    <w:next w:val="CommentText"/>
    <w:link w:val="CommentSubjectChar"/>
    <w:uiPriority w:val="99"/>
    <w:semiHidden/>
    <w:unhideWhenUsed/>
    <w:rsid w:val="00203207"/>
    <w:rPr>
      <w:b/>
      <w:bCs/>
    </w:rPr>
  </w:style>
  <w:style w:type="character" w:customStyle="1" w:styleId="CommentSubjectChar">
    <w:name w:val="Comment Subject Char"/>
    <w:basedOn w:val="CommentTextChar"/>
    <w:link w:val="CommentSubject"/>
    <w:uiPriority w:val="99"/>
    <w:semiHidden/>
    <w:rsid w:val="00203207"/>
    <w:rPr>
      <w:b/>
      <w:bCs/>
      <w:sz w:val="20"/>
      <w:szCs w:val="20"/>
    </w:rPr>
  </w:style>
  <w:style w:type="character" w:customStyle="1" w:styleId="Heading2Char">
    <w:name w:val="Heading 2 Char"/>
    <w:basedOn w:val="DefaultParagraphFont"/>
    <w:link w:val="Heading2"/>
    <w:uiPriority w:val="9"/>
    <w:rsid w:val="00C02EBB"/>
    <w:rPr>
      <w:rFonts w:asciiTheme="majorHAnsi" w:eastAsiaTheme="majorEastAsia" w:hAnsiTheme="majorHAnsi" w:cstheme="majorBidi"/>
      <w:b/>
      <w:bCs/>
      <w:color w:val="4F81BD" w:themeColor="accent1"/>
      <w:sz w:val="26"/>
      <w:szCs w:val="26"/>
    </w:rPr>
  </w:style>
  <w:style w:type="paragraph" w:customStyle="1" w:styleId="ZCom">
    <w:name w:val="Z_Com"/>
    <w:basedOn w:val="Normal"/>
    <w:next w:val="Normal"/>
    <w:rsid w:val="0033745C"/>
    <w:pPr>
      <w:widowControl w:val="0"/>
      <w:spacing w:after="0" w:line="240" w:lineRule="auto"/>
      <w:ind w:right="85"/>
      <w:jc w:val="both"/>
    </w:pPr>
    <w:rPr>
      <w:rFonts w:ascii="Arial" w:eastAsia="Times New Roman" w:hAnsi="Arial" w:cs="Times New Roman"/>
      <w:snapToGrid w:val="0"/>
      <w:sz w:val="24"/>
      <w:szCs w:val="20"/>
      <w:lang w:val="fr-FR"/>
    </w:rPr>
  </w:style>
  <w:style w:type="paragraph" w:customStyle="1" w:styleId="ZDGName">
    <w:name w:val="Z_DGName"/>
    <w:basedOn w:val="Normal"/>
    <w:rsid w:val="0033745C"/>
    <w:pPr>
      <w:widowControl w:val="0"/>
      <w:spacing w:after="0" w:line="240" w:lineRule="auto"/>
      <w:ind w:right="85"/>
      <w:jc w:val="both"/>
    </w:pPr>
    <w:rPr>
      <w:rFonts w:ascii="Arial" w:eastAsia="Times New Roman" w:hAnsi="Arial" w:cs="Times New Roman"/>
      <w:snapToGrid w:val="0"/>
      <w:sz w:val="16"/>
      <w:szCs w:val="20"/>
      <w:lang w:val="fr-FR"/>
    </w:rPr>
  </w:style>
  <w:style w:type="paragraph" w:styleId="Header">
    <w:name w:val="header"/>
    <w:basedOn w:val="Normal"/>
    <w:link w:val="HeaderChar"/>
    <w:uiPriority w:val="99"/>
    <w:unhideWhenUsed/>
    <w:rsid w:val="00A23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88A"/>
  </w:style>
  <w:style w:type="paragraph" w:styleId="Footer">
    <w:name w:val="footer"/>
    <w:basedOn w:val="Normal"/>
    <w:link w:val="FooterChar"/>
    <w:uiPriority w:val="99"/>
    <w:unhideWhenUsed/>
    <w:rsid w:val="00A23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88A"/>
  </w:style>
  <w:style w:type="table" w:styleId="TableGrid">
    <w:name w:val="Table Grid"/>
    <w:basedOn w:val="TableNormal"/>
    <w:uiPriority w:val="59"/>
    <w:rsid w:val="00C367F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31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66697">
      <w:bodyDiv w:val="1"/>
      <w:marLeft w:val="0"/>
      <w:marRight w:val="0"/>
      <w:marTop w:val="0"/>
      <w:marBottom w:val="0"/>
      <w:divBdr>
        <w:top w:val="none" w:sz="0" w:space="0" w:color="auto"/>
        <w:left w:val="none" w:sz="0" w:space="0" w:color="auto"/>
        <w:bottom w:val="none" w:sz="0" w:space="0" w:color="auto"/>
        <w:right w:val="none" w:sz="0" w:space="0" w:color="auto"/>
      </w:divBdr>
    </w:div>
    <w:div w:id="167445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20A3C-4C65-4038-9C22-0832604F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1026</Words>
  <Characters>5849</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KIVINEN Kari</dc:creator>
  <cp:lastModifiedBy>BAUDSON Alexandra (OSG)</cp:lastModifiedBy>
  <cp:revision>4</cp:revision>
  <cp:lastPrinted>2017-03-02T09:35:00Z</cp:lastPrinted>
  <dcterms:created xsi:type="dcterms:W3CDTF">2017-03-24T08:22:00Z</dcterms:created>
  <dcterms:modified xsi:type="dcterms:W3CDTF">2017-03-24T08:25:00Z</dcterms:modified>
</cp:coreProperties>
</file>