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000" w:firstRow="0" w:lastRow="0" w:firstColumn="0" w:lastColumn="0" w:noHBand="0" w:noVBand="0"/>
      </w:tblPr>
      <w:tblGrid>
        <w:gridCol w:w="5103"/>
        <w:gridCol w:w="4366"/>
      </w:tblGrid>
      <w:tr w:rsidR="00054D46" w:rsidRPr="00EE7288" w:rsidTr="00F57C8C">
        <w:trPr>
          <w:trHeight w:val="1440"/>
        </w:trPr>
        <w:tc>
          <w:tcPr>
            <w:tcW w:w="5103" w:type="dxa"/>
          </w:tcPr>
          <w:p w:rsidR="00054D46" w:rsidRPr="00EE7288" w:rsidRDefault="00054D46" w:rsidP="00F57C8C">
            <w:pPr>
              <w:jc w:val="left"/>
            </w:pPr>
            <w:r>
              <w:rPr>
                <w:noProof/>
                <w:sz w:val="20"/>
              </w:rPr>
              <w:drawing>
                <wp:inline distT="0" distB="0" distL="0" distR="0">
                  <wp:extent cx="3017520" cy="1066800"/>
                  <wp:effectExtent l="0" t="0" r="0" b="0"/>
                  <wp:docPr id="1" name="Picture 1" descr="Logo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BW"/>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17520" cy="1066800"/>
                          </a:xfrm>
                          <a:prstGeom prst="rect">
                            <a:avLst/>
                          </a:prstGeom>
                          <a:noFill/>
                          <a:ln>
                            <a:noFill/>
                          </a:ln>
                        </pic:spPr>
                      </pic:pic>
                    </a:graphicData>
                  </a:graphic>
                </wp:inline>
              </w:drawing>
            </w:r>
          </w:p>
        </w:tc>
        <w:tc>
          <w:tcPr>
            <w:tcW w:w="4366" w:type="dxa"/>
          </w:tcPr>
          <w:p w:rsidR="00054D46" w:rsidRPr="00EE7288" w:rsidRDefault="00054D46" w:rsidP="00F57C8C">
            <w:pPr>
              <w:pStyle w:val="ZCom"/>
            </w:pPr>
            <w:r w:rsidRPr="00EE7288">
              <w:t xml:space="preserve">Schola </w:t>
            </w:r>
            <w:proofErr w:type="spellStart"/>
            <w:r w:rsidRPr="00EE7288">
              <w:t>Europaea</w:t>
            </w:r>
            <w:proofErr w:type="spellEnd"/>
          </w:p>
          <w:p w:rsidR="00054D46" w:rsidRPr="00EE7288" w:rsidRDefault="00054D46" w:rsidP="00F57C8C">
            <w:pPr>
              <w:rPr>
                <w:lang w:eastAsia="en-US"/>
              </w:rPr>
            </w:pPr>
          </w:p>
          <w:p w:rsidR="00054D46" w:rsidRPr="00EE7288" w:rsidRDefault="00054D46" w:rsidP="00F57C8C">
            <w:pPr>
              <w:pStyle w:val="ZDGName"/>
            </w:pPr>
            <w:r w:rsidRPr="00EE7288">
              <w:t>Bureau du Secrétaire général</w:t>
            </w:r>
          </w:p>
          <w:p w:rsidR="00054D46" w:rsidRPr="00EE7288" w:rsidRDefault="00054D46" w:rsidP="00F57C8C">
            <w:pPr>
              <w:pStyle w:val="ZDGName"/>
            </w:pPr>
          </w:p>
          <w:p w:rsidR="00054D46" w:rsidRPr="00EE7288" w:rsidRDefault="00054D46" w:rsidP="00F57C8C">
            <w:pPr>
              <w:pStyle w:val="ZDGName"/>
            </w:pPr>
          </w:p>
          <w:p w:rsidR="00054D46" w:rsidRPr="00EE7288" w:rsidRDefault="00054D46" w:rsidP="00F57C8C">
            <w:pPr>
              <w:pStyle w:val="ZDGName"/>
            </w:pPr>
            <w:r w:rsidRPr="00EE7288">
              <w:t>Secrétariat Général</w:t>
            </w:r>
          </w:p>
          <w:p w:rsidR="00054D46" w:rsidRPr="00EE7288" w:rsidRDefault="00054D46" w:rsidP="00F57C8C">
            <w:pPr>
              <w:pStyle w:val="ZDGName"/>
              <w:widowControl/>
            </w:pPr>
          </w:p>
        </w:tc>
      </w:tr>
    </w:tbl>
    <w:p w:rsidR="00054D46" w:rsidRPr="00EB0AF8" w:rsidRDefault="00054D46" w:rsidP="00054D46">
      <w:pPr>
        <w:pStyle w:val="References"/>
      </w:pPr>
      <w:r w:rsidRPr="00EB0AF8">
        <w:t xml:space="preserve">Réf. : </w:t>
      </w:r>
      <w:r w:rsidR="0055731D">
        <w:t>2016</w:t>
      </w:r>
      <w:r w:rsidR="004F41B6">
        <w:t>-11-D-2</w:t>
      </w:r>
      <w:r w:rsidR="0055731D">
        <w:t>0</w:t>
      </w:r>
      <w:r w:rsidR="007229FE">
        <w:t>-fr-</w:t>
      </w:r>
      <w:r w:rsidR="0055731D">
        <w:rPr>
          <w:color w:val="FF0000"/>
        </w:rPr>
        <w:t>1</w:t>
      </w:r>
    </w:p>
    <w:p w:rsidR="00054D46" w:rsidRPr="00EB0AF8" w:rsidRDefault="00783821" w:rsidP="00054D46">
      <w:pPr>
        <w:pStyle w:val="References"/>
      </w:pPr>
      <w:r>
        <w:t>Original.</w:t>
      </w:r>
    </w:p>
    <w:p w:rsidR="00054D46" w:rsidRPr="00EB0AF8" w:rsidRDefault="00054D46" w:rsidP="00054D46">
      <w:pPr>
        <w:pStyle w:val="References"/>
      </w:pPr>
    </w:p>
    <w:p w:rsidR="00054D46" w:rsidRPr="00EB0AF8" w:rsidRDefault="003A3149" w:rsidP="00054D46">
      <w:pPr>
        <w:pStyle w:val="DocumentTitle"/>
        <w:pBdr>
          <w:bottom w:val="single" w:sz="4" w:space="0" w:color="auto"/>
        </w:pBdr>
        <w:jc w:val="both"/>
      </w:pPr>
      <w:r>
        <w:t>Proposition de modification</w:t>
      </w:r>
      <w:r w:rsidR="00054D46">
        <w:t xml:space="preserve"> du R</w:t>
      </w:r>
      <w:r w:rsidR="00054D46" w:rsidRPr="00EB0AF8">
        <w:t xml:space="preserve">èglement intérieur du Conseil supérieur des Ecoles européennes </w:t>
      </w:r>
      <w:r w:rsidR="00054D46">
        <w:t>- 2010-D-154-fr-1</w:t>
      </w:r>
    </w:p>
    <w:p w:rsidR="00054D46" w:rsidRPr="00F06BD7" w:rsidRDefault="00054D46" w:rsidP="00054D46">
      <w:pPr>
        <w:spacing w:after="0"/>
        <w:rPr>
          <w:rFonts w:eastAsia="Times" w:cs="Arial"/>
          <w:b/>
          <w:caps/>
          <w:color w:val="FF0000"/>
        </w:rPr>
      </w:pPr>
      <w:r w:rsidRPr="00F06BD7">
        <w:rPr>
          <w:rFonts w:eastAsia="Times" w:cs="Arial"/>
          <w:b/>
          <w:caps/>
          <w:color w:val="FF0000"/>
        </w:rPr>
        <w:t>CO</w:t>
      </w:r>
      <w:r w:rsidR="002C1C8E">
        <w:rPr>
          <w:rFonts w:eastAsia="Times" w:cs="Arial"/>
          <w:b/>
          <w:caps/>
          <w:color w:val="FF0000"/>
        </w:rPr>
        <w:t>nseil superieur</w:t>
      </w:r>
    </w:p>
    <w:p w:rsidR="00054D46" w:rsidRPr="00F06BD7" w:rsidRDefault="00054D46" w:rsidP="003D139D">
      <w:pPr>
        <w:pBdr>
          <w:bottom w:val="single" w:sz="4" w:space="0" w:color="auto"/>
        </w:pBdr>
        <w:rPr>
          <w:rFonts w:eastAsia="Times" w:cs="Arial"/>
          <w:color w:val="FF0000"/>
        </w:rPr>
      </w:pPr>
    </w:p>
    <w:p w:rsidR="00054D46" w:rsidRPr="00F06BD7" w:rsidRDefault="00054D46" w:rsidP="003D139D">
      <w:pPr>
        <w:pBdr>
          <w:bottom w:val="single" w:sz="4" w:space="0" w:color="auto"/>
        </w:pBdr>
        <w:rPr>
          <w:rFonts w:eastAsia="Times" w:cs="Arial"/>
          <w:color w:val="FF0000"/>
        </w:rPr>
      </w:pPr>
    </w:p>
    <w:p w:rsidR="00054D46" w:rsidRPr="00F06BD7" w:rsidRDefault="00054D46" w:rsidP="003D139D">
      <w:pPr>
        <w:pBdr>
          <w:bottom w:val="single" w:sz="4" w:space="0" w:color="auto"/>
        </w:pBdr>
        <w:rPr>
          <w:rFonts w:eastAsia="Times" w:cs="Arial"/>
          <w:b/>
          <w:color w:val="FF0000"/>
        </w:rPr>
      </w:pPr>
      <w:r w:rsidRPr="00F06BD7">
        <w:rPr>
          <w:rFonts w:eastAsia="Times" w:cs="Arial"/>
          <w:b/>
          <w:color w:val="FF0000"/>
        </w:rPr>
        <w:t xml:space="preserve">Réunion des </w:t>
      </w:r>
      <w:r w:rsidR="0055731D">
        <w:rPr>
          <w:rFonts w:eastAsia="Times" w:cs="Arial"/>
          <w:b/>
          <w:color w:val="FF0000"/>
        </w:rPr>
        <w:t>7, 8 et 9 décembre 2016, Bruxelles.</w:t>
      </w:r>
    </w:p>
    <w:p w:rsidR="00054D46" w:rsidRDefault="00054D46">
      <w:pPr>
        <w:spacing w:before="0" w:after="200" w:line="276" w:lineRule="auto"/>
        <w:jc w:val="left"/>
      </w:pPr>
      <w:r>
        <w:br w:type="page"/>
      </w:r>
    </w:p>
    <w:p w:rsidR="00054D46" w:rsidRPr="00572A6D" w:rsidRDefault="00054D46" w:rsidP="00054D46">
      <w:pPr>
        <w:rPr>
          <w:b/>
          <w:u w:val="single"/>
        </w:rPr>
      </w:pPr>
      <w:r w:rsidRPr="00572A6D">
        <w:rPr>
          <w:b/>
          <w:u w:val="single"/>
        </w:rPr>
        <w:lastRenderedPageBreak/>
        <w:t>INTRODUCTION</w:t>
      </w:r>
    </w:p>
    <w:p w:rsidR="00EB6181" w:rsidRPr="002A6BAC" w:rsidRDefault="00EB6181" w:rsidP="00EB6181">
      <w:pPr>
        <w:rPr>
          <w:color w:val="FF0000"/>
        </w:rPr>
      </w:pPr>
      <w:r w:rsidRPr="002A6BAC">
        <w:rPr>
          <w:color w:val="FF0000"/>
        </w:rPr>
        <w:t>En vue d’une simplification des procédure</w:t>
      </w:r>
      <w:r w:rsidR="002A6BAC" w:rsidRPr="002A6BAC">
        <w:rPr>
          <w:color w:val="FF0000"/>
        </w:rPr>
        <w:t>s, le Secrétaire général proposait au Conseil supérieur, en décembre 2014</w:t>
      </w:r>
      <w:r w:rsidRPr="002A6BAC">
        <w:rPr>
          <w:color w:val="FF0000"/>
        </w:rPr>
        <w:t xml:space="preserve"> </w:t>
      </w:r>
      <w:r w:rsidR="002A6BAC" w:rsidRPr="002A6BAC">
        <w:rPr>
          <w:color w:val="FF0000"/>
        </w:rPr>
        <w:t>de modifier quelques articles de son</w:t>
      </w:r>
      <w:r w:rsidRPr="002A6BAC">
        <w:rPr>
          <w:color w:val="FF0000"/>
        </w:rPr>
        <w:t xml:space="preserve"> Règlement intérieur</w:t>
      </w:r>
      <w:r w:rsidR="002A6BAC" w:rsidRPr="002A6BAC">
        <w:rPr>
          <w:color w:val="FF0000"/>
        </w:rPr>
        <w:t>.</w:t>
      </w:r>
      <w:r w:rsidRPr="002A6BAC">
        <w:rPr>
          <w:color w:val="FF0000"/>
        </w:rPr>
        <w:t xml:space="preserve"> </w:t>
      </w:r>
    </w:p>
    <w:p w:rsidR="002A6BAC" w:rsidRPr="002A6BAC" w:rsidRDefault="002A6BAC" w:rsidP="002A6BAC">
      <w:pPr>
        <w:rPr>
          <w:color w:val="FF0000"/>
        </w:rPr>
      </w:pPr>
      <w:r w:rsidRPr="002A6BAC">
        <w:rPr>
          <w:color w:val="FF0000"/>
        </w:rPr>
        <w:t>Mais, lors de sa réunion, faute de consensus quant à l’approbation de ce document, le Conseil supérieur a mandaté le Secrétaire général, d’apporter les modifications émises en séance afin de les soumettre ultérieurement aux membres.</w:t>
      </w:r>
    </w:p>
    <w:p w:rsidR="002A6BAC" w:rsidRPr="002A6BAC" w:rsidRDefault="002A6BAC" w:rsidP="002A6BAC">
      <w:pPr>
        <w:rPr>
          <w:color w:val="FF0000"/>
        </w:rPr>
      </w:pPr>
      <w:r w:rsidRPr="002A6BAC">
        <w:rPr>
          <w:color w:val="FF0000"/>
        </w:rPr>
        <w:t>Le document a été adapté comme suit :</w:t>
      </w:r>
    </w:p>
    <w:p w:rsidR="00054D46" w:rsidRDefault="00054D46"/>
    <w:p w:rsidR="00054D46" w:rsidRPr="00FC0825" w:rsidRDefault="00054D46" w:rsidP="00054D46">
      <w:pPr>
        <w:tabs>
          <w:tab w:val="left" w:pos="5925"/>
        </w:tabs>
        <w:rPr>
          <w:b/>
          <w:u w:val="single"/>
        </w:rPr>
      </w:pPr>
      <w:r w:rsidRPr="00FC0825">
        <w:rPr>
          <w:b/>
          <w:u w:val="single"/>
        </w:rPr>
        <w:t>Article 6</w:t>
      </w:r>
    </w:p>
    <w:p w:rsidR="00054D46" w:rsidRPr="00FC0825" w:rsidRDefault="00054D46" w:rsidP="00054D46">
      <w:pPr>
        <w:autoSpaceDE w:val="0"/>
        <w:autoSpaceDN w:val="0"/>
        <w:adjustRightInd w:val="0"/>
        <w:spacing w:before="0" w:after="0"/>
      </w:pPr>
      <w:r w:rsidRPr="00FC0825">
        <w:t>Le secrétariat des réunions du Conseil supérieur, l’établissement du relevé des déc</w:t>
      </w:r>
      <w:r>
        <w:t>isions</w:t>
      </w:r>
      <w:r w:rsidR="00783821">
        <w:t xml:space="preserve"> </w:t>
      </w:r>
      <w:r w:rsidR="00783821" w:rsidRPr="000E246D">
        <w:rPr>
          <w:rFonts w:cs="Arial"/>
          <w:color w:val="0000FF"/>
          <w:szCs w:val="22"/>
          <w:lang w:val="fr-BE"/>
        </w:rPr>
        <w:t>et des déclarations des délégations</w:t>
      </w:r>
      <w:r w:rsidR="00E20059">
        <w:rPr>
          <w:rStyle w:val="FootnoteReference"/>
          <w:rFonts w:cs="Arial"/>
          <w:color w:val="0000FF"/>
          <w:szCs w:val="22"/>
          <w:lang w:val="fr-BE"/>
        </w:rPr>
        <w:footnoteReference w:id="1"/>
      </w:r>
      <w:r w:rsidR="00783821">
        <w:t xml:space="preserve">  </w:t>
      </w:r>
      <w:r w:rsidRPr="00054D46">
        <w:rPr>
          <w:dstrike/>
          <w:color w:val="0000FF"/>
        </w:rPr>
        <w:t xml:space="preserve">  et du</w:t>
      </w:r>
      <w:r w:rsidRPr="00054D46">
        <w:rPr>
          <w:color w:val="0000FF"/>
        </w:rPr>
        <w:t xml:space="preserve"> </w:t>
      </w:r>
      <w:r w:rsidRPr="00054D46">
        <w:rPr>
          <w:dstrike/>
          <w:color w:val="0000FF"/>
        </w:rPr>
        <w:t>procès-verbal</w:t>
      </w:r>
      <w:r w:rsidRPr="00054D46">
        <w:rPr>
          <w:color w:val="0000FF"/>
        </w:rPr>
        <w:t xml:space="preserve"> </w:t>
      </w:r>
      <w:r w:rsidRPr="002A6BAC">
        <w:rPr>
          <w:color w:val="FF0000"/>
        </w:rPr>
        <w:t>sont</w:t>
      </w:r>
      <w:r w:rsidR="002A6BAC" w:rsidRPr="002A6BAC">
        <w:rPr>
          <w:color w:val="FF0000"/>
        </w:rPr>
        <w:t xml:space="preserve"> </w:t>
      </w:r>
      <w:r w:rsidRPr="002A6BAC">
        <w:rPr>
          <w:color w:val="FF0000"/>
        </w:rPr>
        <w:t xml:space="preserve">assurés </w:t>
      </w:r>
      <w:r w:rsidRPr="00FC0825">
        <w:t>à la diligence du Secrétaire général, selon les modalités précisées à l’article 14.</w:t>
      </w:r>
    </w:p>
    <w:p w:rsidR="00054D46" w:rsidRDefault="00054D46"/>
    <w:p w:rsidR="000D46D4" w:rsidRPr="000D46D4" w:rsidRDefault="000D46D4" w:rsidP="000D46D4">
      <w:pPr>
        <w:tabs>
          <w:tab w:val="left" w:pos="5925"/>
        </w:tabs>
        <w:rPr>
          <w:b/>
          <w:u w:val="single"/>
        </w:rPr>
      </w:pPr>
      <w:r w:rsidRPr="000D46D4">
        <w:rPr>
          <w:b/>
          <w:u w:val="single"/>
        </w:rPr>
        <w:t>Article 13</w:t>
      </w:r>
    </w:p>
    <w:p w:rsidR="000D46D4" w:rsidRPr="000D46D4" w:rsidRDefault="000D46D4" w:rsidP="000D46D4">
      <w:pPr>
        <w:tabs>
          <w:tab w:val="left" w:pos="5925"/>
        </w:tabs>
      </w:pPr>
      <w:r w:rsidRPr="000D46D4">
        <w:t>Les décisions du Conseil supérieur sont prises conformément aux dispositions de   la Convention portant Statut des Ecoles européennes et du Protocole concernant la création des Ecoles européennes.</w:t>
      </w:r>
    </w:p>
    <w:p w:rsidR="000D46D4" w:rsidRPr="000D46D4" w:rsidRDefault="000D46D4" w:rsidP="000D46D4">
      <w:pPr>
        <w:tabs>
          <w:tab w:val="left" w:pos="5925"/>
        </w:tabs>
      </w:pPr>
      <w:r w:rsidRPr="000D46D4">
        <w:t xml:space="preserve">L’accord des membres du Conseil supérieur sur une proposition peut aussi être constaté par une procédure écrite : </w:t>
      </w:r>
    </w:p>
    <w:p w:rsidR="000D46D4" w:rsidRPr="000D46D4" w:rsidRDefault="000D46D4" w:rsidP="000D46D4">
      <w:pPr>
        <w:tabs>
          <w:tab w:val="left" w:pos="5925"/>
        </w:tabs>
      </w:pPr>
      <w:r w:rsidRPr="000D46D4">
        <w:t>a) lorsque le Conseil supérieur n’est pas encore en mesure de prendre une décision concernant une proposition figurant à l’ordre du jour de la réunion, il peut décider de recourir à la procédure écrite.</w:t>
      </w:r>
    </w:p>
    <w:p w:rsidR="000D46D4" w:rsidRPr="000D46D4" w:rsidRDefault="000D46D4" w:rsidP="000D46D4">
      <w:pPr>
        <w:tabs>
          <w:tab w:val="left" w:pos="5925"/>
        </w:tabs>
      </w:pPr>
      <w:r w:rsidRPr="000D46D4">
        <w:t xml:space="preserve">b) lorsque le Secrétaire Général en accord avec la Présidence du Conseil </w:t>
      </w:r>
      <w:proofErr w:type="gramStart"/>
      <w:r w:rsidRPr="000D46D4">
        <w:t>supérieur</w:t>
      </w:r>
      <w:r w:rsidRPr="000D46D4">
        <w:rPr>
          <w:b/>
          <w:i/>
        </w:rPr>
        <w:t xml:space="preserve">  </w:t>
      </w:r>
      <w:r w:rsidRPr="000D46D4">
        <w:t>demande</w:t>
      </w:r>
      <w:proofErr w:type="gramEnd"/>
      <w:r w:rsidRPr="000D46D4">
        <w:t xml:space="preserve"> par écrit l’approbation d’une proposition par les membres du Conseil supérieur pour une mesure urgente.</w:t>
      </w:r>
    </w:p>
    <w:p w:rsidR="000D46D4" w:rsidRPr="000D46D4" w:rsidRDefault="000D46D4" w:rsidP="000D46D4">
      <w:pPr>
        <w:tabs>
          <w:tab w:val="left" w:pos="5925"/>
        </w:tabs>
        <w:rPr>
          <w:rFonts w:cs="Arial"/>
          <w:szCs w:val="22"/>
        </w:rPr>
      </w:pPr>
      <w:r w:rsidRPr="000D46D4">
        <w:rPr>
          <w:rFonts w:cs="Arial"/>
          <w:szCs w:val="22"/>
        </w:rPr>
        <w:t xml:space="preserve">Un délai minimal de 10 jours ouvrables doit être laissé aux membres appelés à voter pour exprimer leur vote. </w:t>
      </w:r>
    </w:p>
    <w:p w:rsidR="000D46D4" w:rsidRPr="000D46D4" w:rsidRDefault="000D46D4" w:rsidP="000D46D4">
      <w:pPr>
        <w:tabs>
          <w:tab w:val="left" w:pos="5925"/>
        </w:tabs>
        <w:rPr>
          <w:rFonts w:cs="Arial"/>
          <w:szCs w:val="22"/>
        </w:rPr>
      </w:pPr>
      <w:r w:rsidRPr="000D46D4">
        <w:rPr>
          <w:rFonts w:cs="Arial"/>
          <w:szCs w:val="22"/>
        </w:rPr>
        <w:t>Au-delà des 10 jours une non-réponse équivaut à une approbation.</w:t>
      </w:r>
    </w:p>
    <w:p w:rsidR="000D46D4" w:rsidRPr="000D46D4" w:rsidRDefault="000D46D4" w:rsidP="000D46D4">
      <w:pPr>
        <w:tabs>
          <w:tab w:val="left" w:pos="5925"/>
        </w:tabs>
      </w:pPr>
      <w:r w:rsidRPr="000D46D4">
        <w:t>La décision est considérée comme prise lorsque deux tiers des membres du Conseil marquent leur accord auprès du Secrétaire Général, sauf dans les cas où l’unanimité est requise.  Dans ce dernier cas, la décision sera considérée comme prise lorsque l’ensemble des membres du Conseil supérieur marqueront leur accord, sans préjudice d’éventuelles abstentions, auprès du Secrétaire général.</w:t>
      </w:r>
    </w:p>
    <w:p w:rsidR="000D46D4" w:rsidRPr="000D46D4" w:rsidRDefault="000D46D4" w:rsidP="000D46D4">
      <w:pPr>
        <w:autoSpaceDE w:val="0"/>
        <w:autoSpaceDN w:val="0"/>
        <w:adjustRightInd w:val="0"/>
        <w:spacing w:before="0" w:after="0"/>
      </w:pPr>
      <w:r w:rsidRPr="000D46D4">
        <w:t xml:space="preserve">Les décisions prises par procédure écrite sont inscrites </w:t>
      </w:r>
      <w:r>
        <w:t xml:space="preserve">dans </w:t>
      </w:r>
      <w:r w:rsidRPr="000D46D4">
        <w:rPr>
          <w:color w:val="0000FF"/>
        </w:rPr>
        <w:t>le relevé des décisions</w:t>
      </w:r>
      <w:r w:rsidR="00783821" w:rsidRPr="00783821">
        <w:rPr>
          <w:rFonts w:cs="Arial"/>
          <w:color w:val="0000FF"/>
          <w:szCs w:val="22"/>
          <w:lang w:val="fr-BE"/>
        </w:rPr>
        <w:t xml:space="preserve"> </w:t>
      </w:r>
      <w:r w:rsidR="00783821" w:rsidRPr="000E246D">
        <w:rPr>
          <w:rFonts w:cs="Arial"/>
          <w:color w:val="0000FF"/>
          <w:szCs w:val="22"/>
          <w:lang w:val="fr-BE"/>
        </w:rPr>
        <w:t>et des déclarations des délégations</w:t>
      </w:r>
      <w:r w:rsidRPr="000D46D4">
        <w:t xml:space="preserve"> de la réunion suivante du Conseil supérieur.</w:t>
      </w:r>
    </w:p>
    <w:p w:rsidR="000D46D4" w:rsidRDefault="000D46D4"/>
    <w:p w:rsidR="00383BE0" w:rsidRDefault="00383BE0">
      <w:pPr>
        <w:spacing w:before="0" w:after="200" w:line="276" w:lineRule="auto"/>
        <w:jc w:val="left"/>
      </w:pPr>
      <w:r>
        <w:br w:type="page"/>
      </w:r>
    </w:p>
    <w:p w:rsidR="000D46D4" w:rsidRDefault="000D46D4"/>
    <w:p w:rsidR="00572A6D" w:rsidRPr="00FC0825" w:rsidRDefault="00572A6D" w:rsidP="00572A6D">
      <w:pPr>
        <w:autoSpaceDE w:val="0"/>
        <w:autoSpaceDN w:val="0"/>
        <w:adjustRightInd w:val="0"/>
        <w:spacing w:before="0" w:after="0" w:line="360" w:lineRule="auto"/>
        <w:rPr>
          <w:b/>
          <w:u w:val="single"/>
        </w:rPr>
      </w:pPr>
      <w:r w:rsidRPr="00FC0825">
        <w:rPr>
          <w:b/>
          <w:u w:val="single"/>
        </w:rPr>
        <w:t>Article 15</w:t>
      </w:r>
    </w:p>
    <w:p w:rsidR="00572A6D" w:rsidRPr="00FC0825" w:rsidRDefault="00572A6D" w:rsidP="00572A6D">
      <w:pPr>
        <w:tabs>
          <w:tab w:val="left" w:pos="5925"/>
        </w:tabs>
      </w:pPr>
      <w:r w:rsidRPr="00FC0825">
        <w:t>Le Conseil supérieur décide que le Bureau du Secrétaire Général publie les décisions</w:t>
      </w:r>
      <w:r w:rsidR="00783821" w:rsidRPr="00783821">
        <w:rPr>
          <w:rFonts w:cs="Arial"/>
          <w:color w:val="0000FF"/>
          <w:szCs w:val="22"/>
          <w:lang w:val="fr-BE"/>
        </w:rPr>
        <w:t xml:space="preserve"> </w:t>
      </w:r>
      <w:r w:rsidR="00783821">
        <w:rPr>
          <w:rFonts w:cs="Arial"/>
          <w:color w:val="0000FF"/>
          <w:szCs w:val="22"/>
          <w:lang w:val="fr-BE"/>
        </w:rPr>
        <w:t>et l</w:t>
      </w:r>
      <w:r w:rsidR="00783821" w:rsidRPr="000E246D">
        <w:rPr>
          <w:rFonts w:cs="Arial"/>
          <w:color w:val="0000FF"/>
          <w:szCs w:val="22"/>
          <w:lang w:val="fr-BE"/>
        </w:rPr>
        <w:t>es déclarations des délégations</w:t>
      </w:r>
      <w:r w:rsidRPr="00FC0825">
        <w:t xml:space="preserve"> du Conseil supérieur dans les 15 jours </w:t>
      </w:r>
      <w:r w:rsidR="007F24F4" w:rsidRPr="007F24F4">
        <w:rPr>
          <w:color w:val="0000FF"/>
        </w:rPr>
        <w:t>ouvrables</w:t>
      </w:r>
      <w:r w:rsidR="007F24F4">
        <w:t xml:space="preserve"> </w:t>
      </w:r>
      <w:r w:rsidRPr="00FC0825">
        <w:t>qui suivent la réunion.</w:t>
      </w:r>
    </w:p>
    <w:p w:rsidR="00572A6D" w:rsidRDefault="00572A6D" w:rsidP="00572A6D">
      <w:pPr>
        <w:tabs>
          <w:tab w:val="left" w:pos="5925"/>
        </w:tabs>
      </w:pPr>
      <w:r w:rsidRPr="00FC0825">
        <w:t xml:space="preserve">Les membres du Conseil supérieur font parvenir par écrit leur approbation ou leurs observations dans les </w:t>
      </w:r>
      <w:r w:rsidR="002C1C8E" w:rsidRPr="00C538C1">
        <w:rPr>
          <w:rFonts w:cs="Arial"/>
          <w:color w:val="FF0000"/>
          <w:szCs w:val="22"/>
          <w:lang w:val="fr-BE"/>
        </w:rPr>
        <w:t>10</w:t>
      </w:r>
      <w:r w:rsidR="002C1C8E" w:rsidRPr="00D24BFF">
        <w:rPr>
          <w:rFonts w:cs="Arial"/>
          <w:color w:val="FF0000"/>
          <w:szCs w:val="22"/>
          <w:lang w:val="fr-BE"/>
        </w:rPr>
        <w:t xml:space="preserve"> jours ouvrables</w:t>
      </w:r>
      <w:r w:rsidRPr="00FC0825">
        <w:t xml:space="preserve"> suivant la réception du projet de décisions.</w:t>
      </w:r>
    </w:p>
    <w:p w:rsidR="00572A6D" w:rsidRPr="002C1C8E" w:rsidRDefault="00572A6D" w:rsidP="00572A6D">
      <w:pPr>
        <w:tabs>
          <w:tab w:val="left" w:pos="5925"/>
        </w:tabs>
        <w:rPr>
          <w:color w:val="FF0000"/>
        </w:rPr>
      </w:pPr>
      <w:r w:rsidRPr="002C1C8E">
        <w:rPr>
          <w:color w:val="FF0000"/>
        </w:rPr>
        <w:t xml:space="preserve">Les remarques et les observations </w:t>
      </w:r>
      <w:proofErr w:type="gramStart"/>
      <w:r w:rsidR="002C1C8E" w:rsidRPr="002C1C8E">
        <w:rPr>
          <w:color w:val="FF0000"/>
        </w:rPr>
        <w:t xml:space="preserve">des membres </w:t>
      </w:r>
      <w:r w:rsidRPr="002C1C8E">
        <w:rPr>
          <w:dstrike/>
          <w:color w:val="FF0000"/>
        </w:rPr>
        <w:t>pertinentes</w:t>
      </w:r>
      <w:proofErr w:type="gramEnd"/>
      <w:r w:rsidRPr="002C1C8E">
        <w:rPr>
          <w:color w:val="FF0000"/>
        </w:rPr>
        <w:t xml:space="preserve"> sont ajoutées</w:t>
      </w:r>
      <w:r w:rsidR="002C1C8E" w:rsidRPr="002C1C8E">
        <w:rPr>
          <w:color w:val="FF0000"/>
        </w:rPr>
        <w:t xml:space="preserve"> au document</w:t>
      </w:r>
      <w:r w:rsidRPr="002C1C8E">
        <w:rPr>
          <w:color w:val="FF0000"/>
        </w:rPr>
        <w:t xml:space="preserve"> </w:t>
      </w:r>
      <w:r w:rsidRPr="002C1C8E">
        <w:rPr>
          <w:dstrike/>
          <w:color w:val="FF0000"/>
        </w:rPr>
        <w:t>en annexe des décisions</w:t>
      </w:r>
    </w:p>
    <w:p w:rsidR="00572A6D" w:rsidRPr="00572A6D" w:rsidRDefault="00572A6D" w:rsidP="00572A6D">
      <w:pPr>
        <w:tabs>
          <w:tab w:val="left" w:pos="5925"/>
        </w:tabs>
        <w:rPr>
          <w:b/>
          <w:i/>
          <w:dstrike/>
        </w:rPr>
      </w:pPr>
      <w:r w:rsidRPr="00572A6D">
        <w:rPr>
          <w:dstrike/>
        </w:rPr>
        <w:t xml:space="preserve">Un projet de procès-verbal est </w:t>
      </w:r>
      <w:proofErr w:type="gramStart"/>
      <w:r w:rsidRPr="00572A6D">
        <w:rPr>
          <w:dstrike/>
        </w:rPr>
        <w:t>adressé  aux</w:t>
      </w:r>
      <w:proofErr w:type="gramEnd"/>
      <w:r w:rsidRPr="00572A6D">
        <w:rPr>
          <w:dstrike/>
        </w:rPr>
        <w:t xml:space="preserve"> membres du Conseil supérieur dans les  6 semaines suivant la réunion.</w:t>
      </w:r>
      <w:r w:rsidRPr="00572A6D">
        <w:rPr>
          <w:b/>
          <w:i/>
          <w:dstrike/>
        </w:rPr>
        <w:t xml:space="preserve"> </w:t>
      </w:r>
      <w:r w:rsidRPr="00572A6D">
        <w:rPr>
          <w:dstrike/>
        </w:rPr>
        <w:t xml:space="preserve">Ceux-ci font parvenir par écrit leur approbation ou leurs observations dans les trois semaines de la réception du projet. </w:t>
      </w:r>
    </w:p>
    <w:p w:rsidR="00572A6D" w:rsidRPr="00572A6D" w:rsidRDefault="00572A6D" w:rsidP="00572A6D">
      <w:pPr>
        <w:tabs>
          <w:tab w:val="left" w:pos="5925"/>
        </w:tabs>
        <w:rPr>
          <w:dstrike/>
        </w:rPr>
      </w:pPr>
      <w:r w:rsidRPr="00572A6D">
        <w:rPr>
          <w:dstrike/>
        </w:rPr>
        <w:t xml:space="preserve">Copie du procès-verbal est adressée aux autres participants.  Ceux-ci peuvent faire parvenir des observations concernant leurs propres interventions dans les trois semaines de la réception du projet. </w:t>
      </w:r>
    </w:p>
    <w:p w:rsidR="00572A6D" w:rsidRPr="00FC0825" w:rsidRDefault="00572A6D" w:rsidP="00572A6D">
      <w:pPr>
        <w:tabs>
          <w:tab w:val="left" w:pos="5925"/>
        </w:tabs>
      </w:pPr>
      <w:r>
        <w:t>Le</w:t>
      </w:r>
      <w:r w:rsidRPr="00572A6D">
        <w:rPr>
          <w:color w:val="0000FF"/>
        </w:rPr>
        <w:t>s</w:t>
      </w:r>
      <w:r>
        <w:t xml:space="preserve"> </w:t>
      </w:r>
      <w:r w:rsidRPr="00572A6D">
        <w:rPr>
          <w:color w:val="0000FF"/>
        </w:rPr>
        <w:t>décisions</w:t>
      </w:r>
      <w:r w:rsidR="00783821" w:rsidRPr="00783821">
        <w:rPr>
          <w:rFonts w:cs="Arial"/>
          <w:color w:val="0000FF"/>
          <w:szCs w:val="22"/>
          <w:lang w:val="fr-BE"/>
        </w:rPr>
        <w:t xml:space="preserve"> </w:t>
      </w:r>
      <w:r w:rsidR="00783821" w:rsidRPr="000E246D">
        <w:rPr>
          <w:rFonts w:cs="Arial"/>
          <w:color w:val="0000FF"/>
          <w:szCs w:val="22"/>
          <w:lang w:val="fr-BE"/>
        </w:rPr>
        <w:t xml:space="preserve">et déclarations </w:t>
      </w:r>
      <w:r w:rsidRPr="00572A6D">
        <w:rPr>
          <w:dstrike/>
        </w:rPr>
        <w:t xml:space="preserve">procès-verbal </w:t>
      </w:r>
      <w:r w:rsidRPr="00572A6D">
        <w:rPr>
          <w:color w:val="0000FF"/>
        </w:rPr>
        <w:t>définitives</w:t>
      </w:r>
      <w:r w:rsidRPr="00FC0825">
        <w:t xml:space="preserve"> qui </w:t>
      </w:r>
      <w:r w:rsidRPr="00572A6D">
        <w:rPr>
          <w:color w:val="0000FF"/>
        </w:rPr>
        <w:t>tiennent</w:t>
      </w:r>
      <w:r w:rsidRPr="00FC0825">
        <w:t xml:space="preserve"> compte des remarques</w:t>
      </w:r>
      <w:r>
        <w:t xml:space="preserve"> </w:t>
      </w:r>
      <w:r w:rsidRPr="00572A6D">
        <w:rPr>
          <w:color w:val="0000FF"/>
        </w:rPr>
        <w:t xml:space="preserve">et des observations </w:t>
      </w:r>
      <w:r w:rsidRPr="00FC0825">
        <w:t xml:space="preserve">des membres </w:t>
      </w:r>
      <w:r>
        <w:t xml:space="preserve">du Conseil </w:t>
      </w:r>
      <w:proofErr w:type="gramStart"/>
      <w:r>
        <w:t>supérieur  sont</w:t>
      </w:r>
      <w:proofErr w:type="gramEnd"/>
      <w:r>
        <w:t xml:space="preserve"> établi</w:t>
      </w:r>
      <w:r w:rsidRPr="00572A6D">
        <w:rPr>
          <w:color w:val="0000FF"/>
        </w:rPr>
        <w:t>es</w:t>
      </w:r>
      <w:r w:rsidRPr="00FC0825">
        <w:t xml:space="preserve"> et distribu</w:t>
      </w:r>
      <w:r w:rsidRPr="00572A6D">
        <w:rPr>
          <w:color w:val="0000FF"/>
        </w:rPr>
        <w:t xml:space="preserve">ées </w:t>
      </w:r>
      <w:r w:rsidRPr="00FC0825">
        <w:t xml:space="preserve">après approbation </w:t>
      </w:r>
      <w:r w:rsidRPr="00572A6D">
        <w:rPr>
          <w:dstrike/>
        </w:rPr>
        <w:t>de ce dernier</w:t>
      </w:r>
      <w:r w:rsidRPr="00FC0825">
        <w:t xml:space="preserve"> par procédure écrite.</w:t>
      </w:r>
    </w:p>
    <w:p w:rsidR="00572A6D" w:rsidRPr="00FC0825" w:rsidRDefault="00572A6D" w:rsidP="00572A6D">
      <w:pPr>
        <w:autoSpaceDE w:val="0"/>
        <w:autoSpaceDN w:val="0"/>
        <w:adjustRightInd w:val="0"/>
        <w:spacing w:before="0" w:after="0"/>
        <w:rPr>
          <w:rFonts w:cs="Arial"/>
          <w:szCs w:val="22"/>
        </w:rPr>
      </w:pPr>
      <w:r w:rsidRPr="00FC0825">
        <w:rPr>
          <w:rFonts w:cs="Arial"/>
          <w:szCs w:val="22"/>
        </w:rPr>
        <w:t xml:space="preserve">Les décisions prises par le Conseil supérieur sont communiquées aux autres membres du système via le site web du Bureau du Secrétaire général des Ecoles européennes : </w:t>
      </w:r>
      <w:hyperlink r:id="rId8" w:history="1">
        <w:r w:rsidRPr="00FC0825">
          <w:rPr>
            <w:rFonts w:cs="Arial"/>
            <w:szCs w:val="22"/>
            <w:u w:val="single"/>
          </w:rPr>
          <w:t>www.eursc.eu</w:t>
        </w:r>
      </w:hyperlink>
      <w:r w:rsidR="002C1C8E">
        <w:rPr>
          <w:rFonts w:cs="Arial"/>
          <w:szCs w:val="22"/>
          <w:u w:val="single"/>
        </w:rPr>
        <w:t xml:space="preserve"> </w:t>
      </w:r>
    </w:p>
    <w:p w:rsidR="00054D46" w:rsidRDefault="00054D46"/>
    <w:p w:rsidR="00D02C7D" w:rsidRPr="00D02C7D" w:rsidRDefault="00D02C7D" w:rsidP="00D02C7D">
      <w:pPr>
        <w:tabs>
          <w:tab w:val="left" w:pos="5925"/>
        </w:tabs>
        <w:rPr>
          <w:b/>
          <w:u w:val="single"/>
        </w:rPr>
      </w:pPr>
      <w:r w:rsidRPr="00D02C7D">
        <w:rPr>
          <w:b/>
          <w:u w:val="single"/>
        </w:rPr>
        <w:t>Article 17</w:t>
      </w:r>
    </w:p>
    <w:p w:rsidR="00D02C7D" w:rsidRPr="00D02C7D" w:rsidRDefault="00D02C7D" w:rsidP="00D02C7D">
      <w:pPr>
        <w:tabs>
          <w:tab w:val="left" w:pos="5925"/>
        </w:tabs>
      </w:pPr>
      <w:r w:rsidRPr="00D02C7D">
        <w:t>Les frais de voyage et de séjour sont remboursés aux membres du Conseil supérieur ou à leurs représentants ainsi qu’aux participants ayant reçu une invitation émanant du Secrétariat général.</w:t>
      </w:r>
    </w:p>
    <w:p w:rsidR="00D02C7D" w:rsidRPr="00D02C7D" w:rsidRDefault="00D02C7D" w:rsidP="00D02C7D">
      <w:pPr>
        <w:tabs>
          <w:tab w:val="left" w:pos="5925"/>
        </w:tabs>
      </w:pPr>
      <w:r w:rsidRPr="00D02C7D">
        <w:t xml:space="preserve">Ces frais sont pris </w:t>
      </w:r>
      <w:proofErr w:type="gramStart"/>
      <w:r w:rsidRPr="00D02C7D">
        <w:t>en  charge</w:t>
      </w:r>
      <w:proofErr w:type="gramEnd"/>
      <w:r w:rsidRPr="00D02C7D">
        <w:t xml:space="preserve"> par le budget du Bureau du Secrétaire général selon les dispositions du règlement approuvé par le Conseil supérieur.</w:t>
      </w:r>
    </w:p>
    <w:p w:rsidR="00D02C7D" w:rsidRPr="00D02C7D" w:rsidRDefault="00D02C7D" w:rsidP="00D02C7D">
      <w:pPr>
        <w:tabs>
          <w:tab w:val="left" w:pos="5925"/>
        </w:tabs>
      </w:pPr>
      <w:r w:rsidRPr="00D02C7D">
        <w:t>Le coût global de chaqu</w:t>
      </w:r>
      <w:r>
        <w:t>e réunion est mentionné dans le</w:t>
      </w:r>
      <w:r w:rsidRPr="000D46D4">
        <w:rPr>
          <w:color w:val="0000FF"/>
        </w:rPr>
        <w:t xml:space="preserve"> relevé des décisions</w:t>
      </w:r>
      <w:r w:rsidR="00783821" w:rsidRPr="00783821">
        <w:rPr>
          <w:rFonts w:cs="Arial"/>
          <w:color w:val="0000FF"/>
          <w:szCs w:val="22"/>
          <w:lang w:val="fr-BE"/>
        </w:rPr>
        <w:t xml:space="preserve"> </w:t>
      </w:r>
      <w:r w:rsidR="00783821" w:rsidRPr="000E246D">
        <w:rPr>
          <w:rFonts w:cs="Arial"/>
          <w:color w:val="0000FF"/>
          <w:szCs w:val="22"/>
          <w:lang w:val="fr-BE"/>
        </w:rPr>
        <w:t>et des déclarations des délégations</w:t>
      </w:r>
      <w:r w:rsidR="00783821">
        <w:rPr>
          <w:rFonts w:cs="Arial"/>
          <w:color w:val="0000FF"/>
          <w:szCs w:val="22"/>
          <w:lang w:val="fr-BE"/>
        </w:rPr>
        <w:t>.</w:t>
      </w:r>
    </w:p>
    <w:p w:rsidR="00D02C7D" w:rsidRPr="00D02C7D" w:rsidRDefault="00D02C7D" w:rsidP="00D02C7D">
      <w:pPr>
        <w:autoSpaceDE w:val="0"/>
        <w:autoSpaceDN w:val="0"/>
        <w:adjustRightInd w:val="0"/>
        <w:spacing w:before="0" w:after="0"/>
      </w:pPr>
      <w:r w:rsidRPr="00D02C7D">
        <w:t>Les frais pouvant résulter de la venue d’autres personnes que celles mentionnées à l’article 5   restent à la charge des administrations nationales.</w:t>
      </w:r>
    </w:p>
    <w:p w:rsidR="00054D46" w:rsidRDefault="00054D46"/>
    <w:p w:rsidR="0034375E" w:rsidRPr="003D139D" w:rsidRDefault="0034375E" w:rsidP="0034375E">
      <w:pPr>
        <w:rPr>
          <w:b/>
          <w:u w:val="single"/>
          <w:lang w:val="fr-BE"/>
        </w:rPr>
      </w:pPr>
      <w:r w:rsidRPr="003D139D">
        <w:rPr>
          <w:b/>
          <w:u w:val="single"/>
          <w:lang w:val="fr-BE"/>
        </w:rPr>
        <w:t>PROPOSITION</w:t>
      </w:r>
    </w:p>
    <w:p w:rsidR="0034375E" w:rsidRPr="003D139D" w:rsidRDefault="0034375E" w:rsidP="0034375E">
      <w:pPr>
        <w:rPr>
          <w:lang w:val="fr-BE"/>
        </w:rPr>
      </w:pPr>
      <w:r w:rsidRPr="003D139D">
        <w:rPr>
          <w:lang w:val="fr-BE"/>
        </w:rPr>
        <w:t>Le Conseil supérieur est invité à approuver le document adapté selon les remarques émises lors de sa réunion de décembre 2014.</w:t>
      </w:r>
    </w:p>
    <w:p w:rsidR="00054D46" w:rsidRPr="0034375E" w:rsidRDefault="00054D46">
      <w:pPr>
        <w:rPr>
          <w:lang w:val="fr-BE"/>
        </w:rPr>
      </w:pPr>
    </w:p>
    <w:sectPr w:rsidR="00054D46" w:rsidRPr="0034375E">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5CF9" w:rsidRDefault="007F5CF9" w:rsidP="007F5CF9">
      <w:pPr>
        <w:spacing w:before="0" w:after="0"/>
      </w:pPr>
      <w:r>
        <w:separator/>
      </w:r>
    </w:p>
  </w:endnote>
  <w:endnote w:type="continuationSeparator" w:id="0">
    <w:p w:rsidR="007F5CF9" w:rsidRDefault="007F5CF9" w:rsidP="007F5CF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1748681"/>
      <w:docPartObj>
        <w:docPartGallery w:val="Page Numbers (Bottom of Page)"/>
        <w:docPartUnique/>
      </w:docPartObj>
    </w:sdtPr>
    <w:sdtEndPr>
      <w:rPr>
        <w:noProof/>
      </w:rPr>
    </w:sdtEndPr>
    <w:sdtContent>
      <w:p w:rsidR="007F5CF9" w:rsidRDefault="007F5CF9">
        <w:pPr>
          <w:pStyle w:val="Footer"/>
          <w:jc w:val="right"/>
        </w:pPr>
        <w:r>
          <w:fldChar w:fldCharType="begin"/>
        </w:r>
        <w:r>
          <w:instrText xml:space="preserve"> PAGE   \* MERGEFORMAT </w:instrText>
        </w:r>
        <w:r>
          <w:fldChar w:fldCharType="separate"/>
        </w:r>
        <w:r w:rsidR="008672F1">
          <w:rPr>
            <w:noProof/>
          </w:rPr>
          <w:t>3</w:t>
        </w:r>
        <w:r>
          <w:rPr>
            <w:noProof/>
          </w:rPr>
          <w:fldChar w:fldCharType="end"/>
        </w:r>
      </w:p>
    </w:sdtContent>
  </w:sdt>
  <w:p w:rsidR="007F5CF9" w:rsidRDefault="007F5C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5CF9" w:rsidRDefault="007F5CF9" w:rsidP="007F5CF9">
      <w:pPr>
        <w:spacing w:before="0" w:after="0"/>
      </w:pPr>
      <w:r>
        <w:separator/>
      </w:r>
    </w:p>
  </w:footnote>
  <w:footnote w:type="continuationSeparator" w:id="0">
    <w:p w:rsidR="007F5CF9" w:rsidRDefault="007F5CF9" w:rsidP="007F5CF9">
      <w:pPr>
        <w:spacing w:before="0" w:after="0"/>
      </w:pPr>
      <w:r>
        <w:continuationSeparator/>
      </w:r>
    </w:p>
  </w:footnote>
  <w:footnote w:id="1">
    <w:p w:rsidR="00E20059" w:rsidRDefault="00E20059">
      <w:pPr>
        <w:pStyle w:val="FootnoteText"/>
      </w:pPr>
      <w:r>
        <w:rPr>
          <w:rStyle w:val="FootnoteReference"/>
        </w:rPr>
        <w:footnoteRef/>
      </w:r>
      <w:r>
        <w:t xml:space="preserve"> </w:t>
      </w:r>
      <w:r>
        <w:rPr>
          <w:lang w:val="fr-BE"/>
        </w:rPr>
        <w:t>On entend par</w:t>
      </w:r>
      <w:proofErr w:type="gramStart"/>
      <w:r>
        <w:rPr>
          <w:lang w:val="fr-BE"/>
        </w:rPr>
        <w:t xml:space="preserve"> «déclarations</w:t>
      </w:r>
      <w:proofErr w:type="gramEnd"/>
      <w:r>
        <w:rPr>
          <w:lang w:val="fr-BE"/>
        </w:rPr>
        <w:t xml:space="preserve"> des délégations », une intervention pour laquelle la délégation concernée aura expressément fait la demande auprès de la Présidence pour que celle-ci soit annexée au relevé des </w:t>
      </w:r>
      <w:r w:rsidR="004C7F32">
        <w:rPr>
          <w:lang w:val="fr-BE"/>
        </w:rPr>
        <w:t>décision</w:t>
      </w:r>
      <w:bookmarkStart w:id="0" w:name="_GoBack"/>
      <w:bookmarkEnd w:id="0"/>
      <w:r>
        <w:rPr>
          <w:lang w:val="fr-BE"/>
        </w:rPr>
        <w:t>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D46"/>
    <w:rsid w:val="00054D46"/>
    <w:rsid w:val="000D46D4"/>
    <w:rsid w:val="002A6BAC"/>
    <w:rsid w:val="002C1C8E"/>
    <w:rsid w:val="0034375E"/>
    <w:rsid w:val="00383BE0"/>
    <w:rsid w:val="003A3149"/>
    <w:rsid w:val="003D139D"/>
    <w:rsid w:val="004C7F32"/>
    <w:rsid w:val="004F41B6"/>
    <w:rsid w:val="0055731D"/>
    <w:rsid w:val="00572A6D"/>
    <w:rsid w:val="006328BA"/>
    <w:rsid w:val="006776D4"/>
    <w:rsid w:val="007229FE"/>
    <w:rsid w:val="00783821"/>
    <w:rsid w:val="007F24F4"/>
    <w:rsid w:val="007F5CF9"/>
    <w:rsid w:val="008672F1"/>
    <w:rsid w:val="00CF4D27"/>
    <w:rsid w:val="00D02C7D"/>
    <w:rsid w:val="00E20059"/>
    <w:rsid w:val="00EB6181"/>
    <w:rsid w:val="00F06B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2E49D"/>
  <w15:docId w15:val="{52560508-4AD1-48F5-B629-E3A14ED78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4D46"/>
    <w:pPr>
      <w:spacing w:before="120" w:after="120" w:line="240" w:lineRule="auto"/>
      <w:jc w:val="both"/>
    </w:pPr>
    <w:rPr>
      <w:rFonts w:ascii="Arial" w:eastAsia="Times New Roman" w:hAnsi="Arial" w:cs="Times New Roman"/>
      <w:szCs w:val="20"/>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ferences">
    <w:name w:val="References"/>
    <w:basedOn w:val="Normal"/>
    <w:rsid w:val="00054D46"/>
    <w:pPr>
      <w:spacing w:after="0"/>
    </w:pPr>
    <w:rPr>
      <w:b/>
    </w:rPr>
  </w:style>
  <w:style w:type="paragraph" w:customStyle="1" w:styleId="DocumentTitle">
    <w:name w:val="Document Title"/>
    <w:basedOn w:val="Normal"/>
    <w:rsid w:val="00054D46"/>
    <w:pPr>
      <w:pBdr>
        <w:bottom w:val="single" w:sz="4" w:space="1" w:color="auto"/>
      </w:pBdr>
      <w:spacing w:before="2400"/>
      <w:jc w:val="left"/>
      <w:outlineLvl w:val="0"/>
    </w:pPr>
    <w:rPr>
      <w:rFonts w:eastAsia="Times"/>
      <w:b/>
      <w:kern w:val="28"/>
      <w:sz w:val="32"/>
    </w:rPr>
  </w:style>
  <w:style w:type="paragraph" w:customStyle="1" w:styleId="ZCom">
    <w:name w:val="Z_Com"/>
    <w:basedOn w:val="Normal"/>
    <w:next w:val="Normal"/>
    <w:rsid w:val="00054D46"/>
    <w:pPr>
      <w:widowControl w:val="0"/>
      <w:spacing w:before="0" w:after="0"/>
      <w:ind w:right="85"/>
    </w:pPr>
    <w:rPr>
      <w:snapToGrid w:val="0"/>
      <w:sz w:val="24"/>
      <w:lang w:eastAsia="en-US"/>
    </w:rPr>
  </w:style>
  <w:style w:type="paragraph" w:customStyle="1" w:styleId="ZDGName">
    <w:name w:val="Z_DGName"/>
    <w:basedOn w:val="Normal"/>
    <w:rsid w:val="00054D46"/>
    <w:pPr>
      <w:widowControl w:val="0"/>
      <w:spacing w:before="0" w:after="0"/>
      <w:ind w:right="85"/>
    </w:pPr>
    <w:rPr>
      <w:snapToGrid w:val="0"/>
      <w:sz w:val="16"/>
      <w:lang w:eastAsia="en-US"/>
    </w:rPr>
  </w:style>
  <w:style w:type="paragraph" w:styleId="BalloonText">
    <w:name w:val="Balloon Text"/>
    <w:basedOn w:val="Normal"/>
    <w:link w:val="BalloonTextChar"/>
    <w:uiPriority w:val="99"/>
    <w:semiHidden/>
    <w:unhideWhenUsed/>
    <w:rsid w:val="00054D46"/>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D46"/>
    <w:rPr>
      <w:rFonts w:ascii="Tahoma" w:eastAsia="Times New Roman" w:hAnsi="Tahoma" w:cs="Tahoma"/>
      <w:sz w:val="16"/>
      <w:szCs w:val="16"/>
      <w:lang w:val="fr-FR" w:eastAsia="fr-FR"/>
    </w:rPr>
  </w:style>
  <w:style w:type="paragraph" w:styleId="Header">
    <w:name w:val="header"/>
    <w:basedOn w:val="Normal"/>
    <w:link w:val="HeaderChar"/>
    <w:uiPriority w:val="99"/>
    <w:unhideWhenUsed/>
    <w:rsid w:val="007F5CF9"/>
    <w:pPr>
      <w:tabs>
        <w:tab w:val="center" w:pos="4513"/>
        <w:tab w:val="right" w:pos="9026"/>
      </w:tabs>
      <w:spacing w:before="0" w:after="0"/>
    </w:pPr>
  </w:style>
  <w:style w:type="character" w:customStyle="1" w:styleId="HeaderChar">
    <w:name w:val="Header Char"/>
    <w:basedOn w:val="DefaultParagraphFont"/>
    <w:link w:val="Header"/>
    <w:uiPriority w:val="99"/>
    <w:rsid w:val="007F5CF9"/>
    <w:rPr>
      <w:rFonts w:ascii="Arial" w:eastAsia="Times New Roman" w:hAnsi="Arial" w:cs="Times New Roman"/>
      <w:szCs w:val="20"/>
      <w:lang w:val="fr-FR" w:eastAsia="fr-FR"/>
    </w:rPr>
  </w:style>
  <w:style w:type="paragraph" w:styleId="Footer">
    <w:name w:val="footer"/>
    <w:basedOn w:val="Normal"/>
    <w:link w:val="FooterChar"/>
    <w:uiPriority w:val="99"/>
    <w:unhideWhenUsed/>
    <w:rsid w:val="007F5CF9"/>
    <w:pPr>
      <w:tabs>
        <w:tab w:val="center" w:pos="4513"/>
        <w:tab w:val="right" w:pos="9026"/>
      </w:tabs>
      <w:spacing w:before="0" w:after="0"/>
    </w:pPr>
  </w:style>
  <w:style w:type="character" w:customStyle="1" w:styleId="FooterChar">
    <w:name w:val="Footer Char"/>
    <w:basedOn w:val="DefaultParagraphFont"/>
    <w:link w:val="Footer"/>
    <w:uiPriority w:val="99"/>
    <w:rsid w:val="007F5CF9"/>
    <w:rPr>
      <w:rFonts w:ascii="Arial" w:eastAsia="Times New Roman" w:hAnsi="Arial" w:cs="Times New Roman"/>
      <w:szCs w:val="20"/>
      <w:lang w:val="fr-FR" w:eastAsia="fr-FR"/>
    </w:rPr>
  </w:style>
  <w:style w:type="paragraph" w:styleId="FootnoteText">
    <w:name w:val="footnote text"/>
    <w:basedOn w:val="Normal"/>
    <w:link w:val="FootnoteTextChar"/>
    <w:uiPriority w:val="99"/>
    <w:semiHidden/>
    <w:unhideWhenUsed/>
    <w:rsid w:val="00E20059"/>
    <w:pPr>
      <w:spacing w:before="0" w:after="0"/>
    </w:pPr>
    <w:rPr>
      <w:sz w:val="20"/>
    </w:rPr>
  </w:style>
  <w:style w:type="character" w:customStyle="1" w:styleId="FootnoteTextChar">
    <w:name w:val="Footnote Text Char"/>
    <w:basedOn w:val="DefaultParagraphFont"/>
    <w:link w:val="FootnoteText"/>
    <w:uiPriority w:val="99"/>
    <w:semiHidden/>
    <w:rsid w:val="00E20059"/>
    <w:rPr>
      <w:rFonts w:ascii="Arial" w:eastAsia="Times New Roman" w:hAnsi="Arial" w:cs="Times New Roman"/>
      <w:sz w:val="20"/>
      <w:szCs w:val="20"/>
      <w:lang w:val="fr-FR" w:eastAsia="fr-FR"/>
    </w:rPr>
  </w:style>
  <w:style w:type="character" w:styleId="FootnoteReference">
    <w:name w:val="footnote reference"/>
    <w:basedOn w:val="DefaultParagraphFont"/>
    <w:uiPriority w:val="99"/>
    <w:semiHidden/>
    <w:unhideWhenUsed/>
    <w:rsid w:val="00E2005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bsgpcs\..\Jacqueline.Guillick\Local%20Settings\Temporary%20Internet%20Files\OLK1E\www.eursc.eu"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FB43D3-D61D-4105-BD78-6586B3F3C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3</Pages>
  <Words>719</Words>
  <Characters>3956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MATUNDU_LUZOLO Helene</dc:creator>
  <cp:lastModifiedBy>MATUNDU LUZOLO Hélène (OSG)</cp:lastModifiedBy>
  <cp:revision>5</cp:revision>
  <dcterms:created xsi:type="dcterms:W3CDTF">2016-11-23T13:49:00Z</dcterms:created>
  <dcterms:modified xsi:type="dcterms:W3CDTF">2016-11-29T15:38:00Z</dcterms:modified>
</cp:coreProperties>
</file>