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7C" w:rsidRDefault="00523E7C" w:rsidP="00523E7C">
      <w:pPr>
        <w:rPr>
          <w:b/>
        </w:rPr>
      </w:pPr>
    </w:p>
    <w:p w:rsidR="00523E7C" w:rsidRDefault="00523E7C" w:rsidP="00523E7C">
      <w:pPr>
        <w:rPr>
          <w:b/>
        </w:rPr>
      </w:pPr>
    </w:p>
    <w:p w:rsidR="00877AB3" w:rsidRPr="00614BDB" w:rsidRDefault="00877AB3" w:rsidP="00877AB3">
      <w:pPr>
        <w:rPr>
          <w:lang w:val="en-GB"/>
        </w:rPr>
      </w:pPr>
      <w:r w:rsidRPr="00614BDB">
        <w:rPr>
          <w:lang w:val="en-GB"/>
        </w:rPr>
        <w:tab/>
        <w:t xml:space="preserve"> </w:t>
      </w:r>
    </w:p>
    <w:tbl>
      <w:tblPr>
        <w:tblW w:w="9469" w:type="dxa"/>
        <w:tblLayout w:type="fixed"/>
        <w:tblCellMar>
          <w:left w:w="0" w:type="dxa"/>
          <w:right w:w="0" w:type="dxa"/>
        </w:tblCellMar>
        <w:tblLook w:val="0000" w:firstRow="0" w:lastRow="0" w:firstColumn="0" w:lastColumn="0" w:noHBand="0" w:noVBand="0"/>
      </w:tblPr>
      <w:tblGrid>
        <w:gridCol w:w="5103"/>
        <w:gridCol w:w="4366"/>
      </w:tblGrid>
      <w:tr w:rsidR="00877AB3" w:rsidRPr="00614BDB">
        <w:trPr>
          <w:trHeight w:val="1440"/>
        </w:trPr>
        <w:tc>
          <w:tcPr>
            <w:tcW w:w="5103" w:type="dxa"/>
            <w:tcBorders>
              <w:top w:val="nil"/>
              <w:left w:val="nil"/>
              <w:bottom w:val="nil"/>
              <w:right w:val="nil"/>
            </w:tcBorders>
          </w:tcPr>
          <w:p w:rsidR="00877AB3" w:rsidRPr="00614BDB" w:rsidRDefault="00DC1B48" w:rsidP="00147A76">
            <w:pPr>
              <w:rPr>
                <w:lang w:val="en-GB"/>
              </w:rPr>
            </w:pPr>
            <w:r>
              <w:rPr>
                <w:sz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84pt" fillcolor="window">
                  <v:imagedata r:id="rId9" o:title="LogoBW"/>
                </v:shape>
              </w:pict>
            </w:r>
          </w:p>
        </w:tc>
        <w:tc>
          <w:tcPr>
            <w:tcW w:w="4366" w:type="dxa"/>
            <w:tcBorders>
              <w:top w:val="nil"/>
              <w:left w:val="nil"/>
              <w:bottom w:val="nil"/>
              <w:right w:val="nil"/>
            </w:tcBorders>
          </w:tcPr>
          <w:p w:rsidR="00877AB3" w:rsidRPr="00614BDB" w:rsidRDefault="00877AB3" w:rsidP="00147A76">
            <w:pPr>
              <w:pStyle w:val="ZCom"/>
              <w:rPr>
                <w:lang w:val="en-GB"/>
              </w:rPr>
            </w:pPr>
            <w:r w:rsidRPr="00614BDB">
              <w:rPr>
                <w:lang w:val="en-GB"/>
              </w:rPr>
              <w:t>Schola Europaea</w:t>
            </w:r>
          </w:p>
          <w:p w:rsidR="00877AB3" w:rsidRPr="00614BDB" w:rsidRDefault="00877AB3" w:rsidP="00147A76">
            <w:pPr>
              <w:pStyle w:val="ZDGName"/>
              <w:rPr>
                <w:lang w:val="en-GB"/>
              </w:rPr>
            </w:pPr>
          </w:p>
          <w:p w:rsidR="00877AB3" w:rsidRPr="00614BDB" w:rsidRDefault="00877AB3" w:rsidP="00147A76">
            <w:pPr>
              <w:pStyle w:val="ZDGName"/>
              <w:rPr>
                <w:lang w:val="en-GB"/>
              </w:rPr>
            </w:pPr>
          </w:p>
          <w:p w:rsidR="00877AB3" w:rsidRPr="00614BDB" w:rsidRDefault="00877AB3" w:rsidP="00147A76">
            <w:pPr>
              <w:pStyle w:val="ZDGName"/>
              <w:rPr>
                <w:lang w:val="en-GB"/>
              </w:rPr>
            </w:pPr>
            <w:r w:rsidRPr="00614BDB">
              <w:rPr>
                <w:lang w:val="en-GB"/>
              </w:rPr>
              <w:t>Office of the Secretary-General</w:t>
            </w:r>
          </w:p>
          <w:p w:rsidR="00877AB3" w:rsidRPr="00614BDB" w:rsidRDefault="00877AB3" w:rsidP="00147A76">
            <w:pPr>
              <w:pStyle w:val="ZDGName"/>
              <w:rPr>
                <w:lang w:val="en-GB"/>
              </w:rPr>
            </w:pPr>
          </w:p>
          <w:p w:rsidR="00877AB3" w:rsidRPr="00614BDB" w:rsidRDefault="00B21999" w:rsidP="00147A76">
            <w:pPr>
              <w:pStyle w:val="ZDGName"/>
              <w:rPr>
                <w:lang w:val="en-GB"/>
              </w:rPr>
            </w:pPr>
            <w:r>
              <w:rPr>
                <w:lang w:val="en-GB"/>
              </w:rPr>
              <w:t>Human Resources Unit</w:t>
            </w:r>
          </w:p>
          <w:p w:rsidR="00877AB3" w:rsidRPr="00614BDB" w:rsidRDefault="00877AB3" w:rsidP="00147A76">
            <w:pPr>
              <w:pStyle w:val="ZDGName"/>
              <w:widowControl/>
              <w:rPr>
                <w:lang w:val="en-GB"/>
              </w:rPr>
            </w:pPr>
          </w:p>
        </w:tc>
      </w:tr>
    </w:tbl>
    <w:p w:rsidR="00877AB3" w:rsidRPr="00614BDB" w:rsidRDefault="00877AB3" w:rsidP="00877AB3">
      <w:pPr>
        <w:pStyle w:val="References"/>
        <w:rPr>
          <w:color w:val="FF0000"/>
          <w:lang w:val="en-GB"/>
        </w:rPr>
      </w:pPr>
      <w:r w:rsidRPr="000416A7">
        <w:rPr>
          <w:lang w:val="en-GB"/>
        </w:rPr>
        <w:t xml:space="preserve">Ref.: </w:t>
      </w:r>
      <w:r w:rsidR="00A235D6" w:rsidRPr="000416A7">
        <w:rPr>
          <w:lang w:val="en-GB"/>
        </w:rPr>
        <w:t>201</w:t>
      </w:r>
      <w:r w:rsidR="0096309B">
        <w:rPr>
          <w:lang w:val="en-GB"/>
        </w:rPr>
        <w:t>6-10</w:t>
      </w:r>
      <w:r w:rsidR="00A235D6" w:rsidRPr="000416A7">
        <w:rPr>
          <w:lang w:val="en-GB"/>
        </w:rPr>
        <w:t>-D-</w:t>
      </w:r>
      <w:r w:rsidR="0096309B">
        <w:rPr>
          <w:lang w:val="en-GB"/>
        </w:rPr>
        <w:t>8</w:t>
      </w:r>
      <w:r w:rsidR="00EE73F4">
        <w:rPr>
          <w:lang w:val="en-GB"/>
        </w:rPr>
        <w:t>-en-</w:t>
      </w:r>
      <w:r w:rsidR="008162F3">
        <w:rPr>
          <w:lang w:val="en-GB"/>
        </w:rPr>
        <w:t>3</w:t>
      </w:r>
    </w:p>
    <w:p w:rsidR="00877AB3" w:rsidRPr="00614BDB" w:rsidRDefault="00877AB3" w:rsidP="00877AB3">
      <w:pPr>
        <w:pStyle w:val="References"/>
        <w:rPr>
          <w:color w:val="000000"/>
          <w:lang w:val="en-GB"/>
        </w:rPr>
      </w:pPr>
      <w:r w:rsidRPr="00614BDB">
        <w:rPr>
          <w:lang w:val="en-GB"/>
        </w:rPr>
        <w:t xml:space="preserve">Orig.: </w:t>
      </w:r>
      <w:r w:rsidR="00B21999">
        <w:rPr>
          <w:color w:val="000000"/>
          <w:lang w:val="en-GB"/>
        </w:rPr>
        <w:t>EN</w:t>
      </w:r>
    </w:p>
    <w:p w:rsidR="00877AB3" w:rsidRPr="00614BDB" w:rsidRDefault="00877AB3" w:rsidP="00877AB3">
      <w:pPr>
        <w:pStyle w:val="References"/>
        <w:rPr>
          <w:color w:val="000000"/>
          <w:lang w:val="en-GB"/>
        </w:rPr>
      </w:pPr>
    </w:p>
    <w:p w:rsidR="00877AB3" w:rsidRPr="00614BDB" w:rsidRDefault="00877AB3" w:rsidP="00877AB3">
      <w:pPr>
        <w:pStyle w:val="References"/>
        <w:rPr>
          <w:color w:val="000000"/>
          <w:lang w:val="en-GB"/>
        </w:rPr>
      </w:pPr>
    </w:p>
    <w:p w:rsidR="00877AB3" w:rsidRPr="00614BDB" w:rsidRDefault="00877AB3" w:rsidP="00877AB3">
      <w:pPr>
        <w:pStyle w:val="References"/>
        <w:rPr>
          <w:color w:val="FF0000"/>
          <w:u w:val="single"/>
          <w:lang w:val="en-GB"/>
        </w:rPr>
      </w:pPr>
    </w:p>
    <w:p w:rsidR="00877AB3" w:rsidRPr="00614BDB" w:rsidRDefault="00877AB3" w:rsidP="00877AB3">
      <w:pPr>
        <w:pStyle w:val="References"/>
        <w:rPr>
          <w:color w:val="FF0000"/>
          <w:u w:val="single"/>
          <w:lang w:val="en-GB"/>
        </w:rPr>
      </w:pPr>
    </w:p>
    <w:p w:rsidR="00F8305A" w:rsidRDefault="0096309B" w:rsidP="0096309B">
      <w:pPr>
        <w:pStyle w:val="DocumentTitle"/>
        <w:pBdr>
          <w:bottom w:val="single" w:sz="4" w:space="0" w:color="auto"/>
        </w:pBdr>
        <w:ind w:right="-596"/>
        <w:rPr>
          <w:sz w:val="24"/>
          <w:szCs w:val="24"/>
          <w:lang w:val="en-GB"/>
        </w:rPr>
      </w:pPr>
      <w:r>
        <w:rPr>
          <w:lang w:val="en-GB"/>
        </w:rPr>
        <w:t>Mid-Term Report of the ‘Mobility Working Group’</w:t>
      </w:r>
    </w:p>
    <w:p w:rsidR="00877AB3" w:rsidRDefault="00D52E6C" w:rsidP="00877AB3">
      <w:pPr>
        <w:pStyle w:val="SubTitle1"/>
        <w:spacing w:before="120"/>
        <w:rPr>
          <w:sz w:val="24"/>
          <w:szCs w:val="24"/>
          <w:lang w:val="en-GB"/>
        </w:rPr>
      </w:pPr>
      <w:r>
        <w:rPr>
          <w:sz w:val="24"/>
          <w:szCs w:val="24"/>
          <w:lang w:val="en-GB"/>
        </w:rPr>
        <w:t>B</w:t>
      </w:r>
      <w:r w:rsidR="008162F3">
        <w:rPr>
          <w:sz w:val="24"/>
          <w:szCs w:val="24"/>
          <w:lang w:val="en-GB"/>
        </w:rPr>
        <w:t>oard of Governors</w:t>
      </w:r>
      <w:r w:rsidR="00B01578">
        <w:rPr>
          <w:sz w:val="24"/>
          <w:szCs w:val="24"/>
          <w:lang w:val="en-GB"/>
        </w:rPr>
        <w:t xml:space="preserve"> </w:t>
      </w:r>
    </w:p>
    <w:p w:rsidR="00B01578" w:rsidRPr="00B01578" w:rsidRDefault="008162F3" w:rsidP="00B01578">
      <w:pPr>
        <w:spacing w:after="100" w:afterAutospacing="1"/>
        <w:jc w:val="both"/>
        <w:rPr>
          <w:rFonts w:ascii="Arial" w:eastAsia="Times" w:hAnsi="Arial"/>
          <w:b/>
          <w:sz w:val="22"/>
          <w:szCs w:val="20"/>
          <w:lang w:val="en-US"/>
        </w:rPr>
      </w:pPr>
      <w:r>
        <w:rPr>
          <w:rFonts w:ascii="Arial" w:eastAsia="Times" w:hAnsi="Arial"/>
          <w:b/>
          <w:sz w:val="22"/>
          <w:szCs w:val="20"/>
          <w:lang w:val="en-US"/>
        </w:rPr>
        <w:t>7, 8</w:t>
      </w:r>
      <w:r w:rsidR="00D52E6C">
        <w:rPr>
          <w:rFonts w:ascii="Arial" w:eastAsia="Times" w:hAnsi="Arial"/>
          <w:b/>
          <w:sz w:val="22"/>
          <w:szCs w:val="20"/>
          <w:lang w:val="en-US"/>
        </w:rPr>
        <w:t xml:space="preserve"> and 9 </w:t>
      </w:r>
      <w:r>
        <w:rPr>
          <w:rFonts w:ascii="Arial" w:eastAsia="Times" w:hAnsi="Arial"/>
          <w:b/>
          <w:sz w:val="22"/>
          <w:szCs w:val="20"/>
          <w:lang w:val="en-US"/>
        </w:rPr>
        <w:t>December</w:t>
      </w:r>
      <w:r w:rsidR="00D52E6C">
        <w:rPr>
          <w:rFonts w:ascii="Arial" w:eastAsia="Times" w:hAnsi="Arial"/>
          <w:b/>
          <w:sz w:val="22"/>
          <w:szCs w:val="20"/>
          <w:lang w:val="en-US"/>
        </w:rPr>
        <w:t xml:space="preserve"> 2016</w:t>
      </w:r>
      <w:r w:rsidR="00B01578" w:rsidRPr="00B01578">
        <w:rPr>
          <w:rFonts w:ascii="Arial" w:eastAsia="Times" w:hAnsi="Arial"/>
          <w:b/>
          <w:sz w:val="22"/>
          <w:szCs w:val="20"/>
          <w:lang w:val="en-US"/>
        </w:rPr>
        <w:t xml:space="preserve"> </w:t>
      </w:r>
    </w:p>
    <w:p w:rsidR="00B01578" w:rsidRDefault="00B01578" w:rsidP="00877AB3">
      <w:pPr>
        <w:pStyle w:val="SubTitle1"/>
        <w:spacing w:before="120"/>
        <w:rPr>
          <w:sz w:val="24"/>
          <w:szCs w:val="24"/>
          <w:lang w:val="en-GB"/>
        </w:rPr>
      </w:pPr>
    </w:p>
    <w:p w:rsidR="00B01578" w:rsidRDefault="00B01578" w:rsidP="00877AB3">
      <w:pPr>
        <w:pStyle w:val="SubTitle1"/>
        <w:spacing w:before="120"/>
        <w:rPr>
          <w:sz w:val="24"/>
          <w:szCs w:val="24"/>
          <w:lang w:val="en-GB"/>
        </w:rPr>
      </w:pPr>
    </w:p>
    <w:p w:rsidR="00B21999" w:rsidRDefault="00B21999" w:rsidP="00523E7C">
      <w:pPr>
        <w:rPr>
          <w:b/>
          <w:lang w:val="en-GB"/>
        </w:rPr>
      </w:pPr>
    </w:p>
    <w:p w:rsidR="00B21999" w:rsidRDefault="00B21999" w:rsidP="00523E7C">
      <w:pPr>
        <w:rPr>
          <w:b/>
          <w:lang w:val="en-GB"/>
        </w:rPr>
      </w:pPr>
    </w:p>
    <w:p w:rsidR="00B21999" w:rsidRDefault="00B21999" w:rsidP="00523E7C">
      <w:pPr>
        <w:rPr>
          <w:b/>
          <w:lang w:val="en-GB"/>
        </w:rPr>
      </w:pPr>
    </w:p>
    <w:p w:rsidR="00523E7C" w:rsidRPr="00877AB3" w:rsidRDefault="00877AB3" w:rsidP="00523E7C">
      <w:pPr>
        <w:rPr>
          <w:b/>
          <w:lang w:val="en-GB"/>
        </w:rPr>
      </w:pPr>
      <w:r>
        <w:rPr>
          <w:b/>
          <w:lang w:val="en-GB"/>
        </w:rPr>
        <w:br w:type="page"/>
      </w:r>
    </w:p>
    <w:p w:rsidR="00B6205F" w:rsidRPr="00B5492E" w:rsidRDefault="00381C99" w:rsidP="00381C99">
      <w:pPr>
        <w:numPr>
          <w:ilvl w:val="0"/>
          <w:numId w:val="1"/>
        </w:numPr>
        <w:rPr>
          <w:rFonts w:ascii="Arial" w:hAnsi="Arial" w:cs="Arial"/>
          <w:b/>
        </w:rPr>
      </w:pPr>
      <w:r w:rsidRPr="00B5492E">
        <w:rPr>
          <w:rFonts w:ascii="Arial" w:hAnsi="Arial" w:cs="Arial"/>
          <w:b/>
          <w:lang w:val="fr-BE"/>
        </w:rPr>
        <w:t>Introduction</w:t>
      </w:r>
    </w:p>
    <w:p w:rsidR="00624541" w:rsidRDefault="00624541" w:rsidP="0080088C">
      <w:pPr>
        <w:jc w:val="both"/>
        <w:rPr>
          <w:rFonts w:ascii="Arial" w:hAnsi="Arial" w:cs="Arial"/>
          <w:lang w:val="en-GB"/>
        </w:rPr>
      </w:pPr>
    </w:p>
    <w:p w:rsidR="006C5C01" w:rsidRPr="00394570" w:rsidRDefault="006C5C01" w:rsidP="006C5C01">
      <w:pPr>
        <w:numPr>
          <w:ilvl w:val="0"/>
          <w:numId w:val="25"/>
        </w:numPr>
        <w:spacing w:after="240"/>
        <w:jc w:val="both"/>
        <w:rPr>
          <w:rFonts w:ascii="Arial" w:hAnsi="Arial" w:cs="Arial"/>
          <w:b/>
          <w:lang w:val="en-GB" w:eastAsia="fr-BE"/>
        </w:rPr>
      </w:pPr>
      <w:r w:rsidRPr="006C5C01">
        <w:rPr>
          <w:rFonts w:ascii="Arial" w:hAnsi="Arial" w:cs="Arial"/>
          <w:b/>
          <w:lang w:val="en-GB" w:eastAsia="fr-BE"/>
        </w:rPr>
        <w:t>Mandate</w:t>
      </w:r>
    </w:p>
    <w:p w:rsidR="006C5C01" w:rsidRPr="006C5C01" w:rsidRDefault="006C5C01" w:rsidP="006C5C01">
      <w:pPr>
        <w:spacing w:after="240"/>
        <w:jc w:val="both"/>
        <w:rPr>
          <w:rFonts w:ascii="Arial" w:hAnsi="Arial" w:cs="Arial"/>
          <w:lang w:val="en-GB" w:eastAsia="fr-BE"/>
        </w:rPr>
      </w:pPr>
      <w:r w:rsidRPr="006C5C01">
        <w:rPr>
          <w:rFonts w:ascii="Arial" w:hAnsi="Arial" w:cs="Arial"/>
          <w:lang w:val="en-GB" w:eastAsia="fr-BE"/>
        </w:rPr>
        <w:t>In its meeting of 2 – 4 December 2015 the Board of Governors has mandated the Secretary-General of the European Schools to create a new working group which will have to deal with the requirement of mobility of staff in particular in sensitive areas.</w:t>
      </w:r>
    </w:p>
    <w:p w:rsidR="006C5C01" w:rsidRPr="006C5C01" w:rsidRDefault="006C5C01" w:rsidP="006C5C01">
      <w:pPr>
        <w:spacing w:after="240"/>
        <w:jc w:val="both"/>
        <w:rPr>
          <w:rFonts w:ascii="Arial" w:hAnsi="Arial" w:cs="Arial"/>
          <w:lang w:val="en-GB" w:eastAsia="fr-BE"/>
        </w:rPr>
      </w:pPr>
      <w:r w:rsidRPr="006C5C01">
        <w:rPr>
          <w:rFonts w:ascii="Arial" w:hAnsi="Arial" w:cs="Arial"/>
          <w:lang w:val="en-GB" w:eastAsia="fr-BE"/>
        </w:rPr>
        <w:t>The decision of the Board of Governors reads with respect to the creation of the Working Group as follows (2015-12-D-8-en-3):</w:t>
      </w:r>
    </w:p>
    <w:p w:rsidR="006C5C01" w:rsidRPr="00517884" w:rsidRDefault="006C5C01" w:rsidP="006C5C01">
      <w:pPr>
        <w:numPr>
          <w:ilvl w:val="0"/>
          <w:numId w:val="24"/>
        </w:numPr>
        <w:spacing w:before="120" w:after="120"/>
        <w:contextualSpacing/>
        <w:jc w:val="both"/>
        <w:rPr>
          <w:rFonts w:ascii="Arial" w:hAnsi="Arial"/>
          <w:i/>
          <w:lang w:val="en-GB"/>
        </w:rPr>
      </w:pPr>
      <w:r w:rsidRPr="00517884">
        <w:rPr>
          <w:rFonts w:ascii="Arial" w:hAnsi="Arial" w:cs="Arial"/>
          <w:i/>
          <w:lang w:val="en-GB"/>
        </w:rPr>
        <w:t xml:space="preserve">The Board of Governors mandates a working group to </w:t>
      </w:r>
      <w:r w:rsidRPr="00517884">
        <w:rPr>
          <w:rFonts w:ascii="Arial" w:eastAsia="SimSun" w:hAnsi="Arial" w:cs="Arial"/>
          <w:i/>
          <w:lang w:val="en-GB" w:eastAsia="zh-CN"/>
        </w:rPr>
        <w:t xml:space="preserve">examine the wider problem of rotation for all sensitive posts. This working group will examine in particular the second option (‘new occupational category for Accounting Officers’) as illustrated in document 2015-07-D-16-en-4, as well as possible mobility packages. The working group will also deal with the rotation of seconded and locally recruited bursars. The first draft conclusions of the working group will be submitted to the Board of Governors for discussion in April 2017. A final proposal will be submitted to the Board in December 2017 at the latest, which will be aligned with the results of the ‘Working Group on the Review of the Financial Regulation’. </w:t>
      </w:r>
    </w:p>
    <w:p w:rsidR="006C5C01" w:rsidRPr="00517884" w:rsidRDefault="006C5C01" w:rsidP="006C5C01">
      <w:pPr>
        <w:spacing w:before="120" w:after="120"/>
        <w:contextualSpacing/>
        <w:jc w:val="both"/>
        <w:rPr>
          <w:rFonts w:ascii="Arial" w:hAnsi="Arial"/>
          <w:i/>
          <w:lang w:val="en-GB"/>
        </w:rPr>
      </w:pPr>
    </w:p>
    <w:p w:rsidR="006C5C01" w:rsidRPr="00517884" w:rsidRDefault="006C5C01" w:rsidP="006C5C01">
      <w:pPr>
        <w:numPr>
          <w:ilvl w:val="0"/>
          <w:numId w:val="24"/>
        </w:numPr>
        <w:spacing w:before="240" w:after="120"/>
        <w:ind w:left="357" w:right="-23" w:hanging="357"/>
        <w:contextualSpacing/>
        <w:jc w:val="both"/>
        <w:rPr>
          <w:rFonts w:ascii="Arial" w:hAnsi="Arial" w:cs="Arial"/>
          <w:i/>
          <w:lang w:val="en-GB"/>
        </w:rPr>
      </w:pPr>
      <w:r w:rsidRPr="00517884">
        <w:rPr>
          <w:rFonts w:ascii="Arial" w:hAnsi="Arial" w:cs="Arial"/>
          <w:i/>
          <w:lang w:val="en-GB"/>
        </w:rPr>
        <w:t xml:space="preserve">The working group should be composed of two representatives of the European Commission, the Head of the HR Unit of the OSG, the Financial Controller, one representative of the AAS, one representative of the Staff Committee, one representative of the Directors and the Chair of the Budgetary Committee. </w:t>
      </w:r>
    </w:p>
    <w:p w:rsidR="006C5C01" w:rsidRPr="00517884" w:rsidRDefault="006C5C01" w:rsidP="006C5C01">
      <w:pPr>
        <w:jc w:val="both"/>
        <w:rPr>
          <w:rFonts w:ascii="Arial" w:hAnsi="Arial" w:cs="Arial"/>
          <w:i/>
          <w:lang w:val="en-US"/>
        </w:rPr>
      </w:pPr>
    </w:p>
    <w:p w:rsidR="006C5C01" w:rsidRDefault="006C5C01" w:rsidP="006C5C01">
      <w:pPr>
        <w:jc w:val="both"/>
        <w:rPr>
          <w:rFonts w:ascii="Arial" w:hAnsi="Arial" w:cs="Arial"/>
          <w:lang w:val="en-US"/>
        </w:rPr>
      </w:pPr>
      <w:r w:rsidRPr="006C5C01">
        <w:rPr>
          <w:rFonts w:ascii="Arial" w:hAnsi="Arial" w:cs="Arial"/>
          <w:lang w:val="en-US"/>
        </w:rPr>
        <w:t>This working group should also align its work with the working group established by the Board of Governors in April 2016 dealing with the situation of the Bursars in the European Schools which has to provide a mid-term report by April 2017 and a final proposal by the end of 2017 too.</w:t>
      </w:r>
    </w:p>
    <w:p w:rsidR="006C5C01" w:rsidRDefault="006C5C01" w:rsidP="006C5C01">
      <w:pPr>
        <w:jc w:val="both"/>
        <w:rPr>
          <w:rFonts w:ascii="Arial" w:hAnsi="Arial" w:cs="Arial"/>
          <w:lang w:val="en-US"/>
        </w:rPr>
      </w:pPr>
    </w:p>
    <w:p w:rsidR="00517884" w:rsidRDefault="00517884" w:rsidP="006C5C01">
      <w:pPr>
        <w:jc w:val="both"/>
        <w:rPr>
          <w:rFonts w:ascii="Arial" w:hAnsi="Arial" w:cs="Arial"/>
          <w:lang w:val="en-US"/>
        </w:rPr>
      </w:pPr>
    </w:p>
    <w:p w:rsidR="006C5C01" w:rsidRDefault="006C5C01" w:rsidP="006C5C01">
      <w:pPr>
        <w:jc w:val="both"/>
        <w:rPr>
          <w:rFonts w:ascii="Arial" w:hAnsi="Arial" w:cs="Arial"/>
          <w:lang w:val="en-US"/>
        </w:rPr>
      </w:pPr>
      <w:r>
        <w:rPr>
          <w:rFonts w:ascii="Arial" w:hAnsi="Arial" w:cs="Arial"/>
          <w:lang w:val="en-US"/>
        </w:rPr>
        <w:t xml:space="preserve">The </w:t>
      </w:r>
      <w:r w:rsidR="00517884">
        <w:rPr>
          <w:rFonts w:ascii="Arial" w:hAnsi="Arial" w:cs="Arial"/>
          <w:lang w:val="en-US"/>
        </w:rPr>
        <w:t>requirement of m</w:t>
      </w:r>
      <w:r>
        <w:rPr>
          <w:rFonts w:ascii="Arial" w:hAnsi="Arial" w:cs="Arial"/>
          <w:lang w:val="en-US"/>
        </w:rPr>
        <w:t>obility of staff working in sensitive area</w:t>
      </w:r>
      <w:r w:rsidR="00517884">
        <w:rPr>
          <w:rFonts w:ascii="Arial" w:hAnsi="Arial" w:cs="Arial"/>
          <w:lang w:val="en-US"/>
        </w:rPr>
        <w:t>s</w:t>
      </w:r>
      <w:r>
        <w:rPr>
          <w:rFonts w:ascii="Arial" w:hAnsi="Arial" w:cs="Arial"/>
          <w:lang w:val="en-US"/>
        </w:rPr>
        <w:t xml:space="preserve"> was already </w:t>
      </w:r>
      <w:r w:rsidR="00517884">
        <w:rPr>
          <w:rFonts w:ascii="Arial" w:hAnsi="Arial" w:cs="Arial"/>
          <w:lang w:val="en-US"/>
        </w:rPr>
        <w:t xml:space="preserve">highlighted </w:t>
      </w:r>
      <w:r w:rsidR="00C11AC3">
        <w:rPr>
          <w:rFonts w:ascii="Arial" w:hAnsi="Arial" w:cs="Arial"/>
          <w:lang w:val="en-US"/>
        </w:rPr>
        <w:t>by the Court of A</w:t>
      </w:r>
      <w:r>
        <w:rPr>
          <w:rFonts w:ascii="Arial" w:hAnsi="Arial" w:cs="Arial"/>
          <w:lang w:val="en-US"/>
        </w:rPr>
        <w:t xml:space="preserve">uditors </w:t>
      </w:r>
      <w:r w:rsidRPr="00C11AC3">
        <w:rPr>
          <w:rFonts w:ascii="Arial" w:hAnsi="Arial" w:cs="Arial"/>
          <w:lang w:val="en-US"/>
        </w:rPr>
        <w:t xml:space="preserve">in </w:t>
      </w:r>
      <w:r w:rsidR="00C11AC3" w:rsidRPr="00C11AC3">
        <w:rPr>
          <w:rFonts w:ascii="Arial" w:hAnsi="Arial" w:cs="Arial"/>
          <w:lang w:val="en-US"/>
        </w:rPr>
        <w:t>its report concerning the financial year 2012.</w:t>
      </w:r>
    </w:p>
    <w:p w:rsidR="006C5C01" w:rsidRDefault="006C5C01" w:rsidP="006C5C01">
      <w:pPr>
        <w:jc w:val="both"/>
        <w:rPr>
          <w:rFonts w:ascii="Arial" w:hAnsi="Arial" w:cs="Arial"/>
          <w:lang w:val="en-US"/>
        </w:rPr>
      </w:pPr>
    </w:p>
    <w:p w:rsidR="006C5C01" w:rsidRDefault="006C5C01" w:rsidP="006C5C01">
      <w:pPr>
        <w:jc w:val="both"/>
        <w:rPr>
          <w:rFonts w:ascii="Arial" w:hAnsi="Arial" w:cs="Arial"/>
          <w:lang w:val="en-US"/>
        </w:rPr>
      </w:pPr>
      <w:r>
        <w:rPr>
          <w:rFonts w:ascii="Arial" w:hAnsi="Arial" w:cs="Arial"/>
          <w:lang w:val="en-US"/>
        </w:rPr>
        <w:t>In its report the Court of Auditors stated</w:t>
      </w:r>
      <w:r w:rsidR="00C11AC3">
        <w:rPr>
          <w:rFonts w:ascii="Arial" w:hAnsi="Arial" w:cs="Arial"/>
          <w:lang w:val="en-US"/>
        </w:rPr>
        <w:t xml:space="preserve"> with respect to ‘sensitive posts’ that ‘</w:t>
      </w:r>
      <w:r w:rsidR="00C11AC3" w:rsidRPr="00C11AC3">
        <w:rPr>
          <w:rFonts w:ascii="Arial" w:hAnsi="Arial" w:cs="Arial"/>
          <w:i/>
          <w:lang w:val="en-US"/>
        </w:rPr>
        <w:t>the internal control weakness regarding the management of sensitive functions (Accounting Officers and Bursars) should be corrected through the implementation of a rotation system of these staff members among the schools’</w:t>
      </w:r>
      <w:r w:rsidR="00C11AC3">
        <w:rPr>
          <w:rStyle w:val="FootnoteReference"/>
          <w:rFonts w:ascii="Arial" w:hAnsi="Arial" w:cs="Arial"/>
          <w:i/>
          <w:lang w:val="en-US"/>
        </w:rPr>
        <w:footnoteReference w:id="1"/>
      </w:r>
      <w:r w:rsidR="00C11AC3">
        <w:rPr>
          <w:rFonts w:ascii="Arial" w:hAnsi="Arial" w:cs="Arial"/>
          <w:lang w:val="en-US"/>
        </w:rPr>
        <w:t>.</w:t>
      </w:r>
    </w:p>
    <w:p w:rsidR="00737BFE" w:rsidRDefault="00737BFE" w:rsidP="006C5C01">
      <w:pPr>
        <w:jc w:val="both"/>
        <w:rPr>
          <w:rFonts w:ascii="Arial" w:hAnsi="Arial" w:cs="Arial"/>
          <w:lang w:val="en-US"/>
        </w:rPr>
      </w:pPr>
    </w:p>
    <w:p w:rsidR="00737BFE" w:rsidRDefault="00737BFE" w:rsidP="006C5C01">
      <w:pPr>
        <w:jc w:val="both"/>
        <w:rPr>
          <w:rFonts w:ascii="Arial" w:hAnsi="Arial" w:cs="Arial"/>
          <w:lang w:val="en-US"/>
        </w:rPr>
      </w:pPr>
      <w:r>
        <w:rPr>
          <w:rFonts w:ascii="Arial" w:hAnsi="Arial" w:cs="Arial"/>
          <w:lang w:val="en-US"/>
        </w:rPr>
        <w:t xml:space="preserve">During the final negotiations of the Service Regulations for Locally Recruited Teachers in the European Schools also the issue of Mobility was addressed. In this context the representative of the EU Commission stressed that the ‘Mobility Working Group’ should not focus only on sensitive areas, but also address the mobility of other staff categories and in particular the mobility of locally recruited teachers. </w:t>
      </w:r>
    </w:p>
    <w:p w:rsidR="006C5C01" w:rsidRDefault="006C5C01" w:rsidP="006C5C01">
      <w:pPr>
        <w:jc w:val="both"/>
        <w:rPr>
          <w:rFonts w:ascii="Arial" w:hAnsi="Arial" w:cs="Arial"/>
          <w:lang w:val="en-US"/>
        </w:rPr>
      </w:pPr>
    </w:p>
    <w:p w:rsidR="0096309B" w:rsidRDefault="0096309B" w:rsidP="006C5C01">
      <w:pPr>
        <w:jc w:val="both"/>
        <w:rPr>
          <w:rFonts w:ascii="Arial" w:hAnsi="Arial" w:cs="Arial"/>
          <w:lang w:val="en-US"/>
        </w:rPr>
      </w:pPr>
      <w:r>
        <w:rPr>
          <w:rFonts w:ascii="Arial" w:hAnsi="Arial" w:cs="Arial"/>
          <w:lang w:val="en-US"/>
        </w:rPr>
        <w:t>In order to prepare this Mid-Term Report the Working Group met twice. The first meeting took place on 29 September and the second meeting on 21 October 2016.</w:t>
      </w:r>
    </w:p>
    <w:p w:rsidR="00584600" w:rsidRDefault="0096309B" w:rsidP="006C5C01">
      <w:pPr>
        <w:jc w:val="both"/>
        <w:rPr>
          <w:rFonts w:ascii="Arial" w:hAnsi="Arial" w:cs="Arial"/>
          <w:lang w:val="en-US"/>
        </w:rPr>
      </w:pPr>
      <w:r>
        <w:rPr>
          <w:rFonts w:ascii="Arial" w:hAnsi="Arial" w:cs="Arial"/>
          <w:lang w:val="en-US"/>
        </w:rPr>
        <w:br w:type="page"/>
      </w:r>
    </w:p>
    <w:p w:rsidR="006C5C01" w:rsidRPr="00584600" w:rsidRDefault="00517884" w:rsidP="00584600">
      <w:pPr>
        <w:numPr>
          <w:ilvl w:val="0"/>
          <w:numId w:val="25"/>
        </w:numPr>
        <w:jc w:val="both"/>
        <w:rPr>
          <w:rFonts w:ascii="Arial" w:hAnsi="Arial" w:cs="Arial"/>
          <w:b/>
          <w:lang w:val="en-US"/>
        </w:rPr>
      </w:pPr>
      <w:r>
        <w:rPr>
          <w:rFonts w:ascii="Arial" w:hAnsi="Arial" w:cs="Arial"/>
          <w:b/>
          <w:lang w:val="en-US"/>
        </w:rPr>
        <w:t>Purpose of m</w:t>
      </w:r>
      <w:r w:rsidR="00584600">
        <w:rPr>
          <w:rFonts w:ascii="Arial" w:hAnsi="Arial" w:cs="Arial"/>
          <w:b/>
          <w:lang w:val="en-US"/>
        </w:rPr>
        <w:t>obility</w:t>
      </w:r>
    </w:p>
    <w:p w:rsidR="00584600" w:rsidRDefault="00584600" w:rsidP="006C5C01">
      <w:pPr>
        <w:jc w:val="both"/>
        <w:rPr>
          <w:rFonts w:ascii="Arial" w:hAnsi="Arial" w:cs="Arial"/>
          <w:lang w:val="en-US"/>
        </w:rPr>
      </w:pPr>
    </w:p>
    <w:p w:rsidR="00B21D9D" w:rsidRDefault="00B21D9D" w:rsidP="006C5C01">
      <w:pPr>
        <w:jc w:val="both"/>
        <w:rPr>
          <w:rFonts w:ascii="Arial" w:hAnsi="Arial" w:cs="Arial"/>
          <w:lang w:val="en-US"/>
        </w:rPr>
      </w:pPr>
      <w:r>
        <w:rPr>
          <w:rFonts w:ascii="Arial" w:hAnsi="Arial" w:cs="Arial"/>
          <w:lang w:val="en-US"/>
        </w:rPr>
        <w:t>In a first discussion all members of the Working Group agreed that mobility and job rotation should be discussed in all their dimensions. Although the mandate of the Working Group goes back to the recommendations of the Court of Auditors and the concept of ‘fraud prevention’, all members of the Working Group agreed that mobility and job rotation may have positive affects besides avoiding fraudulent practices. On the other hand also negative side-affects should not be neglected.</w:t>
      </w:r>
    </w:p>
    <w:p w:rsidR="00B21D9D" w:rsidRDefault="00B21D9D" w:rsidP="006C5C01">
      <w:pPr>
        <w:jc w:val="both"/>
        <w:rPr>
          <w:rFonts w:ascii="Arial" w:hAnsi="Arial" w:cs="Arial"/>
          <w:lang w:val="en-US"/>
        </w:rPr>
      </w:pPr>
    </w:p>
    <w:p w:rsidR="004310F6" w:rsidRDefault="00B21D9D" w:rsidP="006C5C01">
      <w:pPr>
        <w:jc w:val="both"/>
        <w:rPr>
          <w:rFonts w:ascii="Arial" w:hAnsi="Arial" w:cs="Arial"/>
          <w:lang w:val="en-US"/>
        </w:rPr>
      </w:pPr>
      <w:r>
        <w:rPr>
          <w:rFonts w:ascii="Arial" w:hAnsi="Arial" w:cs="Arial"/>
          <w:lang w:val="en-US"/>
        </w:rPr>
        <w:t xml:space="preserve">In fact </w:t>
      </w:r>
      <w:r w:rsidR="00737BFE">
        <w:rPr>
          <w:rFonts w:ascii="Arial" w:hAnsi="Arial" w:cs="Arial"/>
          <w:lang w:val="en-US"/>
        </w:rPr>
        <w:t xml:space="preserve">– besides fraud prevention - </w:t>
      </w:r>
      <w:r>
        <w:rPr>
          <w:rFonts w:ascii="Arial" w:hAnsi="Arial" w:cs="Arial"/>
          <w:lang w:val="en-US"/>
        </w:rPr>
        <w:t xml:space="preserve">mobility and job rotation </w:t>
      </w:r>
      <w:r w:rsidR="004310F6">
        <w:rPr>
          <w:rFonts w:ascii="Arial" w:hAnsi="Arial" w:cs="Arial"/>
          <w:lang w:val="en-US"/>
        </w:rPr>
        <w:t>might help to identify skills and attitudes, can motivate staff members and help them to deal with new challenges. They may boost satisfaction in the job and lower the rate of attrition. Finally, job rotation and mobility will help to review and improve processes.</w:t>
      </w:r>
    </w:p>
    <w:p w:rsidR="004310F6" w:rsidRDefault="004310F6" w:rsidP="006C5C01">
      <w:pPr>
        <w:jc w:val="both"/>
        <w:rPr>
          <w:rFonts w:ascii="Arial" w:hAnsi="Arial" w:cs="Arial"/>
          <w:lang w:val="en-US"/>
        </w:rPr>
      </w:pPr>
    </w:p>
    <w:p w:rsidR="004310F6" w:rsidRDefault="004310F6" w:rsidP="006C5C01">
      <w:pPr>
        <w:jc w:val="both"/>
        <w:rPr>
          <w:rFonts w:ascii="Arial" w:hAnsi="Arial" w:cs="Arial"/>
          <w:lang w:val="en-US"/>
        </w:rPr>
      </w:pPr>
      <w:r>
        <w:rPr>
          <w:rFonts w:ascii="Arial" w:hAnsi="Arial" w:cs="Arial"/>
          <w:lang w:val="en-US"/>
        </w:rPr>
        <w:t xml:space="preserve">On the other hand rotation and mobility will require time to get staff members acquainted to the new environment </w:t>
      </w:r>
      <w:r w:rsidR="00737BFE">
        <w:rPr>
          <w:rFonts w:ascii="Arial" w:hAnsi="Arial" w:cs="Arial"/>
          <w:lang w:val="en-US"/>
        </w:rPr>
        <w:t xml:space="preserve">and tasks </w:t>
      </w:r>
      <w:r>
        <w:rPr>
          <w:rFonts w:ascii="Arial" w:hAnsi="Arial" w:cs="Arial"/>
          <w:lang w:val="en-US"/>
        </w:rPr>
        <w:t>and might create stress and anxiety.</w:t>
      </w:r>
    </w:p>
    <w:p w:rsidR="00B21D9D" w:rsidRDefault="004310F6" w:rsidP="006C5C01">
      <w:pPr>
        <w:jc w:val="both"/>
        <w:rPr>
          <w:rFonts w:ascii="Arial" w:hAnsi="Arial" w:cs="Arial"/>
          <w:lang w:val="en-US"/>
        </w:rPr>
      </w:pPr>
      <w:r>
        <w:rPr>
          <w:rFonts w:ascii="Arial" w:hAnsi="Arial" w:cs="Arial"/>
          <w:lang w:val="en-US"/>
        </w:rPr>
        <w:t xml:space="preserve">  </w:t>
      </w:r>
    </w:p>
    <w:p w:rsidR="005E5FF5" w:rsidRDefault="00737BFE" w:rsidP="006C5C01">
      <w:pPr>
        <w:jc w:val="both"/>
        <w:rPr>
          <w:rFonts w:ascii="Arial" w:hAnsi="Arial" w:cs="Arial"/>
          <w:lang w:val="en-US"/>
        </w:rPr>
      </w:pPr>
      <w:r>
        <w:rPr>
          <w:rFonts w:ascii="Arial" w:hAnsi="Arial" w:cs="Arial"/>
          <w:lang w:val="en-US"/>
        </w:rPr>
        <w:t>In summary</w:t>
      </w:r>
      <w:r w:rsidR="004310F6">
        <w:rPr>
          <w:rFonts w:ascii="Arial" w:hAnsi="Arial" w:cs="Arial"/>
          <w:lang w:val="en-US"/>
        </w:rPr>
        <w:t xml:space="preserve">, the members of the Working Group agreed that well managed mobility and job rotation </w:t>
      </w:r>
      <w:r w:rsidR="005E5FF5">
        <w:rPr>
          <w:rFonts w:ascii="Arial" w:hAnsi="Arial" w:cs="Arial"/>
          <w:lang w:val="en-US"/>
        </w:rPr>
        <w:t xml:space="preserve">can be </w:t>
      </w:r>
      <w:r w:rsidR="004310F6">
        <w:rPr>
          <w:rFonts w:ascii="Arial" w:hAnsi="Arial" w:cs="Arial"/>
          <w:lang w:val="en-US"/>
        </w:rPr>
        <w:t>in the interest of the service and the staff members</w:t>
      </w:r>
      <w:r w:rsidR="005E5FF5">
        <w:rPr>
          <w:rFonts w:ascii="Arial" w:hAnsi="Arial" w:cs="Arial"/>
          <w:lang w:val="en-US"/>
        </w:rPr>
        <w:t>.</w:t>
      </w:r>
    </w:p>
    <w:p w:rsidR="005E5FF5" w:rsidRDefault="005E5FF5" w:rsidP="006C5C01">
      <w:pPr>
        <w:jc w:val="both"/>
        <w:rPr>
          <w:rFonts w:ascii="Arial" w:hAnsi="Arial" w:cs="Arial"/>
          <w:lang w:val="en-US"/>
        </w:rPr>
      </w:pPr>
    </w:p>
    <w:p w:rsidR="00584600" w:rsidRDefault="00584600" w:rsidP="006C5C01">
      <w:pPr>
        <w:jc w:val="both"/>
        <w:rPr>
          <w:rFonts w:ascii="Arial" w:hAnsi="Arial" w:cs="Arial"/>
          <w:lang w:val="en-US"/>
        </w:rPr>
      </w:pPr>
      <w:r>
        <w:rPr>
          <w:rFonts w:ascii="Arial" w:hAnsi="Arial" w:cs="Arial"/>
          <w:lang w:val="en-US"/>
        </w:rPr>
        <w:t xml:space="preserve">Therefore </w:t>
      </w:r>
      <w:r w:rsidR="00737BFE">
        <w:rPr>
          <w:rFonts w:ascii="Arial" w:hAnsi="Arial" w:cs="Arial"/>
          <w:lang w:val="en-US"/>
        </w:rPr>
        <w:t>it was agreed to assess the issue of mobility and job rotation for all categories of staff and to analyse in which areas mobility and job rotation could be not only in the interest of fraud</w:t>
      </w:r>
      <w:r>
        <w:rPr>
          <w:rFonts w:ascii="Arial" w:hAnsi="Arial" w:cs="Arial"/>
          <w:lang w:val="en-US"/>
        </w:rPr>
        <w:t xml:space="preserve"> prevention</w:t>
      </w:r>
      <w:r w:rsidR="00737BFE">
        <w:rPr>
          <w:rFonts w:ascii="Arial" w:hAnsi="Arial" w:cs="Arial"/>
          <w:lang w:val="en-US"/>
        </w:rPr>
        <w:t>, but also in the general interest of the service and the interest of</w:t>
      </w:r>
      <w:r>
        <w:rPr>
          <w:rFonts w:ascii="Arial" w:hAnsi="Arial" w:cs="Arial"/>
          <w:lang w:val="en-US"/>
        </w:rPr>
        <w:t xml:space="preserve"> the development of the personnel concerned.</w:t>
      </w:r>
    </w:p>
    <w:p w:rsidR="006C5C01" w:rsidRDefault="006C5C01" w:rsidP="006C5C01">
      <w:pPr>
        <w:jc w:val="both"/>
        <w:rPr>
          <w:rFonts w:ascii="Arial" w:hAnsi="Arial" w:cs="Arial"/>
          <w:lang w:val="en-US"/>
        </w:rPr>
      </w:pPr>
    </w:p>
    <w:p w:rsidR="00166ACD" w:rsidRDefault="00166ACD" w:rsidP="006C5C01">
      <w:pPr>
        <w:jc w:val="both"/>
        <w:rPr>
          <w:rFonts w:ascii="Arial" w:hAnsi="Arial" w:cs="Arial"/>
          <w:lang w:val="en-US"/>
        </w:rPr>
      </w:pPr>
    </w:p>
    <w:p w:rsidR="00737BFE" w:rsidRDefault="00737BFE" w:rsidP="006C5C01">
      <w:pPr>
        <w:jc w:val="both"/>
        <w:rPr>
          <w:rFonts w:ascii="Arial" w:hAnsi="Arial" w:cs="Arial"/>
          <w:lang w:val="en-US"/>
        </w:rPr>
      </w:pPr>
    </w:p>
    <w:p w:rsidR="00166ACD" w:rsidRPr="00166ACD" w:rsidRDefault="00166ACD" w:rsidP="00166ACD">
      <w:pPr>
        <w:numPr>
          <w:ilvl w:val="0"/>
          <w:numId w:val="1"/>
        </w:numPr>
        <w:jc w:val="both"/>
        <w:rPr>
          <w:rFonts w:ascii="Arial" w:hAnsi="Arial" w:cs="Arial"/>
          <w:b/>
          <w:lang w:val="en-US"/>
        </w:rPr>
      </w:pPr>
      <w:r>
        <w:rPr>
          <w:rFonts w:ascii="Arial" w:hAnsi="Arial" w:cs="Arial"/>
          <w:b/>
          <w:lang w:val="en-US"/>
        </w:rPr>
        <w:t>Current situation</w:t>
      </w:r>
    </w:p>
    <w:p w:rsidR="006C5C01" w:rsidRDefault="006C5C01" w:rsidP="006C5C01">
      <w:pPr>
        <w:jc w:val="both"/>
        <w:rPr>
          <w:rFonts w:ascii="Arial" w:hAnsi="Arial" w:cs="Arial"/>
          <w:lang w:val="en-GB"/>
        </w:rPr>
      </w:pPr>
    </w:p>
    <w:p w:rsidR="00584600" w:rsidRDefault="00166ACD" w:rsidP="00584600">
      <w:pPr>
        <w:jc w:val="both"/>
        <w:rPr>
          <w:rFonts w:ascii="Arial" w:hAnsi="Arial" w:cs="Arial"/>
          <w:lang w:val="en-GB"/>
        </w:rPr>
      </w:pPr>
      <w:r>
        <w:rPr>
          <w:rFonts w:ascii="Arial" w:hAnsi="Arial" w:cs="Arial"/>
          <w:lang w:val="en-GB"/>
        </w:rPr>
        <w:t xml:space="preserve">When illustrating the current situation </w:t>
      </w:r>
      <w:r w:rsidR="00CE2308">
        <w:rPr>
          <w:rFonts w:ascii="Arial" w:hAnsi="Arial" w:cs="Arial"/>
          <w:lang w:val="en-GB"/>
        </w:rPr>
        <w:t xml:space="preserve">a </w:t>
      </w:r>
      <w:r w:rsidR="00584600">
        <w:rPr>
          <w:rFonts w:ascii="Arial" w:hAnsi="Arial" w:cs="Arial"/>
          <w:lang w:val="en-GB"/>
        </w:rPr>
        <w:t xml:space="preserve">distinction </w:t>
      </w:r>
      <w:r w:rsidR="00CE2308">
        <w:rPr>
          <w:rFonts w:ascii="Arial" w:hAnsi="Arial" w:cs="Arial"/>
          <w:lang w:val="en-GB"/>
        </w:rPr>
        <w:t>should be made between (</w:t>
      </w:r>
      <w:r w:rsidR="00737BFE">
        <w:rPr>
          <w:rFonts w:ascii="Arial" w:hAnsi="Arial" w:cs="Arial"/>
          <w:lang w:val="en-GB"/>
        </w:rPr>
        <w:t>1.</w:t>
      </w:r>
      <w:r w:rsidR="00584600">
        <w:rPr>
          <w:rFonts w:ascii="Arial" w:hAnsi="Arial" w:cs="Arial"/>
          <w:lang w:val="en-GB"/>
        </w:rPr>
        <w:t xml:space="preserve">) </w:t>
      </w:r>
      <w:r w:rsidR="00CE2308">
        <w:rPr>
          <w:rFonts w:ascii="Arial" w:hAnsi="Arial" w:cs="Arial"/>
          <w:lang w:val="en-GB"/>
        </w:rPr>
        <w:t xml:space="preserve">the </w:t>
      </w:r>
      <w:r w:rsidR="00584600">
        <w:rPr>
          <w:rFonts w:ascii="Arial" w:hAnsi="Arial" w:cs="Arial"/>
          <w:lang w:val="en-GB"/>
        </w:rPr>
        <w:t xml:space="preserve">managerial and </w:t>
      </w:r>
      <w:r w:rsidR="00737BFE">
        <w:rPr>
          <w:rFonts w:ascii="Arial" w:hAnsi="Arial" w:cs="Arial"/>
          <w:lang w:val="en-GB"/>
        </w:rPr>
        <w:t>(2.</w:t>
      </w:r>
      <w:r w:rsidR="00A23872">
        <w:rPr>
          <w:rFonts w:ascii="Arial" w:hAnsi="Arial" w:cs="Arial"/>
          <w:lang w:val="en-GB"/>
        </w:rPr>
        <w:t xml:space="preserve">) </w:t>
      </w:r>
      <w:r w:rsidR="00CE2308">
        <w:rPr>
          <w:rFonts w:ascii="Arial" w:hAnsi="Arial" w:cs="Arial"/>
          <w:lang w:val="en-GB"/>
        </w:rPr>
        <w:t xml:space="preserve">the </w:t>
      </w:r>
      <w:r w:rsidR="00584600">
        <w:rPr>
          <w:rFonts w:ascii="Arial" w:hAnsi="Arial" w:cs="Arial"/>
          <w:lang w:val="en-GB"/>
        </w:rPr>
        <w:t>executive staff</w:t>
      </w:r>
      <w:r w:rsidR="00CE2308">
        <w:rPr>
          <w:rFonts w:ascii="Arial" w:hAnsi="Arial" w:cs="Arial"/>
          <w:lang w:val="en-GB"/>
        </w:rPr>
        <w:t xml:space="preserve">, </w:t>
      </w:r>
      <w:r w:rsidR="00584600">
        <w:rPr>
          <w:rFonts w:ascii="Arial" w:hAnsi="Arial" w:cs="Arial"/>
          <w:lang w:val="en-GB"/>
        </w:rPr>
        <w:t>(</w:t>
      </w:r>
      <w:r w:rsidR="00737BFE">
        <w:rPr>
          <w:rFonts w:ascii="Arial" w:hAnsi="Arial" w:cs="Arial"/>
          <w:lang w:val="en-GB"/>
        </w:rPr>
        <w:t>3.</w:t>
      </w:r>
      <w:r w:rsidR="00584600">
        <w:rPr>
          <w:rFonts w:ascii="Arial" w:hAnsi="Arial" w:cs="Arial"/>
          <w:lang w:val="en-GB"/>
        </w:rPr>
        <w:t xml:space="preserve">) </w:t>
      </w:r>
      <w:r w:rsidR="00CE2308">
        <w:rPr>
          <w:rFonts w:ascii="Arial" w:hAnsi="Arial" w:cs="Arial"/>
          <w:lang w:val="en-GB"/>
        </w:rPr>
        <w:t xml:space="preserve">the </w:t>
      </w:r>
      <w:r w:rsidR="00584600">
        <w:rPr>
          <w:rFonts w:ascii="Arial" w:hAnsi="Arial" w:cs="Arial"/>
          <w:lang w:val="en-GB"/>
        </w:rPr>
        <w:t>teaching staff and (</w:t>
      </w:r>
      <w:r w:rsidR="00737BFE">
        <w:rPr>
          <w:rFonts w:ascii="Arial" w:hAnsi="Arial" w:cs="Arial"/>
          <w:lang w:val="en-GB"/>
        </w:rPr>
        <w:t>4.</w:t>
      </w:r>
      <w:r w:rsidR="00584600">
        <w:rPr>
          <w:rFonts w:ascii="Arial" w:hAnsi="Arial" w:cs="Arial"/>
          <w:lang w:val="en-GB"/>
        </w:rPr>
        <w:t xml:space="preserve">) </w:t>
      </w:r>
      <w:r w:rsidR="00CE2308">
        <w:rPr>
          <w:rFonts w:ascii="Arial" w:hAnsi="Arial" w:cs="Arial"/>
          <w:lang w:val="en-GB"/>
        </w:rPr>
        <w:t xml:space="preserve">the </w:t>
      </w:r>
      <w:r w:rsidR="00584600">
        <w:rPr>
          <w:rFonts w:ascii="Arial" w:hAnsi="Arial" w:cs="Arial"/>
          <w:lang w:val="en-GB"/>
        </w:rPr>
        <w:t xml:space="preserve">administrative </w:t>
      </w:r>
      <w:r w:rsidR="00CE2308">
        <w:rPr>
          <w:rFonts w:ascii="Arial" w:hAnsi="Arial" w:cs="Arial"/>
          <w:lang w:val="en-GB"/>
        </w:rPr>
        <w:t xml:space="preserve">and ancillary </w:t>
      </w:r>
      <w:r w:rsidR="00584600">
        <w:rPr>
          <w:rFonts w:ascii="Arial" w:hAnsi="Arial" w:cs="Arial"/>
          <w:lang w:val="en-GB"/>
        </w:rPr>
        <w:t>staff</w:t>
      </w:r>
      <w:r w:rsidR="00AA5160">
        <w:rPr>
          <w:rFonts w:ascii="Arial" w:hAnsi="Arial" w:cs="Arial"/>
          <w:lang w:val="en-GB"/>
        </w:rPr>
        <w:t xml:space="preserve"> of the European Schools</w:t>
      </w:r>
      <w:r w:rsidR="00174A1F">
        <w:rPr>
          <w:rFonts w:ascii="Arial" w:hAnsi="Arial" w:cs="Arial"/>
          <w:lang w:val="en-GB"/>
        </w:rPr>
        <w:t>.</w:t>
      </w:r>
    </w:p>
    <w:p w:rsidR="002C54A7" w:rsidRDefault="002C54A7" w:rsidP="00584600">
      <w:pPr>
        <w:jc w:val="both"/>
        <w:rPr>
          <w:rFonts w:ascii="Arial" w:hAnsi="Arial" w:cs="Arial"/>
          <w:lang w:val="en-GB"/>
        </w:rPr>
      </w:pPr>
      <w:r>
        <w:rPr>
          <w:rFonts w:ascii="Arial" w:hAnsi="Arial" w:cs="Arial"/>
          <w:lang w:val="en-GB"/>
        </w:rPr>
        <w:t>An overview concerning all staff categories can be found in the annex of this document.</w:t>
      </w:r>
    </w:p>
    <w:p w:rsidR="00584600" w:rsidRDefault="00584600" w:rsidP="00584600">
      <w:pPr>
        <w:jc w:val="both"/>
        <w:rPr>
          <w:rFonts w:ascii="Arial" w:hAnsi="Arial" w:cs="Arial"/>
          <w:lang w:val="en-GB"/>
        </w:rPr>
      </w:pPr>
    </w:p>
    <w:p w:rsidR="00584600" w:rsidRDefault="00584600" w:rsidP="00584600">
      <w:pPr>
        <w:jc w:val="both"/>
        <w:rPr>
          <w:rFonts w:ascii="Arial" w:hAnsi="Arial" w:cs="Arial"/>
          <w:lang w:val="en-GB"/>
        </w:rPr>
      </w:pPr>
    </w:p>
    <w:p w:rsidR="00584600" w:rsidRDefault="00F32BD5" w:rsidP="00584600">
      <w:pPr>
        <w:numPr>
          <w:ilvl w:val="0"/>
          <w:numId w:val="27"/>
        </w:numPr>
        <w:jc w:val="both"/>
        <w:rPr>
          <w:rFonts w:ascii="Arial" w:hAnsi="Arial" w:cs="Arial"/>
          <w:b/>
          <w:lang w:val="en-GB"/>
        </w:rPr>
      </w:pPr>
      <w:r>
        <w:rPr>
          <w:rFonts w:ascii="Arial" w:hAnsi="Arial" w:cs="Arial"/>
          <w:b/>
          <w:lang w:val="en-GB"/>
        </w:rPr>
        <w:t xml:space="preserve">Managerial </w:t>
      </w:r>
      <w:r w:rsidR="00A23872">
        <w:rPr>
          <w:rFonts w:ascii="Arial" w:hAnsi="Arial" w:cs="Arial"/>
          <w:b/>
          <w:lang w:val="en-GB"/>
        </w:rPr>
        <w:t>s</w:t>
      </w:r>
      <w:r w:rsidR="00584600" w:rsidRPr="00584600">
        <w:rPr>
          <w:rFonts w:ascii="Arial" w:hAnsi="Arial" w:cs="Arial"/>
          <w:b/>
          <w:lang w:val="en-GB"/>
        </w:rPr>
        <w:t>taff of the European Schools</w:t>
      </w:r>
    </w:p>
    <w:p w:rsidR="00584600" w:rsidRDefault="00584600" w:rsidP="00584600">
      <w:pPr>
        <w:jc w:val="both"/>
        <w:rPr>
          <w:rFonts w:ascii="Arial" w:hAnsi="Arial" w:cs="Arial"/>
          <w:b/>
          <w:lang w:val="en-GB"/>
        </w:rPr>
      </w:pPr>
    </w:p>
    <w:p w:rsidR="005E5FF5" w:rsidRPr="005E5FF5" w:rsidRDefault="005E5FF5" w:rsidP="005E5FF5">
      <w:pPr>
        <w:numPr>
          <w:ilvl w:val="0"/>
          <w:numId w:val="29"/>
        </w:numPr>
        <w:jc w:val="both"/>
        <w:rPr>
          <w:rFonts w:ascii="Arial" w:hAnsi="Arial" w:cs="Arial"/>
          <w:b/>
          <w:lang w:val="en-GB"/>
        </w:rPr>
      </w:pPr>
      <w:r w:rsidRPr="005E5FF5">
        <w:rPr>
          <w:rFonts w:ascii="Arial" w:hAnsi="Arial" w:cs="Arial"/>
          <w:b/>
          <w:lang w:val="en-GB"/>
        </w:rPr>
        <w:t>Current situation</w:t>
      </w:r>
    </w:p>
    <w:p w:rsidR="005E5FF5" w:rsidRDefault="005E5FF5" w:rsidP="005E5FF5">
      <w:pPr>
        <w:jc w:val="both"/>
        <w:rPr>
          <w:rFonts w:ascii="Arial" w:hAnsi="Arial" w:cs="Arial"/>
          <w:lang w:val="en-GB"/>
        </w:rPr>
      </w:pPr>
    </w:p>
    <w:p w:rsidR="00584600" w:rsidRDefault="00F32BD5" w:rsidP="00584600">
      <w:pPr>
        <w:jc w:val="both"/>
        <w:rPr>
          <w:rFonts w:ascii="Arial" w:hAnsi="Arial" w:cs="Arial"/>
          <w:lang w:val="en-GB"/>
        </w:rPr>
      </w:pPr>
      <w:r w:rsidRPr="00F32BD5">
        <w:rPr>
          <w:rFonts w:ascii="Arial" w:hAnsi="Arial" w:cs="Arial"/>
          <w:lang w:val="en-GB"/>
        </w:rPr>
        <w:t xml:space="preserve">The </w:t>
      </w:r>
      <w:r w:rsidR="00A23872">
        <w:rPr>
          <w:rFonts w:ascii="Arial" w:hAnsi="Arial" w:cs="Arial"/>
          <w:lang w:val="en-GB"/>
        </w:rPr>
        <w:t>‘m</w:t>
      </w:r>
      <w:r>
        <w:rPr>
          <w:rFonts w:ascii="Arial" w:hAnsi="Arial" w:cs="Arial"/>
          <w:lang w:val="en-GB"/>
        </w:rPr>
        <w:t xml:space="preserve">anagerial </w:t>
      </w:r>
      <w:r w:rsidR="00A23872">
        <w:rPr>
          <w:rFonts w:ascii="Arial" w:hAnsi="Arial" w:cs="Arial"/>
          <w:lang w:val="en-GB"/>
        </w:rPr>
        <w:t>s</w:t>
      </w:r>
      <w:r>
        <w:rPr>
          <w:rFonts w:ascii="Arial" w:hAnsi="Arial" w:cs="Arial"/>
          <w:lang w:val="en-GB"/>
        </w:rPr>
        <w:t>taff</w:t>
      </w:r>
      <w:r w:rsidR="00A23872">
        <w:rPr>
          <w:rFonts w:ascii="Arial" w:hAnsi="Arial" w:cs="Arial"/>
          <w:lang w:val="en-GB"/>
        </w:rPr>
        <w:t>’</w:t>
      </w:r>
      <w:r>
        <w:rPr>
          <w:rFonts w:ascii="Arial" w:hAnsi="Arial" w:cs="Arial"/>
          <w:lang w:val="en-GB"/>
        </w:rPr>
        <w:t xml:space="preserve"> of the European Schools is defined in Article 6 c</w:t>
      </w:r>
      <w:r w:rsidR="00A23872">
        <w:rPr>
          <w:rFonts w:ascii="Arial" w:hAnsi="Arial" w:cs="Arial"/>
          <w:lang w:val="en-GB"/>
        </w:rPr>
        <w:t>)</w:t>
      </w:r>
      <w:r>
        <w:rPr>
          <w:rFonts w:ascii="Arial" w:hAnsi="Arial" w:cs="Arial"/>
          <w:lang w:val="en-GB"/>
        </w:rPr>
        <w:t xml:space="preserve"> of the </w:t>
      </w:r>
      <w:r w:rsidRPr="002E342E">
        <w:rPr>
          <w:rFonts w:ascii="Arial" w:hAnsi="Arial" w:cs="Arial"/>
          <w:i/>
          <w:lang w:val="en-GB"/>
        </w:rPr>
        <w:t>Regulations for Seconded Staff Members of the European Schools</w:t>
      </w:r>
      <w:r>
        <w:rPr>
          <w:rFonts w:ascii="Arial" w:hAnsi="Arial" w:cs="Arial"/>
          <w:lang w:val="en-GB"/>
        </w:rPr>
        <w:t>.</w:t>
      </w:r>
      <w:r w:rsidR="002E342E">
        <w:rPr>
          <w:rStyle w:val="FootnoteReference"/>
          <w:rFonts w:ascii="Arial" w:hAnsi="Arial" w:cs="Arial"/>
          <w:lang w:val="en-GB"/>
        </w:rPr>
        <w:footnoteReference w:id="2"/>
      </w:r>
      <w:r>
        <w:rPr>
          <w:rFonts w:ascii="Arial" w:hAnsi="Arial" w:cs="Arial"/>
          <w:lang w:val="en-GB"/>
        </w:rPr>
        <w:t xml:space="preserve">  The term ‘</w:t>
      </w:r>
      <w:r w:rsidR="00A23872">
        <w:rPr>
          <w:rFonts w:ascii="Arial" w:hAnsi="Arial" w:cs="Arial"/>
          <w:lang w:val="en-GB"/>
        </w:rPr>
        <w:t>m</w:t>
      </w:r>
      <w:r>
        <w:rPr>
          <w:rFonts w:ascii="Arial" w:hAnsi="Arial" w:cs="Arial"/>
          <w:lang w:val="en-GB"/>
        </w:rPr>
        <w:t xml:space="preserve">anagerial </w:t>
      </w:r>
      <w:r w:rsidR="00A23872">
        <w:rPr>
          <w:rFonts w:ascii="Arial" w:hAnsi="Arial" w:cs="Arial"/>
          <w:lang w:val="en-GB"/>
        </w:rPr>
        <w:t>s</w:t>
      </w:r>
      <w:r>
        <w:rPr>
          <w:rFonts w:ascii="Arial" w:hAnsi="Arial" w:cs="Arial"/>
          <w:lang w:val="en-GB"/>
        </w:rPr>
        <w:t xml:space="preserve">taff’ covers the Deputy Secretary-General, the Financial Controller, the Deputy Financial Controller, the heads of the administrative units in the Office of the Secretary-General and the Bursars. In </w:t>
      </w:r>
      <w:r w:rsidR="00AA5160">
        <w:rPr>
          <w:rFonts w:ascii="Arial" w:hAnsi="Arial" w:cs="Arial"/>
          <w:lang w:val="en-GB"/>
        </w:rPr>
        <w:t xml:space="preserve">this </w:t>
      </w:r>
      <w:r>
        <w:rPr>
          <w:rFonts w:ascii="Arial" w:hAnsi="Arial" w:cs="Arial"/>
          <w:lang w:val="en-GB"/>
        </w:rPr>
        <w:t xml:space="preserve">sense also the Secretary-General of the European Schools, not mentioned </w:t>
      </w:r>
      <w:r w:rsidR="00A23872">
        <w:rPr>
          <w:rFonts w:ascii="Arial" w:hAnsi="Arial" w:cs="Arial"/>
          <w:lang w:val="en-GB"/>
        </w:rPr>
        <w:t xml:space="preserve">in the Staff Regulations for Seconded Staff </w:t>
      </w:r>
      <w:r w:rsidR="00A23872">
        <w:rPr>
          <w:rFonts w:ascii="Arial" w:hAnsi="Arial" w:cs="Arial"/>
          <w:lang w:val="en-GB"/>
        </w:rPr>
        <w:lastRenderedPageBreak/>
        <w:t>M</w:t>
      </w:r>
      <w:r>
        <w:rPr>
          <w:rFonts w:ascii="Arial" w:hAnsi="Arial" w:cs="Arial"/>
          <w:lang w:val="en-GB"/>
        </w:rPr>
        <w:t>embers</w:t>
      </w:r>
      <w:r w:rsidR="00AA5160">
        <w:rPr>
          <w:rFonts w:ascii="Arial" w:hAnsi="Arial" w:cs="Arial"/>
          <w:lang w:val="en-GB"/>
        </w:rPr>
        <w:t>,</w:t>
      </w:r>
      <w:r>
        <w:rPr>
          <w:rFonts w:ascii="Arial" w:hAnsi="Arial" w:cs="Arial"/>
          <w:lang w:val="en-GB"/>
        </w:rPr>
        <w:t xml:space="preserve"> can be considered to belong to the ‘</w:t>
      </w:r>
      <w:r w:rsidR="00A23872">
        <w:rPr>
          <w:rFonts w:ascii="Arial" w:hAnsi="Arial" w:cs="Arial"/>
          <w:lang w:val="en-GB"/>
        </w:rPr>
        <w:t>managerial s</w:t>
      </w:r>
      <w:r>
        <w:rPr>
          <w:rFonts w:ascii="Arial" w:hAnsi="Arial" w:cs="Arial"/>
          <w:lang w:val="en-GB"/>
        </w:rPr>
        <w:t>taff’</w:t>
      </w:r>
      <w:r w:rsidR="00AA5160">
        <w:rPr>
          <w:rFonts w:ascii="Arial" w:hAnsi="Arial" w:cs="Arial"/>
          <w:lang w:val="en-GB"/>
        </w:rPr>
        <w:t xml:space="preserve"> of the European Schools</w:t>
      </w:r>
      <w:r>
        <w:rPr>
          <w:rFonts w:ascii="Arial" w:hAnsi="Arial" w:cs="Arial"/>
          <w:lang w:val="en-GB"/>
        </w:rPr>
        <w:t xml:space="preserve">.  </w:t>
      </w:r>
    </w:p>
    <w:p w:rsidR="00F32BD5" w:rsidRDefault="00F32BD5" w:rsidP="00584600">
      <w:pPr>
        <w:jc w:val="both"/>
        <w:rPr>
          <w:rFonts w:ascii="Arial" w:hAnsi="Arial" w:cs="Arial"/>
          <w:lang w:val="en-GB"/>
        </w:rPr>
      </w:pPr>
    </w:p>
    <w:p w:rsidR="00A23872" w:rsidRDefault="00F32BD5" w:rsidP="00584600">
      <w:pPr>
        <w:jc w:val="both"/>
        <w:rPr>
          <w:rFonts w:ascii="Arial" w:hAnsi="Arial" w:cs="Arial"/>
          <w:lang w:val="en-GB"/>
        </w:rPr>
      </w:pPr>
      <w:r>
        <w:rPr>
          <w:rFonts w:ascii="Arial" w:hAnsi="Arial" w:cs="Arial"/>
          <w:lang w:val="en-GB"/>
        </w:rPr>
        <w:t>For the ‘</w:t>
      </w:r>
      <w:r w:rsidR="00A23872">
        <w:rPr>
          <w:rFonts w:ascii="Arial" w:hAnsi="Arial" w:cs="Arial"/>
          <w:lang w:val="en-GB"/>
        </w:rPr>
        <w:t>managerial s</w:t>
      </w:r>
      <w:r>
        <w:rPr>
          <w:rFonts w:ascii="Arial" w:hAnsi="Arial" w:cs="Arial"/>
          <w:lang w:val="en-GB"/>
        </w:rPr>
        <w:t>taff’ so far no mobility policy has been established. Nevertheless, the ‘Mobility of Bursars’ is a particular issue, which is tackled by a separate working grou</w:t>
      </w:r>
      <w:r w:rsidR="00A23872">
        <w:rPr>
          <w:rFonts w:ascii="Arial" w:hAnsi="Arial" w:cs="Arial"/>
          <w:lang w:val="en-GB"/>
        </w:rPr>
        <w:t>p dealing with the ‘S</w:t>
      </w:r>
      <w:r>
        <w:rPr>
          <w:rFonts w:ascii="Arial" w:hAnsi="Arial" w:cs="Arial"/>
          <w:lang w:val="en-GB"/>
        </w:rPr>
        <w:t>ituation of the Bursars in the European Schools</w:t>
      </w:r>
      <w:r w:rsidR="00A23872">
        <w:rPr>
          <w:rFonts w:ascii="Arial" w:hAnsi="Arial" w:cs="Arial"/>
          <w:lang w:val="en-GB"/>
        </w:rPr>
        <w:t>’</w:t>
      </w:r>
      <w:r w:rsidR="00DC1B48">
        <w:rPr>
          <w:rFonts w:ascii="Arial" w:hAnsi="Arial" w:cs="Arial"/>
          <w:lang w:val="en-GB"/>
        </w:rPr>
        <w:t>. In the ‘</w:t>
      </w:r>
      <w:r w:rsidR="002E342E">
        <w:rPr>
          <w:rFonts w:ascii="Arial" w:hAnsi="Arial" w:cs="Arial"/>
          <w:lang w:val="en-GB"/>
        </w:rPr>
        <w:t>Mid-Term Report’</w:t>
      </w:r>
      <w:r w:rsidR="002E342E">
        <w:rPr>
          <w:rStyle w:val="FootnoteReference"/>
          <w:rFonts w:ascii="Arial" w:hAnsi="Arial" w:cs="Arial"/>
          <w:lang w:val="en-GB"/>
        </w:rPr>
        <w:footnoteReference w:id="3"/>
      </w:r>
      <w:r w:rsidR="002E342E">
        <w:rPr>
          <w:rFonts w:ascii="Arial" w:hAnsi="Arial" w:cs="Arial"/>
          <w:lang w:val="en-GB"/>
        </w:rPr>
        <w:t xml:space="preserve"> of this Working Group the issue of mobility of Bursars is addressed. </w:t>
      </w:r>
      <w:r>
        <w:rPr>
          <w:rFonts w:ascii="Arial" w:hAnsi="Arial" w:cs="Arial"/>
          <w:lang w:val="en-GB"/>
        </w:rPr>
        <w:t xml:space="preserve"> </w:t>
      </w:r>
    </w:p>
    <w:p w:rsidR="002E342E" w:rsidRDefault="002E342E" w:rsidP="00584600">
      <w:pPr>
        <w:jc w:val="both"/>
        <w:rPr>
          <w:rFonts w:ascii="Arial" w:hAnsi="Arial" w:cs="Arial"/>
          <w:lang w:val="en-GB"/>
        </w:rPr>
      </w:pPr>
    </w:p>
    <w:p w:rsidR="00A23872" w:rsidRDefault="00A23872" w:rsidP="00584600">
      <w:pPr>
        <w:jc w:val="both"/>
        <w:rPr>
          <w:rFonts w:ascii="Arial" w:hAnsi="Arial" w:cs="Arial"/>
          <w:lang w:val="en-GB"/>
        </w:rPr>
      </w:pPr>
      <w:r>
        <w:rPr>
          <w:rFonts w:ascii="Arial" w:hAnsi="Arial" w:cs="Arial"/>
          <w:lang w:val="en-GB"/>
        </w:rPr>
        <w:t xml:space="preserve">The length of secondment for these managerial functions varies. </w:t>
      </w:r>
      <w:r w:rsidR="002E342E">
        <w:rPr>
          <w:rFonts w:ascii="Arial" w:hAnsi="Arial" w:cs="Arial"/>
          <w:lang w:val="en-GB"/>
        </w:rPr>
        <w:t>According to the ‘</w:t>
      </w:r>
      <w:r w:rsidR="002E342E" w:rsidRPr="002E342E">
        <w:rPr>
          <w:rFonts w:ascii="Arial" w:hAnsi="Arial" w:cs="Arial"/>
          <w:i/>
          <w:lang w:val="en-GB"/>
        </w:rPr>
        <w:t>Profile, duties, rules for appointment and service regulations of the Secretary-General and</w:t>
      </w:r>
      <w:r w:rsidR="00AA5160">
        <w:rPr>
          <w:rFonts w:ascii="Arial" w:hAnsi="Arial" w:cs="Arial"/>
          <w:i/>
          <w:lang w:val="en-GB"/>
        </w:rPr>
        <w:t xml:space="preserve"> the Deputy Secretary-General’</w:t>
      </w:r>
      <w:r w:rsidR="002E342E" w:rsidRPr="002E342E">
        <w:rPr>
          <w:rFonts w:ascii="Arial" w:hAnsi="Arial" w:cs="Arial"/>
          <w:i/>
          <w:lang w:val="en-GB"/>
        </w:rPr>
        <w:t>’</w:t>
      </w:r>
      <w:r w:rsidR="002E342E">
        <w:rPr>
          <w:rStyle w:val="FootnoteReference"/>
          <w:rFonts w:ascii="Arial" w:hAnsi="Arial" w:cs="Arial"/>
          <w:lang w:val="en-GB"/>
        </w:rPr>
        <w:footnoteReference w:id="4"/>
      </w:r>
      <w:r w:rsidR="00AA5160">
        <w:rPr>
          <w:rFonts w:ascii="Arial" w:hAnsi="Arial" w:cs="Arial"/>
          <w:i/>
          <w:lang w:val="en-GB"/>
        </w:rPr>
        <w:t xml:space="preserve"> </w:t>
      </w:r>
      <w:r w:rsidR="002E342E">
        <w:rPr>
          <w:rFonts w:ascii="Arial" w:hAnsi="Arial" w:cs="Arial"/>
          <w:lang w:val="en-GB"/>
        </w:rPr>
        <w:t>t</w:t>
      </w:r>
      <w:r>
        <w:rPr>
          <w:rFonts w:ascii="Arial" w:hAnsi="Arial" w:cs="Arial"/>
          <w:lang w:val="en-GB"/>
        </w:rPr>
        <w:t>he mandate of the Secretary-General and the Deputy Secretary-General is limited to three years and can be prolonged once for another three years.</w:t>
      </w:r>
    </w:p>
    <w:p w:rsidR="00A23872" w:rsidRDefault="00A23872" w:rsidP="00584600">
      <w:pPr>
        <w:jc w:val="both"/>
        <w:rPr>
          <w:rFonts w:ascii="Arial" w:hAnsi="Arial" w:cs="Arial"/>
          <w:lang w:val="en-GB"/>
        </w:rPr>
      </w:pPr>
    </w:p>
    <w:p w:rsidR="00A23872" w:rsidRDefault="00AA5160" w:rsidP="00584600">
      <w:pPr>
        <w:jc w:val="both"/>
        <w:rPr>
          <w:rFonts w:ascii="Arial" w:hAnsi="Arial" w:cs="Arial"/>
          <w:lang w:val="en-GB"/>
        </w:rPr>
      </w:pPr>
      <w:r>
        <w:rPr>
          <w:rFonts w:ascii="Arial" w:hAnsi="Arial" w:cs="Arial"/>
          <w:lang w:val="en-GB"/>
        </w:rPr>
        <w:t>According to Article 29 b) of the Regulations for Seconded Staff Members of the European Schools t</w:t>
      </w:r>
      <w:r w:rsidR="00A23872">
        <w:rPr>
          <w:rFonts w:ascii="Arial" w:hAnsi="Arial" w:cs="Arial"/>
          <w:lang w:val="en-GB"/>
        </w:rPr>
        <w:t>he length of the secondment of the other members of the managerial staff shall be confirmed for either a specified or an unlimited period.</w:t>
      </w:r>
    </w:p>
    <w:p w:rsidR="005E5FF5" w:rsidRDefault="00A23872" w:rsidP="00584600">
      <w:pPr>
        <w:jc w:val="both"/>
        <w:rPr>
          <w:rFonts w:ascii="Arial" w:hAnsi="Arial" w:cs="Arial"/>
          <w:lang w:val="en-GB"/>
        </w:rPr>
      </w:pPr>
      <w:r>
        <w:rPr>
          <w:rFonts w:ascii="Arial" w:hAnsi="Arial" w:cs="Arial"/>
          <w:lang w:val="en-GB"/>
        </w:rPr>
        <w:t xml:space="preserve"> </w:t>
      </w:r>
    </w:p>
    <w:p w:rsidR="005E5FF5" w:rsidRDefault="005E5FF5" w:rsidP="00584600">
      <w:pPr>
        <w:jc w:val="both"/>
        <w:rPr>
          <w:rFonts w:ascii="Arial" w:hAnsi="Arial" w:cs="Arial"/>
          <w:lang w:val="en-GB"/>
        </w:rPr>
      </w:pPr>
    </w:p>
    <w:p w:rsidR="005E5FF5" w:rsidRDefault="005E5FF5" w:rsidP="005E5FF5">
      <w:pPr>
        <w:numPr>
          <w:ilvl w:val="0"/>
          <w:numId w:val="29"/>
        </w:numPr>
        <w:jc w:val="both"/>
        <w:rPr>
          <w:rFonts w:ascii="Arial" w:hAnsi="Arial" w:cs="Arial"/>
          <w:b/>
          <w:lang w:val="en-GB"/>
        </w:rPr>
      </w:pPr>
      <w:r w:rsidRPr="005E5FF5">
        <w:rPr>
          <w:rFonts w:ascii="Arial" w:hAnsi="Arial" w:cs="Arial"/>
          <w:b/>
          <w:lang w:val="en-GB"/>
        </w:rPr>
        <w:t>Discussion in the Working Group</w:t>
      </w:r>
    </w:p>
    <w:p w:rsidR="005E5FF5" w:rsidRDefault="005E5FF5" w:rsidP="005E5FF5">
      <w:pPr>
        <w:jc w:val="both"/>
        <w:rPr>
          <w:rFonts w:ascii="Arial" w:hAnsi="Arial" w:cs="Arial"/>
          <w:b/>
          <w:lang w:val="en-GB"/>
        </w:rPr>
      </w:pPr>
    </w:p>
    <w:p w:rsidR="005E5FF5" w:rsidRDefault="005E5FF5" w:rsidP="005E5FF5">
      <w:pPr>
        <w:jc w:val="both"/>
        <w:rPr>
          <w:rFonts w:ascii="Arial" w:hAnsi="Arial" w:cs="Arial"/>
          <w:lang w:val="en-GB"/>
        </w:rPr>
      </w:pPr>
      <w:r>
        <w:rPr>
          <w:rFonts w:ascii="Arial" w:hAnsi="Arial" w:cs="Arial"/>
          <w:lang w:val="en-GB"/>
        </w:rPr>
        <w:t>The members of the Working Group agreed that the mobility of Bursars will be addressed in the ‘Bursar Working Group’.</w:t>
      </w:r>
    </w:p>
    <w:p w:rsidR="005E5FF5" w:rsidRDefault="005E5FF5" w:rsidP="005E5FF5">
      <w:pPr>
        <w:jc w:val="both"/>
        <w:rPr>
          <w:rFonts w:ascii="Arial" w:hAnsi="Arial" w:cs="Arial"/>
          <w:lang w:val="en-GB"/>
        </w:rPr>
      </w:pPr>
    </w:p>
    <w:p w:rsidR="005E5FF5" w:rsidRDefault="005E5FF5" w:rsidP="005E5FF5">
      <w:pPr>
        <w:jc w:val="both"/>
        <w:rPr>
          <w:rFonts w:ascii="Arial" w:hAnsi="Arial" w:cs="Arial"/>
          <w:lang w:val="en-GB"/>
        </w:rPr>
      </w:pPr>
      <w:r>
        <w:rPr>
          <w:rFonts w:ascii="Arial" w:hAnsi="Arial" w:cs="Arial"/>
          <w:lang w:val="en-GB"/>
        </w:rPr>
        <w:t xml:space="preserve">With respect to the managerial staff in the Office of the Secretary-General </w:t>
      </w:r>
      <w:r w:rsidR="001D6D9E">
        <w:rPr>
          <w:rFonts w:ascii="Arial" w:hAnsi="Arial" w:cs="Arial"/>
          <w:lang w:val="en-GB"/>
        </w:rPr>
        <w:t xml:space="preserve">the members of the Working Group took the view that – like for the executive staff (Directors and Deputy Directors) </w:t>
      </w:r>
      <w:r w:rsidR="00737BFE">
        <w:rPr>
          <w:rFonts w:ascii="Arial" w:hAnsi="Arial" w:cs="Arial"/>
          <w:lang w:val="en-GB"/>
        </w:rPr>
        <w:t xml:space="preserve">- </w:t>
      </w:r>
      <w:r w:rsidR="001D6D9E">
        <w:rPr>
          <w:rFonts w:ascii="Arial" w:hAnsi="Arial" w:cs="Arial"/>
          <w:lang w:val="en-GB"/>
        </w:rPr>
        <w:t>a limitation of their secondment to nine years could be reasonable</w:t>
      </w:r>
      <w:r w:rsidR="0067407A">
        <w:rPr>
          <w:rFonts w:ascii="Arial" w:hAnsi="Arial" w:cs="Arial"/>
          <w:lang w:val="en-GB"/>
        </w:rPr>
        <w:t xml:space="preserve"> as these functions in general concern sensible areas</w:t>
      </w:r>
      <w:r w:rsidR="001D6D9E">
        <w:rPr>
          <w:rFonts w:ascii="Arial" w:hAnsi="Arial" w:cs="Arial"/>
          <w:lang w:val="en-GB"/>
        </w:rPr>
        <w:t>.</w:t>
      </w:r>
      <w:r w:rsidR="0067407A">
        <w:rPr>
          <w:rFonts w:ascii="Arial" w:hAnsi="Arial" w:cs="Arial"/>
          <w:lang w:val="en-GB"/>
        </w:rPr>
        <w:t xml:space="preserve"> </w:t>
      </w:r>
      <w:r>
        <w:rPr>
          <w:rFonts w:ascii="Arial" w:hAnsi="Arial" w:cs="Arial"/>
          <w:lang w:val="en-GB"/>
        </w:rPr>
        <w:t xml:space="preserve"> </w:t>
      </w:r>
    </w:p>
    <w:p w:rsidR="001D6D9E" w:rsidRDefault="001D6D9E" w:rsidP="005E5FF5">
      <w:pPr>
        <w:jc w:val="both"/>
        <w:rPr>
          <w:rFonts w:ascii="Arial" w:hAnsi="Arial" w:cs="Arial"/>
          <w:lang w:val="en-GB"/>
        </w:rPr>
      </w:pPr>
    </w:p>
    <w:p w:rsidR="001D6D9E" w:rsidRDefault="001D6D9E" w:rsidP="005E5FF5">
      <w:pPr>
        <w:jc w:val="both"/>
        <w:rPr>
          <w:rFonts w:ascii="Arial" w:hAnsi="Arial" w:cs="Arial"/>
          <w:lang w:val="en-GB"/>
        </w:rPr>
      </w:pPr>
      <w:r>
        <w:rPr>
          <w:rFonts w:ascii="Arial" w:hAnsi="Arial" w:cs="Arial"/>
          <w:lang w:val="en-GB"/>
        </w:rPr>
        <w:t xml:space="preserve">In this context it was noted that </w:t>
      </w:r>
      <w:r w:rsidR="00737BFE">
        <w:rPr>
          <w:rFonts w:ascii="Arial" w:hAnsi="Arial" w:cs="Arial"/>
          <w:lang w:val="en-GB"/>
        </w:rPr>
        <w:t xml:space="preserve">the </w:t>
      </w:r>
      <w:r>
        <w:rPr>
          <w:rFonts w:ascii="Arial" w:hAnsi="Arial" w:cs="Arial"/>
          <w:lang w:val="en-GB"/>
        </w:rPr>
        <w:t xml:space="preserve">German Presidency is promoting a proposal to mandate a new Working Group to deal with the recruitment, profile and duties etc. of the managerial staff </w:t>
      </w:r>
      <w:r w:rsidR="0067407A">
        <w:rPr>
          <w:rFonts w:ascii="Arial" w:hAnsi="Arial" w:cs="Arial"/>
          <w:lang w:val="en-GB"/>
        </w:rPr>
        <w:t xml:space="preserve">(Heads of Unit, Financial Controller and Deputy Financial Controller) </w:t>
      </w:r>
      <w:r>
        <w:rPr>
          <w:rFonts w:ascii="Arial" w:hAnsi="Arial" w:cs="Arial"/>
          <w:lang w:val="en-GB"/>
        </w:rPr>
        <w:t>in the Office of the Secretary-General</w:t>
      </w:r>
      <w:r w:rsidR="00737BFE">
        <w:rPr>
          <w:rFonts w:ascii="Arial" w:hAnsi="Arial" w:cs="Arial"/>
          <w:lang w:val="en-GB"/>
        </w:rPr>
        <w:t xml:space="preserve"> (see document 2016-09-D-56-en-2)</w:t>
      </w:r>
      <w:r>
        <w:rPr>
          <w:rFonts w:ascii="Arial" w:hAnsi="Arial" w:cs="Arial"/>
          <w:lang w:val="en-GB"/>
        </w:rPr>
        <w:t xml:space="preserve">. </w:t>
      </w:r>
    </w:p>
    <w:p w:rsidR="001D6D9E" w:rsidRPr="005E5FF5" w:rsidRDefault="001D6D9E" w:rsidP="005E5FF5">
      <w:pPr>
        <w:jc w:val="both"/>
        <w:rPr>
          <w:rFonts w:ascii="Arial" w:hAnsi="Arial" w:cs="Arial"/>
          <w:lang w:val="en-GB"/>
        </w:rPr>
      </w:pPr>
      <w:r>
        <w:rPr>
          <w:rFonts w:ascii="Arial" w:hAnsi="Arial" w:cs="Arial"/>
          <w:lang w:val="en-GB"/>
        </w:rPr>
        <w:t xml:space="preserve"> </w:t>
      </w:r>
    </w:p>
    <w:p w:rsidR="005E5FF5" w:rsidRPr="005E5FF5" w:rsidRDefault="005E5FF5" w:rsidP="005E5FF5">
      <w:pPr>
        <w:jc w:val="both"/>
        <w:rPr>
          <w:rFonts w:ascii="Arial" w:hAnsi="Arial" w:cs="Arial"/>
          <w:lang w:val="en-GB"/>
        </w:rPr>
      </w:pPr>
    </w:p>
    <w:p w:rsidR="00A23872" w:rsidRPr="005E5FF5" w:rsidRDefault="005E5FF5" w:rsidP="005E5FF5">
      <w:pPr>
        <w:numPr>
          <w:ilvl w:val="0"/>
          <w:numId w:val="29"/>
        </w:numPr>
        <w:jc w:val="both"/>
        <w:rPr>
          <w:rFonts w:ascii="Arial" w:hAnsi="Arial" w:cs="Arial"/>
          <w:b/>
          <w:lang w:val="en-GB"/>
        </w:rPr>
      </w:pPr>
      <w:r w:rsidRPr="005E5FF5">
        <w:rPr>
          <w:rFonts w:ascii="Arial" w:hAnsi="Arial" w:cs="Arial"/>
          <w:b/>
          <w:lang w:val="en-GB"/>
        </w:rPr>
        <w:t>Recommendation of the Working Group</w:t>
      </w:r>
      <w:r w:rsidR="00A23872" w:rsidRPr="005E5FF5">
        <w:rPr>
          <w:rFonts w:ascii="Arial" w:hAnsi="Arial" w:cs="Arial"/>
          <w:b/>
          <w:lang w:val="en-GB"/>
        </w:rPr>
        <w:t xml:space="preserve"> </w:t>
      </w:r>
    </w:p>
    <w:p w:rsidR="00584600" w:rsidRDefault="00584600" w:rsidP="00584600">
      <w:pPr>
        <w:jc w:val="both"/>
        <w:rPr>
          <w:rFonts w:ascii="Arial" w:hAnsi="Arial" w:cs="Arial"/>
          <w:lang w:val="en-GB"/>
        </w:rPr>
      </w:pPr>
    </w:p>
    <w:p w:rsidR="001D6D9E" w:rsidRDefault="001D6D9E" w:rsidP="0067407A">
      <w:pPr>
        <w:numPr>
          <w:ilvl w:val="0"/>
          <w:numId w:val="33"/>
        </w:numPr>
        <w:jc w:val="both"/>
        <w:rPr>
          <w:rFonts w:ascii="Arial" w:hAnsi="Arial" w:cs="Arial"/>
          <w:lang w:val="en-GB"/>
        </w:rPr>
      </w:pPr>
      <w:r>
        <w:rPr>
          <w:rFonts w:ascii="Arial" w:hAnsi="Arial" w:cs="Arial"/>
          <w:lang w:val="en-GB"/>
        </w:rPr>
        <w:t xml:space="preserve">The Working Group recommends </w:t>
      </w:r>
      <w:r w:rsidR="002C54A7">
        <w:rPr>
          <w:rFonts w:ascii="Arial" w:hAnsi="Arial" w:cs="Arial"/>
          <w:lang w:val="en-GB"/>
        </w:rPr>
        <w:t>envisaging</w:t>
      </w:r>
      <w:r>
        <w:rPr>
          <w:rFonts w:ascii="Arial" w:hAnsi="Arial" w:cs="Arial"/>
          <w:lang w:val="en-GB"/>
        </w:rPr>
        <w:t xml:space="preserve"> a limitation of the secondment of the managerial staff of the Office of the Secretary-</w:t>
      </w:r>
      <w:r w:rsidR="00091E08">
        <w:rPr>
          <w:rFonts w:ascii="Arial" w:hAnsi="Arial" w:cs="Arial"/>
          <w:lang w:val="en-GB"/>
        </w:rPr>
        <w:t>General (</w:t>
      </w:r>
      <w:r>
        <w:rPr>
          <w:rFonts w:ascii="Arial" w:hAnsi="Arial" w:cs="Arial"/>
          <w:lang w:val="en-GB"/>
        </w:rPr>
        <w:t>Heads of Unit, Financial Controller and Deputy Financial Controller).</w:t>
      </w:r>
    </w:p>
    <w:p w:rsidR="001D6D9E" w:rsidRDefault="001D6D9E" w:rsidP="00584600">
      <w:pPr>
        <w:jc w:val="both"/>
        <w:rPr>
          <w:rFonts w:ascii="Arial" w:hAnsi="Arial" w:cs="Arial"/>
          <w:lang w:val="en-GB"/>
        </w:rPr>
      </w:pPr>
    </w:p>
    <w:p w:rsidR="0067407A" w:rsidRDefault="001D6D9E" w:rsidP="00584600">
      <w:pPr>
        <w:jc w:val="both"/>
        <w:rPr>
          <w:rFonts w:ascii="Arial" w:hAnsi="Arial" w:cs="Arial"/>
          <w:lang w:val="en-GB"/>
        </w:rPr>
      </w:pPr>
      <w:r>
        <w:rPr>
          <w:rFonts w:ascii="Arial" w:hAnsi="Arial" w:cs="Arial"/>
          <w:lang w:val="en-GB"/>
        </w:rPr>
        <w:t xml:space="preserve"> </w:t>
      </w:r>
    </w:p>
    <w:p w:rsidR="00A23872" w:rsidRDefault="0067407A" w:rsidP="00584600">
      <w:pPr>
        <w:jc w:val="both"/>
        <w:rPr>
          <w:rFonts w:ascii="Arial" w:hAnsi="Arial" w:cs="Arial"/>
          <w:lang w:val="en-GB"/>
        </w:rPr>
      </w:pPr>
      <w:r>
        <w:rPr>
          <w:rFonts w:ascii="Arial" w:hAnsi="Arial" w:cs="Arial"/>
          <w:lang w:val="en-GB"/>
        </w:rPr>
        <w:br w:type="page"/>
      </w:r>
    </w:p>
    <w:p w:rsidR="00A23872" w:rsidRDefault="00AA5160" w:rsidP="00A23872">
      <w:pPr>
        <w:numPr>
          <w:ilvl w:val="0"/>
          <w:numId w:val="27"/>
        </w:numPr>
        <w:jc w:val="both"/>
        <w:rPr>
          <w:rFonts w:ascii="Arial" w:hAnsi="Arial" w:cs="Arial"/>
          <w:b/>
          <w:lang w:val="en-GB"/>
        </w:rPr>
      </w:pPr>
      <w:r>
        <w:rPr>
          <w:rFonts w:ascii="Arial" w:hAnsi="Arial" w:cs="Arial"/>
          <w:b/>
          <w:lang w:val="en-GB"/>
        </w:rPr>
        <w:t>Executive s</w:t>
      </w:r>
      <w:r w:rsidR="00A23872">
        <w:rPr>
          <w:rFonts w:ascii="Arial" w:hAnsi="Arial" w:cs="Arial"/>
          <w:b/>
          <w:lang w:val="en-GB"/>
        </w:rPr>
        <w:t>taff of the European Schools</w:t>
      </w:r>
    </w:p>
    <w:p w:rsidR="00A23872" w:rsidRDefault="00A23872" w:rsidP="00A23872">
      <w:pPr>
        <w:jc w:val="both"/>
        <w:rPr>
          <w:rFonts w:ascii="Arial" w:hAnsi="Arial" w:cs="Arial"/>
          <w:b/>
          <w:lang w:val="en-GB"/>
        </w:rPr>
      </w:pPr>
    </w:p>
    <w:p w:rsidR="001D6D9E" w:rsidRPr="001D6D9E" w:rsidRDefault="001D6D9E" w:rsidP="001D6D9E">
      <w:pPr>
        <w:numPr>
          <w:ilvl w:val="0"/>
          <w:numId w:val="30"/>
        </w:numPr>
        <w:jc w:val="both"/>
        <w:rPr>
          <w:rFonts w:ascii="Arial" w:hAnsi="Arial" w:cs="Arial"/>
          <w:b/>
          <w:lang w:val="en-GB"/>
        </w:rPr>
      </w:pPr>
      <w:r w:rsidRPr="001D6D9E">
        <w:rPr>
          <w:rFonts w:ascii="Arial" w:hAnsi="Arial" w:cs="Arial"/>
          <w:b/>
          <w:lang w:val="en-GB"/>
        </w:rPr>
        <w:t>Current situation</w:t>
      </w:r>
    </w:p>
    <w:p w:rsidR="001D6D9E" w:rsidRDefault="001D6D9E" w:rsidP="001D6D9E">
      <w:pPr>
        <w:ind w:left="360"/>
        <w:jc w:val="both"/>
        <w:rPr>
          <w:rFonts w:ascii="Arial" w:hAnsi="Arial" w:cs="Arial"/>
          <w:lang w:val="en-GB"/>
        </w:rPr>
      </w:pPr>
    </w:p>
    <w:p w:rsidR="00A23872" w:rsidRDefault="00A23872" w:rsidP="00A23872">
      <w:pPr>
        <w:jc w:val="both"/>
        <w:rPr>
          <w:rFonts w:ascii="Arial" w:hAnsi="Arial" w:cs="Arial"/>
          <w:lang w:val="en-GB"/>
        </w:rPr>
      </w:pPr>
      <w:r>
        <w:rPr>
          <w:rFonts w:ascii="Arial" w:hAnsi="Arial" w:cs="Arial"/>
          <w:lang w:val="en-GB"/>
        </w:rPr>
        <w:t xml:space="preserve">The ‘executive staff’ of the European </w:t>
      </w:r>
      <w:r w:rsidR="002E342E">
        <w:rPr>
          <w:rFonts w:ascii="Arial" w:hAnsi="Arial" w:cs="Arial"/>
          <w:lang w:val="en-GB"/>
        </w:rPr>
        <w:t>S</w:t>
      </w:r>
      <w:r>
        <w:rPr>
          <w:rFonts w:ascii="Arial" w:hAnsi="Arial" w:cs="Arial"/>
          <w:lang w:val="en-GB"/>
        </w:rPr>
        <w:t>chools is defined in Article 6 a) of the Regulations for Seconded Staff Members of the European Schools. The term ‘executive staff’ covers the Directors and the Deputy Directors for the secondary and primary cycle of the European Schools.</w:t>
      </w:r>
    </w:p>
    <w:p w:rsidR="00A23872" w:rsidRDefault="00A23872" w:rsidP="00A23872">
      <w:pPr>
        <w:jc w:val="both"/>
        <w:rPr>
          <w:rFonts w:ascii="Arial" w:hAnsi="Arial" w:cs="Arial"/>
          <w:lang w:val="en-GB"/>
        </w:rPr>
      </w:pPr>
    </w:p>
    <w:p w:rsidR="00A23872" w:rsidRDefault="00A23872" w:rsidP="00A23872">
      <w:pPr>
        <w:jc w:val="both"/>
        <w:rPr>
          <w:rFonts w:ascii="Arial" w:hAnsi="Arial" w:cs="Arial"/>
          <w:lang w:val="en-GB"/>
        </w:rPr>
      </w:pPr>
      <w:r>
        <w:rPr>
          <w:rFonts w:ascii="Arial" w:hAnsi="Arial" w:cs="Arial"/>
          <w:lang w:val="en-GB"/>
        </w:rPr>
        <w:t xml:space="preserve">The length of their secondment is limited to nine years in accordance with </w:t>
      </w:r>
      <w:r w:rsidR="002E342E">
        <w:rPr>
          <w:rFonts w:ascii="Arial" w:hAnsi="Arial" w:cs="Arial"/>
          <w:lang w:val="en-GB"/>
        </w:rPr>
        <w:t xml:space="preserve">Chapter V of the </w:t>
      </w:r>
      <w:r w:rsidR="00AA5160">
        <w:rPr>
          <w:rFonts w:ascii="Arial" w:hAnsi="Arial" w:cs="Arial"/>
          <w:lang w:val="en-GB"/>
        </w:rPr>
        <w:t>‘</w:t>
      </w:r>
      <w:r w:rsidR="002E342E" w:rsidRPr="002E342E">
        <w:rPr>
          <w:rFonts w:ascii="Arial" w:hAnsi="Arial" w:cs="Arial"/>
          <w:i/>
          <w:lang w:val="en-GB"/>
        </w:rPr>
        <w:t>Implementing Regulations for the Appointment and Evaluation of Directors and Deputy Directors of the European Schools</w:t>
      </w:r>
      <w:r w:rsidR="00AA5160">
        <w:rPr>
          <w:rFonts w:ascii="Arial" w:hAnsi="Arial" w:cs="Arial"/>
          <w:i/>
          <w:lang w:val="en-GB"/>
        </w:rPr>
        <w:t>’</w:t>
      </w:r>
      <w:r w:rsidR="002E342E">
        <w:rPr>
          <w:rStyle w:val="FootnoteReference"/>
          <w:rFonts w:ascii="Arial" w:hAnsi="Arial" w:cs="Arial"/>
          <w:lang w:val="en-GB"/>
        </w:rPr>
        <w:footnoteReference w:id="5"/>
      </w:r>
      <w:r w:rsidR="00AA5160">
        <w:rPr>
          <w:rFonts w:ascii="Arial" w:hAnsi="Arial" w:cs="Arial"/>
          <w:i/>
          <w:lang w:val="en-GB"/>
        </w:rPr>
        <w:t>.</w:t>
      </w:r>
    </w:p>
    <w:p w:rsidR="002E342E" w:rsidRDefault="002E342E" w:rsidP="00A23872">
      <w:pPr>
        <w:jc w:val="both"/>
        <w:rPr>
          <w:rFonts w:ascii="Arial" w:hAnsi="Arial" w:cs="Arial"/>
          <w:lang w:val="en-GB"/>
        </w:rPr>
      </w:pPr>
    </w:p>
    <w:p w:rsidR="002E342E" w:rsidRDefault="002E342E" w:rsidP="00A23872">
      <w:pPr>
        <w:jc w:val="both"/>
        <w:rPr>
          <w:rFonts w:ascii="Arial" w:hAnsi="Arial" w:cs="Arial"/>
          <w:lang w:val="en-GB"/>
        </w:rPr>
      </w:pPr>
      <w:r>
        <w:rPr>
          <w:rFonts w:ascii="Arial" w:hAnsi="Arial" w:cs="Arial"/>
          <w:lang w:val="en-GB"/>
        </w:rPr>
        <w:t xml:space="preserve">A transfer of a member of the executive staff to another school is possible at the end of the fifth and sixth year. </w:t>
      </w:r>
      <w:r w:rsidR="006D171A">
        <w:rPr>
          <w:rFonts w:ascii="Arial" w:hAnsi="Arial" w:cs="Arial"/>
          <w:lang w:val="en-GB"/>
        </w:rPr>
        <w:t>In case of transfer the member of the executive staff is entitled to the allowances linked to the transfer (removal and installation allowance) and will keep his/her seniority.</w:t>
      </w:r>
    </w:p>
    <w:p w:rsidR="008A7F15" w:rsidRDefault="008A7F15" w:rsidP="00A23872">
      <w:pPr>
        <w:jc w:val="both"/>
        <w:rPr>
          <w:rFonts w:ascii="Arial" w:hAnsi="Arial" w:cs="Arial"/>
          <w:lang w:val="en-GB"/>
        </w:rPr>
      </w:pPr>
    </w:p>
    <w:p w:rsidR="008A7F15" w:rsidRDefault="00EC0B7A" w:rsidP="00A23872">
      <w:pPr>
        <w:jc w:val="both"/>
        <w:rPr>
          <w:rFonts w:ascii="Arial" w:hAnsi="Arial" w:cs="Arial"/>
          <w:lang w:val="en-GB"/>
        </w:rPr>
      </w:pPr>
      <w:r>
        <w:rPr>
          <w:rFonts w:ascii="Arial" w:hAnsi="Arial" w:cs="Arial"/>
          <w:lang w:val="en-GB"/>
        </w:rPr>
        <w:t xml:space="preserve">In the last four years on </w:t>
      </w:r>
      <w:r w:rsidRPr="0067407A">
        <w:rPr>
          <w:rFonts w:ascii="Arial" w:hAnsi="Arial" w:cs="Arial"/>
          <w:lang w:val="en-GB"/>
        </w:rPr>
        <w:t xml:space="preserve">average </w:t>
      </w:r>
      <w:r>
        <w:rPr>
          <w:rFonts w:ascii="Arial" w:hAnsi="Arial" w:cs="Arial"/>
          <w:lang w:val="en-GB"/>
        </w:rPr>
        <w:t xml:space="preserve">two </w:t>
      </w:r>
      <w:r w:rsidRPr="0067407A">
        <w:rPr>
          <w:rFonts w:ascii="Arial" w:hAnsi="Arial" w:cs="Arial"/>
          <w:lang w:val="en-GB"/>
        </w:rPr>
        <w:t>transfers took</w:t>
      </w:r>
      <w:r>
        <w:rPr>
          <w:rFonts w:ascii="Arial" w:hAnsi="Arial" w:cs="Arial"/>
          <w:lang w:val="en-GB"/>
        </w:rPr>
        <w:t xml:space="preserve"> place per school year.</w:t>
      </w:r>
    </w:p>
    <w:p w:rsidR="008A7F15" w:rsidRDefault="008A7F15" w:rsidP="00A23872">
      <w:pPr>
        <w:jc w:val="both"/>
        <w:rPr>
          <w:rFonts w:ascii="Arial" w:hAnsi="Arial" w:cs="Arial"/>
          <w:lang w:val="en-GB"/>
        </w:rPr>
      </w:pPr>
    </w:p>
    <w:p w:rsidR="008A7F15" w:rsidRDefault="008A7F15" w:rsidP="00A23872">
      <w:pPr>
        <w:jc w:val="both"/>
        <w:rPr>
          <w:rFonts w:ascii="Arial" w:hAnsi="Arial" w:cs="Arial"/>
          <w:lang w:val="en-GB"/>
        </w:rPr>
      </w:pPr>
      <w:r>
        <w:rPr>
          <w:rFonts w:ascii="Arial" w:hAnsi="Arial" w:cs="Arial"/>
          <w:lang w:val="en-GB"/>
        </w:rPr>
        <w:t xml:space="preserve">Moreover, on average </w:t>
      </w:r>
      <w:r w:rsidR="00EC0B7A">
        <w:rPr>
          <w:rFonts w:ascii="Arial" w:hAnsi="Arial" w:cs="Arial"/>
          <w:lang w:val="en-GB"/>
        </w:rPr>
        <w:t xml:space="preserve">five to </w:t>
      </w:r>
      <w:r w:rsidR="0067407A">
        <w:rPr>
          <w:rFonts w:ascii="Arial" w:hAnsi="Arial" w:cs="Arial"/>
          <w:lang w:val="en-GB"/>
        </w:rPr>
        <w:t>six</w:t>
      </w:r>
      <w:r>
        <w:rPr>
          <w:rFonts w:ascii="Arial" w:hAnsi="Arial" w:cs="Arial"/>
          <w:lang w:val="en-GB"/>
        </w:rPr>
        <w:t xml:space="preserve"> Directors or Deputy Directors left per school year their School and were replaced by newly appointed Directors or Deputy Directors.</w:t>
      </w:r>
      <w:r w:rsidR="00EC0B7A">
        <w:rPr>
          <w:rStyle w:val="FootnoteReference"/>
          <w:rFonts w:ascii="Arial" w:hAnsi="Arial" w:cs="Arial"/>
          <w:lang w:val="en-GB"/>
        </w:rPr>
        <w:footnoteReference w:id="6"/>
      </w:r>
    </w:p>
    <w:p w:rsidR="0067407A" w:rsidRDefault="0067407A" w:rsidP="00A23872">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67407A" w:rsidRPr="00461C6F" w:rsidTr="00461C6F">
        <w:tc>
          <w:tcPr>
            <w:tcW w:w="1857" w:type="dxa"/>
            <w:shd w:val="clear" w:color="auto" w:fill="auto"/>
          </w:tcPr>
          <w:p w:rsidR="0067407A" w:rsidRPr="00461C6F" w:rsidRDefault="0067407A" w:rsidP="00461C6F">
            <w:pPr>
              <w:jc w:val="center"/>
              <w:rPr>
                <w:rFonts w:ascii="Arial" w:hAnsi="Arial" w:cs="Arial"/>
                <w:b/>
                <w:lang w:val="en-GB"/>
              </w:rPr>
            </w:pPr>
            <w:r w:rsidRPr="00461C6F">
              <w:rPr>
                <w:rFonts w:ascii="Arial" w:hAnsi="Arial" w:cs="Arial"/>
                <w:b/>
                <w:lang w:val="en-GB"/>
              </w:rPr>
              <w:t>School year</w:t>
            </w:r>
          </w:p>
        </w:tc>
        <w:tc>
          <w:tcPr>
            <w:tcW w:w="1857" w:type="dxa"/>
            <w:shd w:val="clear" w:color="auto" w:fill="auto"/>
          </w:tcPr>
          <w:p w:rsidR="0067407A" w:rsidRPr="00461C6F" w:rsidRDefault="0067407A" w:rsidP="00461C6F">
            <w:pPr>
              <w:jc w:val="center"/>
              <w:rPr>
                <w:rFonts w:ascii="Arial" w:hAnsi="Arial" w:cs="Arial"/>
                <w:b/>
                <w:lang w:val="en-GB"/>
              </w:rPr>
            </w:pPr>
            <w:r w:rsidRPr="00461C6F">
              <w:rPr>
                <w:rFonts w:ascii="Arial" w:hAnsi="Arial" w:cs="Arial"/>
                <w:b/>
                <w:lang w:val="en-GB"/>
              </w:rPr>
              <w:t>2013/14</w:t>
            </w:r>
          </w:p>
        </w:tc>
        <w:tc>
          <w:tcPr>
            <w:tcW w:w="1858" w:type="dxa"/>
            <w:shd w:val="clear" w:color="auto" w:fill="auto"/>
          </w:tcPr>
          <w:p w:rsidR="0067407A" w:rsidRPr="00461C6F" w:rsidRDefault="0067407A" w:rsidP="00461C6F">
            <w:pPr>
              <w:jc w:val="center"/>
              <w:rPr>
                <w:rFonts w:ascii="Arial" w:hAnsi="Arial" w:cs="Arial"/>
                <w:b/>
                <w:lang w:val="en-GB"/>
              </w:rPr>
            </w:pPr>
            <w:r w:rsidRPr="00461C6F">
              <w:rPr>
                <w:rFonts w:ascii="Arial" w:hAnsi="Arial" w:cs="Arial"/>
                <w:b/>
                <w:lang w:val="en-GB"/>
              </w:rPr>
              <w:t>2014/15</w:t>
            </w:r>
          </w:p>
        </w:tc>
        <w:tc>
          <w:tcPr>
            <w:tcW w:w="1858" w:type="dxa"/>
            <w:shd w:val="clear" w:color="auto" w:fill="auto"/>
          </w:tcPr>
          <w:p w:rsidR="0067407A" w:rsidRPr="00461C6F" w:rsidRDefault="0067407A" w:rsidP="00461C6F">
            <w:pPr>
              <w:jc w:val="center"/>
              <w:rPr>
                <w:rFonts w:ascii="Arial" w:hAnsi="Arial" w:cs="Arial"/>
                <w:b/>
                <w:lang w:val="en-GB"/>
              </w:rPr>
            </w:pPr>
            <w:r w:rsidRPr="00461C6F">
              <w:rPr>
                <w:rFonts w:ascii="Arial" w:hAnsi="Arial" w:cs="Arial"/>
                <w:b/>
                <w:lang w:val="en-GB"/>
              </w:rPr>
              <w:t>2015/16</w:t>
            </w:r>
          </w:p>
        </w:tc>
        <w:tc>
          <w:tcPr>
            <w:tcW w:w="1858" w:type="dxa"/>
            <w:shd w:val="clear" w:color="auto" w:fill="auto"/>
          </w:tcPr>
          <w:p w:rsidR="0067407A" w:rsidRPr="00461C6F" w:rsidRDefault="0067407A" w:rsidP="00461C6F">
            <w:pPr>
              <w:jc w:val="center"/>
              <w:rPr>
                <w:rFonts w:ascii="Arial" w:hAnsi="Arial" w:cs="Arial"/>
                <w:b/>
                <w:lang w:val="en-GB"/>
              </w:rPr>
            </w:pPr>
            <w:r w:rsidRPr="00461C6F">
              <w:rPr>
                <w:rFonts w:ascii="Arial" w:hAnsi="Arial" w:cs="Arial"/>
                <w:b/>
                <w:lang w:val="en-GB"/>
              </w:rPr>
              <w:t>2016/17</w:t>
            </w:r>
          </w:p>
        </w:tc>
      </w:tr>
      <w:tr w:rsidR="0067407A" w:rsidRPr="00461C6F" w:rsidTr="00461C6F">
        <w:tc>
          <w:tcPr>
            <w:tcW w:w="1857" w:type="dxa"/>
            <w:shd w:val="clear" w:color="auto" w:fill="auto"/>
          </w:tcPr>
          <w:p w:rsidR="0067407A" w:rsidRPr="00461C6F" w:rsidRDefault="0067407A" w:rsidP="0067407A">
            <w:pPr>
              <w:rPr>
                <w:rFonts w:ascii="Arial" w:hAnsi="Arial" w:cs="Arial"/>
                <w:b/>
                <w:lang w:val="en-GB"/>
              </w:rPr>
            </w:pPr>
            <w:r w:rsidRPr="00461C6F">
              <w:rPr>
                <w:rFonts w:ascii="Arial" w:hAnsi="Arial" w:cs="Arial"/>
                <w:b/>
                <w:lang w:val="en-GB"/>
              </w:rPr>
              <w:t>number of transfers</w:t>
            </w:r>
          </w:p>
        </w:tc>
        <w:tc>
          <w:tcPr>
            <w:tcW w:w="1857" w:type="dxa"/>
            <w:shd w:val="clear" w:color="auto" w:fill="auto"/>
          </w:tcPr>
          <w:p w:rsidR="0067407A" w:rsidRPr="00461C6F" w:rsidRDefault="0067407A" w:rsidP="00461C6F">
            <w:pPr>
              <w:jc w:val="center"/>
              <w:rPr>
                <w:rFonts w:ascii="Arial" w:hAnsi="Arial" w:cs="Arial"/>
                <w:lang w:val="en-GB"/>
              </w:rPr>
            </w:pPr>
            <w:r w:rsidRPr="00461C6F">
              <w:rPr>
                <w:rFonts w:ascii="Arial" w:hAnsi="Arial" w:cs="Arial"/>
                <w:lang w:val="en-GB"/>
              </w:rPr>
              <w:t>1</w:t>
            </w:r>
          </w:p>
        </w:tc>
        <w:tc>
          <w:tcPr>
            <w:tcW w:w="1858" w:type="dxa"/>
            <w:shd w:val="clear" w:color="auto" w:fill="auto"/>
          </w:tcPr>
          <w:p w:rsidR="0067407A" w:rsidRPr="00461C6F" w:rsidRDefault="00D55110" w:rsidP="00461C6F">
            <w:pPr>
              <w:jc w:val="center"/>
              <w:rPr>
                <w:rFonts w:ascii="Arial" w:hAnsi="Arial" w:cs="Arial"/>
                <w:lang w:val="en-GB"/>
              </w:rPr>
            </w:pPr>
            <w:r>
              <w:rPr>
                <w:rFonts w:ascii="Arial" w:hAnsi="Arial" w:cs="Arial"/>
                <w:lang w:val="en-GB"/>
              </w:rPr>
              <w:t>1</w:t>
            </w:r>
          </w:p>
        </w:tc>
        <w:tc>
          <w:tcPr>
            <w:tcW w:w="1858" w:type="dxa"/>
            <w:shd w:val="clear" w:color="auto" w:fill="auto"/>
          </w:tcPr>
          <w:p w:rsidR="0067407A" w:rsidRPr="00461C6F" w:rsidRDefault="0067407A" w:rsidP="00461C6F">
            <w:pPr>
              <w:jc w:val="center"/>
              <w:rPr>
                <w:rFonts w:ascii="Arial" w:hAnsi="Arial" w:cs="Arial"/>
                <w:lang w:val="en-GB"/>
              </w:rPr>
            </w:pPr>
            <w:r w:rsidRPr="00461C6F">
              <w:rPr>
                <w:rFonts w:ascii="Arial" w:hAnsi="Arial" w:cs="Arial"/>
                <w:lang w:val="en-GB"/>
              </w:rPr>
              <w:t>0</w:t>
            </w:r>
          </w:p>
        </w:tc>
        <w:tc>
          <w:tcPr>
            <w:tcW w:w="1858" w:type="dxa"/>
            <w:shd w:val="clear" w:color="auto" w:fill="auto"/>
          </w:tcPr>
          <w:p w:rsidR="0067407A" w:rsidRPr="00461C6F" w:rsidRDefault="00EC0B7A" w:rsidP="00461C6F">
            <w:pPr>
              <w:jc w:val="center"/>
              <w:rPr>
                <w:rFonts w:ascii="Arial" w:hAnsi="Arial" w:cs="Arial"/>
                <w:lang w:val="en-GB"/>
              </w:rPr>
            </w:pPr>
            <w:r>
              <w:rPr>
                <w:rFonts w:ascii="Arial" w:hAnsi="Arial" w:cs="Arial"/>
                <w:lang w:val="en-GB"/>
              </w:rPr>
              <w:t>6</w:t>
            </w:r>
            <w:r w:rsidR="00D705F8">
              <w:rPr>
                <w:rStyle w:val="FootnoteReference"/>
                <w:rFonts w:ascii="Arial" w:hAnsi="Arial" w:cs="Arial"/>
                <w:lang w:val="en-GB"/>
              </w:rPr>
              <w:footnoteReference w:id="7"/>
            </w:r>
          </w:p>
        </w:tc>
      </w:tr>
      <w:tr w:rsidR="0067407A" w:rsidRPr="00461C6F" w:rsidTr="00461C6F">
        <w:tc>
          <w:tcPr>
            <w:tcW w:w="1857" w:type="dxa"/>
            <w:shd w:val="clear" w:color="auto" w:fill="auto"/>
          </w:tcPr>
          <w:p w:rsidR="0067407A" w:rsidRPr="00461C6F" w:rsidRDefault="0067407A" w:rsidP="0067407A">
            <w:pPr>
              <w:rPr>
                <w:rFonts w:ascii="Arial" w:hAnsi="Arial" w:cs="Arial"/>
                <w:b/>
                <w:lang w:val="en-GB"/>
              </w:rPr>
            </w:pPr>
            <w:r w:rsidRPr="00461C6F">
              <w:rPr>
                <w:rFonts w:ascii="Arial" w:hAnsi="Arial" w:cs="Arial"/>
                <w:b/>
                <w:lang w:val="en-GB"/>
              </w:rPr>
              <w:t>Number of new appointments</w:t>
            </w:r>
          </w:p>
        </w:tc>
        <w:tc>
          <w:tcPr>
            <w:tcW w:w="1857" w:type="dxa"/>
            <w:shd w:val="clear" w:color="auto" w:fill="auto"/>
          </w:tcPr>
          <w:p w:rsidR="0067407A" w:rsidRPr="00461C6F" w:rsidRDefault="00D55110" w:rsidP="00461C6F">
            <w:pPr>
              <w:jc w:val="center"/>
              <w:rPr>
                <w:rFonts w:ascii="Arial" w:hAnsi="Arial" w:cs="Arial"/>
                <w:lang w:val="en-GB"/>
              </w:rPr>
            </w:pPr>
            <w:r>
              <w:rPr>
                <w:rFonts w:ascii="Arial" w:hAnsi="Arial" w:cs="Arial"/>
                <w:lang w:val="en-GB"/>
              </w:rPr>
              <w:t>8</w:t>
            </w:r>
          </w:p>
        </w:tc>
        <w:tc>
          <w:tcPr>
            <w:tcW w:w="1858" w:type="dxa"/>
            <w:shd w:val="clear" w:color="auto" w:fill="auto"/>
          </w:tcPr>
          <w:p w:rsidR="0067407A" w:rsidRPr="00461C6F" w:rsidRDefault="0067407A" w:rsidP="00461C6F">
            <w:pPr>
              <w:jc w:val="center"/>
              <w:rPr>
                <w:rFonts w:ascii="Arial" w:hAnsi="Arial" w:cs="Arial"/>
                <w:lang w:val="en-GB"/>
              </w:rPr>
            </w:pPr>
            <w:r w:rsidRPr="00461C6F">
              <w:rPr>
                <w:rFonts w:ascii="Arial" w:hAnsi="Arial" w:cs="Arial"/>
                <w:lang w:val="en-GB"/>
              </w:rPr>
              <w:t>4</w:t>
            </w:r>
          </w:p>
        </w:tc>
        <w:tc>
          <w:tcPr>
            <w:tcW w:w="1858" w:type="dxa"/>
            <w:shd w:val="clear" w:color="auto" w:fill="auto"/>
          </w:tcPr>
          <w:p w:rsidR="0067407A" w:rsidRPr="00461C6F" w:rsidRDefault="0067407A" w:rsidP="00461C6F">
            <w:pPr>
              <w:jc w:val="center"/>
              <w:rPr>
                <w:rFonts w:ascii="Arial" w:hAnsi="Arial" w:cs="Arial"/>
                <w:lang w:val="en-GB"/>
              </w:rPr>
            </w:pPr>
            <w:r w:rsidRPr="00461C6F">
              <w:rPr>
                <w:rFonts w:ascii="Arial" w:hAnsi="Arial" w:cs="Arial"/>
                <w:lang w:val="en-GB"/>
              </w:rPr>
              <w:t>5</w:t>
            </w:r>
          </w:p>
        </w:tc>
        <w:tc>
          <w:tcPr>
            <w:tcW w:w="1858" w:type="dxa"/>
            <w:shd w:val="clear" w:color="auto" w:fill="auto"/>
          </w:tcPr>
          <w:p w:rsidR="0067407A" w:rsidRPr="00461C6F" w:rsidRDefault="00EC0B7A" w:rsidP="00461C6F">
            <w:pPr>
              <w:jc w:val="center"/>
              <w:rPr>
                <w:rFonts w:ascii="Arial" w:hAnsi="Arial" w:cs="Arial"/>
                <w:lang w:val="en-GB"/>
              </w:rPr>
            </w:pPr>
            <w:r>
              <w:rPr>
                <w:rFonts w:ascii="Arial" w:hAnsi="Arial" w:cs="Arial"/>
                <w:lang w:val="en-GB"/>
              </w:rPr>
              <w:t>5</w:t>
            </w:r>
          </w:p>
        </w:tc>
      </w:tr>
    </w:tbl>
    <w:p w:rsidR="0067407A" w:rsidRDefault="0067407A" w:rsidP="00A23872">
      <w:pPr>
        <w:jc w:val="both"/>
        <w:rPr>
          <w:rFonts w:ascii="Arial" w:hAnsi="Arial" w:cs="Arial"/>
          <w:lang w:val="en-GB"/>
        </w:rPr>
      </w:pPr>
    </w:p>
    <w:p w:rsidR="00A23872" w:rsidRDefault="00A23872" w:rsidP="00A23872">
      <w:pPr>
        <w:jc w:val="both"/>
        <w:rPr>
          <w:rFonts w:ascii="Arial" w:hAnsi="Arial" w:cs="Arial"/>
          <w:lang w:val="en-GB"/>
        </w:rPr>
      </w:pPr>
    </w:p>
    <w:p w:rsidR="00A23872" w:rsidRDefault="00A23872" w:rsidP="00A23872">
      <w:pPr>
        <w:jc w:val="both"/>
        <w:rPr>
          <w:rFonts w:ascii="Arial" w:hAnsi="Arial" w:cs="Arial"/>
          <w:lang w:val="en-GB"/>
        </w:rPr>
      </w:pPr>
    </w:p>
    <w:p w:rsidR="001D6D9E" w:rsidRPr="001D6D9E" w:rsidRDefault="001D6D9E" w:rsidP="001D6D9E">
      <w:pPr>
        <w:numPr>
          <w:ilvl w:val="0"/>
          <w:numId w:val="30"/>
        </w:numPr>
        <w:jc w:val="both"/>
        <w:rPr>
          <w:rFonts w:ascii="Arial" w:hAnsi="Arial" w:cs="Arial"/>
          <w:b/>
          <w:lang w:val="en-GB"/>
        </w:rPr>
      </w:pPr>
      <w:r w:rsidRPr="001D6D9E">
        <w:rPr>
          <w:rFonts w:ascii="Arial" w:hAnsi="Arial" w:cs="Arial"/>
          <w:b/>
          <w:lang w:val="en-GB"/>
        </w:rPr>
        <w:t>Discussion in the Working Group</w:t>
      </w:r>
    </w:p>
    <w:p w:rsidR="001D6D9E" w:rsidRDefault="001D6D9E" w:rsidP="001D6D9E">
      <w:pPr>
        <w:jc w:val="both"/>
        <w:rPr>
          <w:rFonts w:ascii="Arial" w:hAnsi="Arial" w:cs="Arial"/>
          <w:lang w:val="en-GB"/>
        </w:rPr>
      </w:pPr>
    </w:p>
    <w:p w:rsidR="008A7F15" w:rsidRDefault="008A7F15" w:rsidP="001D6D9E">
      <w:pPr>
        <w:jc w:val="both"/>
        <w:rPr>
          <w:rFonts w:ascii="Arial" w:hAnsi="Arial" w:cs="Arial"/>
          <w:lang w:val="en-GB"/>
        </w:rPr>
      </w:pPr>
      <w:r>
        <w:rPr>
          <w:rFonts w:ascii="Arial" w:hAnsi="Arial" w:cs="Arial"/>
          <w:lang w:val="en-GB"/>
        </w:rPr>
        <w:t xml:space="preserve">The Members of the Working Group considered that the </w:t>
      </w:r>
      <w:r w:rsidR="00091E08">
        <w:rPr>
          <w:rFonts w:ascii="Arial" w:hAnsi="Arial" w:cs="Arial"/>
          <w:lang w:val="en-GB"/>
        </w:rPr>
        <w:t>changes</w:t>
      </w:r>
      <w:r w:rsidR="00521DA5">
        <w:rPr>
          <w:rFonts w:ascii="Arial" w:hAnsi="Arial" w:cs="Arial"/>
          <w:lang w:val="en-GB"/>
        </w:rPr>
        <w:t xml:space="preserve"> (turn-over)</w:t>
      </w:r>
      <w:r w:rsidR="00091E08">
        <w:rPr>
          <w:rFonts w:ascii="Arial" w:hAnsi="Arial" w:cs="Arial"/>
          <w:lang w:val="en-GB"/>
        </w:rPr>
        <w:t xml:space="preserve"> with respect to the in total </w:t>
      </w:r>
      <w:r w:rsidR="00521DA5">
        <w:rPr>
          <w:rFonts w:ascii="Arial" w:hAnsi="Arial" w:cs="Arial"/>
          <w:lang w:val="en-GB"/>
        </w:rPr>
        <w:t>4</w:t>
      </w:r>
      <w:r w:rsidR="00091E08">
        <w:rPr>
          <w:rFonts w:ascii="Arial" w:hAnsi="Arial" w:cs="Arial"/>
          <w:lang w:val="en-GB"/>
        </w:rPr>
        <w:t>2 executive posts are</w:t>
      </w:r>
      <w:r>
        <w:rPr>
          <w:rFonts w:ascii="Arial" w:hAnsi="Arial" w:cs="Arial"/>
          <w:lang w:val="en-GB"/>
        </w:rPr>
        <w:t xml:space="preserve"> quite remarkable</w:t>
      </w:r>
      <w:r w:rsidR="0067407A">
        <w:rPr>
          <w:rFonts w:ascii="Arial" w:hAnsi="Arial" w:cs="Arial"/>
          <w:lang w:val="en-GB"/>
        </w:rPr>
        <w:t xml:space="preserve"> over the last four school years.</w:t>
      </w:r>
      <w:r>
        <w:rPr>
          <w:rFonts w:ascii="Arial" w:hAnsi="Arial" w:cs="Arial"/>
          <w:lang w:val="en-GB"/>
        </w:rPr>
        <w:t xml:space="preserve"> </w:t>
      </w:r>
    </w:p>
    <w:p w:rsidR="008A7F15" w:rsidRDefault="008A7F15" w:rsidP="001D6D9E">
      <w:pPr>
        <w:jc w:val="both"/>
        <w:rPr>
          <w:rFonts w:ascii="Arial" w:hAnsi="Arial" w:cs="Arial"/>
          <w:lang w:val="en-GB"/>
        </w:rPr>
      </w:pPr>
    </w:p>
    <w:p w:rsidR="008A7F15" w:rsidRDefault="008A7F15" w:rsidP="001D6D9E">
      <w:pPr>
        <w:jc w:val="both"/>
        <w:rPr>
          <w:rFonts w:ascii="Arial" w:hAnsi="Arial" w:cs="Arial"/>
          <w:lang w:val="en-GB"/>
        </w:rPr>
      </w:pPr>
      <w:r>
        <w:rPr>
          <w:rFonts w:ascii="Arial" w:hAnsi="Arial" w:cs="Arial"/>
          <w:lang w:val="en-GB"/>
        </w:rPr>
        <w:t xml:space="preserve">Moreover, the </w:t>
      </w:r>
      <w:r w:rsidR="001D6D9E">
        <w:rPr>
          <w:rFonts w:ascii="Arial" w:hAnsi="Arial" w:cs="Arial"/>
          <w:lang w:val="en-GB"/>
        </w:rPr>
        <w:t xml:space="preserve">members of the Working Group agreed that the transfer of Directors from one School to another School at the end of the fifth or sixth year of their secondment should not be enforced as the possibilities of transfer are limited. </w:t>
      </w:r>
    </w:p>
    <w:p w:rsidR="008A7F15" w:rsidRDefault="008A7F15" w:rsidP="001D6D9E">
      <w:pPr>
        <w:jc w:val="both"/>
        <w:rPr>
          <w:rFonts w:ascii="Arial" w:hAnsi="Arial" w:cs="Arial"/>
          <w:lang w:val="en-GB"/>
        </w:rPr>
      </w:pPr>
    </w:p>
    <w:p w:rsidR="001D6D9E" w:rsidRDefault="001D6D9E" w:rsidP="001D6D9E">
      <w:pPr>
        <w:jc w:val="both"/>
        <w:rPr>
          <w:rFonts w:ascii="Arial" w:hAnsi="Arial" w:cs="Arial"/>
          <w:lang w:val="en-GB"/>
        </w:rPr>
      </w:pPr>
      <w:r>
        <w:rPr>
          <w:rFonts w:ascii="Arial" w:hAnsi="Arial" w:cs="Arial"/>
          <w:lang w:val="en-GB"/>
        </w:rPr>
        <w:t xml:space="preserve">Nevertheless, the criteria, the conditions and the procedure to allow a transfer could be reviewed in order to stress </w:t>
      </w:r>
      <w:r w:rsidR="00091E08">
        <w:rPr>
          <w:rFonts w:ascii="Arial" w:hAnsi="Arial" w:cs="Arial"/>
          <w:lang w:val="en-GB"/>
        </w:rPr>
        <w:t>clearer</w:t>
      </w:r>
      <w:r>
        <w:rPr>
          <w:rFonts w:ascii="Arial" w:hAnsi="Arial" w:cs="Arial"/>
          <w:lang w:val="en-GB"/>
        </w:rPr>
        <w:t xml:space="preserve"> that a transfer has to be i</w:t>
      </w:r>
      <w:r w:rsidR="0067407A">
        <w:rPr>
          <w:rFonts w:ascii="Arial" w:hAnsi="Arial" w:cs="Arial"/>
          <w:lang w:val="en-GB"/>
        </w:rPr>
        <w:t xml:space="preserve">n the interest of the </w:t>
      </w:r>
      <w:r w:rsidR="0067407A">
        <w:rPr>
          <w:rFonts w:ascii="Arial" w:hAnsi="Arial" w:cs="Arial"/>
          <w:lang w:val="en-GB"/>
        </w:rPr>
        <w:lastRenderedPageBreak/>
        <w:t xml:space="preserve">service. </w:t>
      </w:r>
      <w:r>
        <w:rPr>
          <w:rFonts w:ascii="Arial" w:hAnsi="Arial" w:cs="Arial"/>
          <w:lang w:val="en-GB"/>
        </w:rPr>
        <w:t xml:space="preserve">In this context it was stressed that </w:t>
      </w:r>
      <w:r w:rsidR="00982B7F">
        <w:rPr>
          <w:rFonts w:ascii="Arial" w:hAnsi="Arial" w:cs="Arial"/>
          <w:lang w:val="en-GB"/>
        </w:rPr>
        <w:t>it should be avoided that all three executive pedagogical functions become vacant at the same time.</w:t>
      </w:r>
      <w:r>
        <w:rPr>
          <w:rFonts w:ascii="Arial" w:hAnsi="Arial" w:cs="Arial"/>
          <w:lang w:val="en-GB"/>
        </w:rPr>
        <w:t xml:space="preserve"> </w:t>
      </w:r>
    </w:p>
    <w:p w:rsidR="00982B7F" w:rsidRDefault="00982B7F" w:rsidP="001D6D9E">
      <w:pPr>
        <w:jc w:val="both"/>
        <w:rPr>
          <w:rFonts w:ascii="Arial" w:hAnsi="Arial" w:cs="Arial"/>
          <w:lang w:val="en-GB"/>
        </w:rPr>
      </w:pPr>
    </w:p>
    <w:p w:rsidR="00982B7F" w:rsidRDefault="00982B7F" w:rsidP="001D6D9E">
      <w:pPr>
        <w:jc w:val="both"/>
        <w:rPr>
          <w:rFonts w:ascii="Arial" w:hAnsi="Arial" w:cs="Arial"/>
          <w:lang w:val="en-GB"/>
        </w:rPr>
      </w:pPr>
      <w:r>
        <w:rPr>
          <w:rFonts w:ascii="Arial" w:hAnsi="Arial" w:cs="Arial"/>
          <w:lang w:val="en-GB"/>
        </w:rPr>
        <w:t xml:space="preserve">Finally, it should be kept in mind that the </w:t>
      </w:r>
      <w:r w:rsidRPr="00982B7F">
        <w:rPr>
          <w:rFonts w:ascii="Arial" w:hAnsi="Arial" w:cs="Arial"/>
          <w:lang w:val="en-GB"/>
        </w:rPr>
        <w:t xml:space="preserve">German Presidency is promoting a proposal to mandate a new Working Group to deal </w:t>
      </w:r>
      <w:r>
        <w:rPr>
          <w:rFonts w:ascii="Arial" w:hAnsi="Arial" w:cs="Arial"/>
          <w:lang w:val="en-GB"/>
        </w:rPr>
        <w:t xml:space="preserve">also </w:t>
      </w:r>
      <w:r w:rsidRPr="00982B7F">
        <w:rPr>
          <w:rFonts w:ascii="Arial" w:hAnsi="Arial" w:cs="Arial"/>
          <w:lang w:val="en-GB"/>
        </w:rPr>
        <w:t xml:space="preserve">with the </w:t>
      </w:r>
      <w:r>
        <w:rPr>
          <w:rFonts w:ascii="Arial" w:hAnsi="Arial" w:cs="Arial"/>
          <w:lang w:val="en-GB"/>
        </w:rPr>
        <w:t>recruitment, profile and duties and the modalities of the transfer of Directors and Deputy Directors.</w:t>
      </w:r>
    </w:p>
    <w:p w:rsidR="00982B7F" w:rsidRDefault="00982B7F" w:rsidP="001D6D9E">
      <w:pPr>
        <w:jc w:val="both"/>
        <w:rPr>
          <w:rFonts w:ascii="Arial" w:hAnsi="Arial" w:cs="Arial"/>
          <w:lang w:val="en-GB"/>
        </w:rPr>
      </w:pPr>
    </w:p>
    <w:p w:rsidR="00982B7F" w:rsidRDefault="00982B7F" w:rsidP="001D6D9E">
      <w:pPr>
        <w:jc w:val="both"/>
        <w:rPr>
          <w:rFonts w:ascii="Arial" w:hAnsi="Arial" w:cs="Arial"/>
          <w:lang w:val="en-GB"/>
        </w:rPr>
      </w:pPr>
    </w:p>
    <w:p w:rsidR="00982B7F" w:rsidRPr="00982B7F" w:rsidRDefault="00982B7F" w:rsidP="00982B7F">
      <w:pPr>
        <w:numPr>
          <w:ilvl w:val="0"/>
          <w:numId w:val="30"/>
        </w:numPr>
        <w:jc w:val="both"/>
        <w:rPr>
          <w:rFonts w:ascii="Arial" w:hAnsi="Arial" w:cs="Arial"/>
          <w:b/>
          <w:lang w:val="en-GB"/>
        </w:rPr>
      </w:pPr>
      <w:r w:rsidRPr="00982B7F">
        <w:rPr>
          <w:rFonts w:ascii="Arial" w:hAnsi="Arial" w:cs="Arial"/>
          <w:b/>
          <w:lang w:val="en-GB"/>
        </w:rPr>
        <w:t>Recommendation of the Working Group</w:t>
      </w:r>
    </w:p>
    <w:p w:rsidR="00982B7F" w:rsidRDefault="00982B7F" w:rsidP="00982B7F">
      <w:pPr>
        <w:jc w:val="both"/>
        <w:rPr>
          <w:rFonts w:ascii="Arial" w:hAnsi="Arial" w:cs="Arial"/>
          <w:lang w:val="en-GB"/>
        </w:rPr>
      </w:pPr>
    </w:p>
    <w:p w:rsidR="00982B7F" w:rsidRDefault="00982B7F" w:rsidP="0067407A">
      <w:pPr>
        <w:numPr>
          <w:ilvl w:val="0"/>
          <w:numId w:val="33"/>
        </w:numPr>
        <w:jc w:val="both"/>
        <w:rPr>
          <w:rFonts w:ascii="Arial" w:hAnsi="Arial" w:cs="Arial"/>
          <w:lang w:val="en-GB"/>
        </w:rPr>
      </w:pPr>
      <w:r>
        <w:rPr>
          <w:rFonts w:ascii="Arial" w:hAnsi="Arial" w:cs="Arial"/>
          <w:lang w:val="en-GB"/>
        </w:rPr>
        <w:t xml:space="preserve">The Working Group recommends that the transfer of Directors and Deputy Directors should </w:t>
      </w:r>
      <w:r w:rsidR="0067407A">
        <w:rPr>
          <w:rFonts w:ascii="Arial" w:hAnsi="Arial" w:cs="Arial"/>
          <w:lang w:val="en-GB"/>
        </w:rPr>
        <w:t>stay voluntary</w:t>
      </w:r>
      <w:r>
        <w:rPr>
          <w:rFonts w:ascii="Arial" w:hAnsi="Arial" w:cs="Arial"/>
          <w:lang w:val="en-GB"/>
        </w:rPr>
        <w:t>.</w:t>
      </w:r>
    </w:p>
    <w:p w:rsidR="00982B7F" w:rsidRDefault="00982B7F" w:rsidP="00982B7F">
      <w:pPr>
        <w:jc w:val="both"/>
        <w:rPr>
          <w:rFonts w:ascii="Arial" w:hAnsi="Arial" w:cs="Arial"/>
          <w:lang w:val="en-GB"/>
        </w:rPr>
      </w:pPr>
    </w:p>
    <w:p w:rsidR="00982B7F" w:rsidRDefault="00982B7F" w:rsidP="0067407A">
      <w:pPr>
        <w:numPr>
          <w:ilvl w:val="0"/>
          <w:numId w:val="33"/>
        </w:numPr>
        <w:jc w:val="both"/>
        <w:rPr>
          <w:rFonts w:ascii="Arial" w:hAnsi="Arial" w:cs="Arial"/>
          <w:lang w:val="en-GB"/>
        </w:rPr>
      </w:pPr>
      <w:r>
        <w:rPr>
          <w:rFonts w:ascii="Arial" w:hAnsi="Arial" w:cs="Arial"/>
          <w:lang w:val="en-GB"/>
        </w:rPr>
        <w:t xml:space="preserve">Moreover, the rules for transfer should be reviewed either by this Working Group or by the requested new Working Group dealing with the recruitment and </w:t>
      </w:r>
      <w:r w:rsidR="00091E08">
        <w:rPr>
          <w:rFonts w:ascii="Arial" w:hAnsi="Arial" w:cs="Arial"/>
          <w:lang w:val="en-GB"/>
        </w:rPr>
        <w:t>appointment and</w:t>
      </w:r>
      <w:r>
        <w:rPr>
          <w:rFonts w:ascii="Arial" w:hAnsi="Arial" w:cs="Arial"/>
          <w:lang w:val="en-GB"/>
        </w:rPr>
        <w:t xml:space="preserve"> the profile and duties of</w:t>
      </w:r>
      <w:r w:rsidR="0067407A">
        <w:rPr>
          <w:rFonts w:ascii="Arial" w:hAnsi="Arial" w:cs="Arial"/>
          <w:lang w:val="en-GB"/>
        </w:rPr>
        <w:t xml:space="preserve"> Directors and Deputy Directors.</w:t>
      </w:r>
    </w:p>
    <w:p w:rsidR="00982B7F" w:rsidRDefault="00982B7F" w:rsidP="00982B7F">
      <w:pPr>
        <w:jc w:val="both"/>
        <w:rPr>
          <w:rFonts w:ascii="Arial" w:hAnsi="Arial" w:cs="Arial"/>
          <w:lang w:val="en-GB"/>
        </w:rPr>
      </w:pPr>
      <w:r>
        <w:rPr>
          <w:rFonts w:ascii="Arial" w:hAnsi="Arial" w:cs="Arial"/>
          <w:lang w:val="en-GB"/>
        </w:rPr>
        <w:t xml:space="preserve"> </w:t>
      </w:r>
    </w:p>
    <w:p w:rsidR="00982B7F" w:rsidRDefault="00982B7F" w:rsidP="00982B7F">
      <w:pPr>
        <w:jc w:val="both"/>
        <w:rPr>
          <w:rFonts w:ascii="Arial" w:hAnsi="Arial" w:cs="Arial"/>
          <w:lang w:val="en-GB"/>
        </w:rPr>
      </w:pPr>
    </w:p>
    <w:p w:rsidR="001D6D9E" w:rsidRDefault="001D6D9E" w:rsidP="001D6D9E">
      <w:pPr>
        <w:jc w:val="both"/>
        <w:rPr>
          <w:rFonts w:ascii="Arial" w:hAnsi="Arial" w:cs="Arial"/>
          <w:lang w:val="en-GB"/>
        </w:rPr>
      </w:pPr>
    </w:p>
    <w:p w:rsidR="002E342E" w:rsidRDefault="002E342E" w:rsidP="002E342E">
      <w:pPr>
        <w:numPr>
          <w:ilvl w:val="0"/>
          <w:numId w:val="27"/>
        </w:numPr>
        <w:jc w:val="both"/>
        <w:rPr>
          <w:rFonts w:ascii="Arial" w:hAnsi="Arial" w:cs="Arial"/>
          <w:b/>
          <w:lang w:val="en-GB"/>
        </w:rPr>
      </w:pPr>
      <w:r>
        <w:rPr>
          <w:rFonts w:ascii="Arial" w:hAnsi="Arial" w:cs="Arial"/>
          <w:b/>
          <w:lang w:val="en-GB"/>
        </w:rPr>
        <w:t>Teaching staff</w:t>
      </w:r>
    </w:p>
    <w:p w:rsidR="00982B7F" w:rsidRDefault="00982B7F" w:rsidP="00982B7F">
      <w:pPr>
        <w:jc w:val="both"/>
        <w:rPr>
          <w:rFonts w:ascii="Arial" w:hAnsi="Arial" w:cs="Arial"/>
          <w:b/>
          <w:lang w:val="en-GB"/>
        </w:rPr>
      </w:pPr>
    </w:p>
    <w:p w:rsidR="00C71199" w:rsidRDefault="002E342E" w:rsidP="002E342E">
      <w:pPr>
        <w:jc w:val="both"/>
        <w:rPr>
          <w:rFonts w:ascii="Arial" w:hAnsi="Arial" w:cs="Arial"/>
          <w:lang w:val="en-GB"/>
        </w:rPr>
      </w:pPr>
      <w:r>
        <w:rPr>
          <w:rFonts w:ascii="Arial" w:hAnsi="Arial" w:cs="Arial"/>
          <w:lang w:val="en-GB"/>
        </w:rPr>
        <w:t>With respect to the ‘teaching staff’ a distinction has to be made between seconded teaching staff and locally recruited teach</w:t>
      </w:r>
      <w:r w:rsidR="00C71199">
        <w:rPr>
          <w:rFonts w:ascii="Arial" w:hAnsi="Arial" w:cs="Arial"/>
          <w:lang w:val="en-GB"/>
        </w:rPr>
        <w:t>ing staff.</w:t>
      </w:r>
    </w:p>
    <w:p w:rsidR="00C71199" w:rsidRDefault="00C71199" w:rsidP="002E342E">
      <w:pPr>
        <w:jc w:val="both"/>
        <w:rPr>
          <w:rFonts w:ascii="Arial" w:hAnsi="Arial" w:cs="Arial"/>
          <w:lang w:val="en-GB"/>
        </w:rPr>
      </w:pPr>
    </w:p>
    <w:p w:rsidR="00C71199" w:rsidRDefault="00C71199" w:rsidP="002E342E">
      <w:pPr>
        <w:jc w:val="both"/>
        <w:rPr>
          <w:rFonts w:ascii="Arial" w:hAnsi="Arial" w:cs="Arial"/>
          <w:lang w:val="en-GB"/>
        </w:rPr>
      </w:pPr>
    </w:p>
    <w:p w:rsidR="00C71199" w:rsidRDefault="00982B7F" w:rsidP="002E342E">
      <w:pPr>
        <w:jc w:val="both"/>
        <w:rPr>
          <w:rFonts w:ascii="Arial" w:hAnsi="Arial" w:cs="Arial"/>
          <w:b/>
          <w:lang w:val="en-GB"/>
        </w:rPr>
      </w:pPr>
      <w:r>
        <w:rPr>
          <w:rFonts w:ascii="Arial" w:hAnsi="Arial" w:cs="Arial"/>
          <w:b/>
          <w:lang w:val="en-GB"/>
        </w:rPr>
        <w:t>a</w:t>
      </w:r>
      <w:r w:rsidR="00C71199">
        <w:rPr>
          <w:rFonts w:ascii="Arial" w:hAnsi="Arial" w:cs="Arial"/>
          <w:b/>
          <w:lang w:val="en-GB"/>
        </w:rPr>
        <w:t>) Seconded teaching staff</w:t>
      </w:r>
    </w:p>
    <w:p w:rsidR="00C71199" w:rsidRDefault="00C71199" w:rsidP="002E342E">
      <w:pPr>
        <w:jc w:val="both"/>
        <w:rPr>
          <w:rFonts w:ascii="Arial" w:hAnsi="Arial" w:cs="Arial"/>
          <w:b/>
          <w:lang w:val="en-GB"/>
        </w:rPr>
      </w:pPr>
    </w:p>
    <w:p w:rsidR="00982B7F" w:rsidRDefault="00982B7F" w:rsidP="002E342E">
      <w:pPr>
        <w:jc w:val="both"/>
        <w:rPr>
          <w:rFonts w:ascii="Arial" w:hAnsi="Arial" w:cs="Arial"/>
          <w:b/>
          <w:lang w:val="en-GB"/>
        </w:rPr>
      </w:pPr>
      <w:r>
        <w:rPr>
          <w:rFonts w:ascii="Arial" w:hAnsi="Arial" w:cs="Arial"/>
          <w:b/>
          <w:lang w:val="en-GB"/>
        </w:rPr>
        <w:t>aa) Current situation</w:t>
      </w:r>
    </w:p>
    <w:p w:rsidR="00982B7F" w:rsidRPr="00C71199" w:rsidRDefault="00982B7F" w:rsidP="002E342E">
      <w:pPr>
        <w:jc w:val="both"/>
        <w:rPr>
          <w:rFonts w:ascii="Arial" w:hAnsi="Arial" w:cs="Arial"/>
          <w:b/>
          <w:lang w:val="en-GB"/>
        </w:rPr>
      </w:pPr>
    </w:p>
    <w:p w:rsidR="00C71199" w:rsidRDefault="00C71199" w:rsidP="002E342E">
      <w:pPr>
        <w:jc w:val="both"/>
        <w:rPr>
          <w:rFonts w:ascii="Arial" w:hAnsi="Arial" w:cs="Arial"/>
          <w:lang w:val="en-GB"/>
        </w:rPr>
      </w:pPr>
      <w:r>
        <w:rPr>
          <w:rFonts w:ascii="Arial" w:hAnsi="Arial" w:cs="Arial"/>
          <w:lang w:val="en-GB"/>
        </w:rPr>
        <w:t>The secondment of the teaching staff is generally limited to nine years in accordance with Article 29 a) of the Regulations for Seconded Staff Members of the European Schools.</w:t>
      </w:r>
    </w:p>
    <w:p w:rsidR="00C71199" w:rsidRDefault="00C71199" w:rsidP="002E342E">
      <w:pPr>
        <w:jc w:val="both"/>
        <w:rPr>
          <w:rFonts w:ascii="Arial" w:hAnsi="Arial" w:cs="Arial"/>
          <w:lang w:val="en-GB"/>
        </w:rPr>
      </w:pPr>
      <w:r>
        <w:rPr>
          <w:rFonts w:ascii="Arial" w:hAnsi="Arial" w:cs="Arial"/>
          <w:lang w:val="en-GB"/>
        </w:rPr>
        <w:t>The mobility of seconded teaching staff is not promoted. Nevertheless, Article 4.2 of the Regulations for Seconded Staff Members allows a transfer from one to another school under certain conditions and reads as follows:</w:t>
      </w:r>
    </w:p>
    <w:p w:rsidR="00C71199" w:rsidRDefault="00C71199" w:rsidP="002E342E">
      <w:pPr>
        <w:jc w:val="both"/>
        <w:rPr>
          <w:rFonts w:ascii="Arial" w:hAnsi="Arial" w:cs="Arial"/>
          <w:lang w:val="en-GB"/>
        </w:rPr>
      </w:pPr>
      <w:r>
        <w:rPr>
          <w:rFonts w:ascii="Arial" w:hAnsi="Arial" w:cs="Arial"/>
          <w:lang w:val="en-GB"/>
        </w:rPr>
        <w:t xml:space="preserve"> </w:t>
      </w:r>
    </w:p>
    <w:p w:rsidR="00C71199" w:rsidRDefault="002E342E" w:rsidP="002E342E">
      <w:pPr>
        <w:jc w:val="both"/>
        <w:rPr>
          <w:rFonts w:ascii="Arial" w:hAnsi="Arial" w:cs="Arial"/>
          <w:i/>
          <w:lang w:val="en-GB"/>
        </w:rPr>
      </w:pPr>
      <w:r>
        <w:rPr>
          <w:rFonts w:ascii="Arial" w:hAnsi="Arial" w:cs="Arial"/>
          <w:lang w:val="en-GB"/>
        </w:rPr>
        <w:t xml:space="preserve"> </w:t>
      </w:r>
      <w:r w:rsidR="00C71199" w:rsidRPr="00C71199">
        <w:rPr>
          <w:rFonts w:ascii="Arial" w:hAnsi="Arial" w:cs="Arial"/>
          <w:i/>
          <w:lang w:val="en-GB"/>
        </w:rPr>
        <w:t>‘At the request of a member of staff, on the advice of the Director and on a proposal from the relevant national Inspector, the seconding authority may authorise a transf</w:t>
      </w:r>
      <w:r w:rsidR="00AA5160">
        <w:rPr>
          <w:rFonts w:ascii="Arial" w:hAnsi="Arial" w:cs="Arial"/>
          <w:i/>
          <w:lang w:val="en-GB"/>
        </w:rPr>
        <w:t xml:space="preserve">er from one School to another. </w:t>
      </w:r>
      <w:r w:rsidR="00C71199" w:rsidRPr="00C71199">
        <w:rPr>
          <w:rFonts w:ascii="Arial" w:hAnsi="Arial" w:cs="Arial"/>
          <w:i/>
          <w:lang w:val="en-GB"/>
        </w:rPr>
        <w:t>However, such authorisation may only as a rule be granted once, on completion of the first five years of secondment. It shall in no way modify the total length of secondment (nine years) referred to in Article 29 of these Regulations.</w:t>
      </w:r>
      <w:r w:rsidR="00C71199">
        <w:rPr>
          <w:rFonts w:ascii="Arial" w:hAnsi="Arial" w:cs="Arial"/>
          <w:i/>
          <w:lang w:val="en-GB"/>
        </w:rPr>
        <w:t>’</w:t>
      </w:r>
    </w:p>
    <w:p w:rsidR="00C71199" w:rsidRDefault="00C71199" w:rsidP="002E342E">
      <w:pPr>
        <w:jc w:val="both"/>
        <w:rPr>
          <w:rFonts w:ascii="Arial" w:hAnsi="Arial" w:cs="Arial"/>
          <w:i/>
          <w:lang w:val="en-GB"/>
        </w:rPr>
      </w:pPr>
    </w:p>
    <w:p w:rsidR="00C71199" w:rsidRDefault="00C71199" w:rsidP="002E342E">
      <w:pPr>
        <w:jc w:val="both"/>
        <w:rPr>
          <w:rFonts w:ascii="Arial" w:hAnsi="Arial" w:cs="Arial"/>
          <w:lang w:val="en-GB"/>
        </w:rPr>
      </w:pPr>
      <w:r>
        <w:rPr>
          <w:rFonts w:ascii="Arial" w:hAnsi="Arial" w:cs="Arial"/>
          <w:lang w:val="en-GB"/>
        </w:rPr>
        <w:t xml:space="preserve">Article 4.2 </w:t>
      </w:r>
      <w:r w:rsidR="0067407A">
        <w:rPr>
          <w:rFonts w:ascii="Arial" w:hAnsi="Arial" w:cs="Arial"/>
          <w:lang w:val="en-GB"/>
        </w:rPr>
        <w:t xml:space="preserve">of the Staff Regulations </w:t>
      </w:r>
      <w:r>
        <w:rPr>
          <w:rFonts w:ascii="Arial" w:hAnsi="Arial" w:cs="Arial"/>
          <w:lang w:val="en-GB"/>
        </w:rPr>
        <w:t>can be read as an exception from the rule which does not envisage mobility of seconded teachers.</w:t>
      </w:r>
      <w:r w:rsidR="006D171A">
        <w:rPr>
          <w:rFonts w:ascii="Arial" w:hAnsi="Arial" w:cs="Arial"/>
          <w:lang w:val="en-GB"/>
        </w:rPr>
        <w:t xml:space="preserve"> Nevertheless, if a transfer is authorised the teacher concerned will receive the allowances linked to </w:t>
      </w:r>
      <w:r w:rsidR="00AA5160">
        <w:rPr>
          <w:rFonts w:ascii="Arial" w:hAnsi="Arial" w:cs="Arial"/>
          <w:lang w:val="en-GB"/>
        </w:rPr>
        <w:t>the</w:t>
      </w:r>
      <w:r w:rsidR="006D171A">
        <w:rPr>
          <w:rFonts w:ascii="Arial" w:hAnsi="Arial" w:cs="Arial"/>
          <w:lang w:val="en-GB"/>
        </w:rPr>
        <w:t xml:space="preserve"> transfer (removal and installation allowance) and will keep his/her seniority.</w:t>
      </w:r>
    </w:p>
    <w:p w:rsidR="00C71199" w:rsidRDefault="00C71199" w:rsidP="002E342E">
      <w:pPr>
        <w:jc w:val="both"/>
        <w:rPr>
          <w:rFonts w:ascii="Arial" w:hAnsi="Arial" w:cs="Arial"/>
          <w:lang w:val="en-GB"/>
        </w:rPr>
      </w:pPr>
    </w:p>
    <w:p w:rsidR="00695BA5" w:rsidRDefault="0067407A" w:rsidP="002E342E">
      <w:pPr>
        <w:jc w:val="both"/>
        <w:rPr>
          <w:rFonts w:ascii="Arial" w:hAnsi="Arial" w:cs="Arial"/>
          <w:lang w:val="en-GB"/>
        </w:rPr>
      </w:pPr>
      <w:r>
        <w:rPr>
          <w:rFonts w:ascii="Arial" w:hAnsi="Arial" w:cs="Arial"/>
          <w:lang w:val="en-GB"/>
        </w:rPr>
        <w:br w:type="page"/>
      </w:r>
    </w:p>
    <w:p w:rsidR="00C71199" w:rsidRPr="00982B7F" w:rsidRDefault="00982B7F" w:rsidP="002E342E">
      <w:pPr>
        <w:jc w:val="both"/>
        <w:rPr>
          <w:rFonts w:ascii="Arial" w:hAnsi="Arial" w:cs="Arial"/>
          <w:b/>
          <w:lang w:val="en-GB"/>
        </w:rPr>
      </w:pPr>
      <w:r w:rsidRPr="00982B7F">
        <w:rPr>
          <w:rFonts w:ascii="Arial" w:hAnsi="Arial" w:cs="Arial"/>
          <w:b/>
          <w:lang w:val="en-GB"/>
        </w:rPr>
        <w:t>bb) Discussion in the Working Group</w:t>
      </w:r>
    </w:p>
    <w:p w:rsidR="00982B7F" w:rsidRDefault="00982B7F" w:rsidP="002E342E">
      <w:pPr>
        <w:jc w:val="both"/>
        <w:rPr>
          <w:rFonts w:ascii="Arial" w:hAnsi="Arial" w:cs="Arial"/>
          <w:b/>
          <w:lang w:val="en-GB"/>
        </w:rPr>
      </w:pPr>
    </w:p>
    <w:p w:rsidR="00695BA5" w:rsidRDefault="00695BA5" w:rsidP="002E342E">
      <w:pPr>
        <w:jc w:val="both"/>
        <w:rPr>
          <w:rFonts w:ascii="Arial" w:hAnsi="Arial" w:cs="Arial"/>
          <w:lang w:val="en-GB"/>
        </w:rPr>
      </w:pPr>
      <w:r>
        <w:rPr>
          <w:rFonts w:ascii="Arial" w:hAnsi="Arial" w:cs="Arial"/>
          <w:lang w:val="en-GB"/>
        </w:rPr>
        <w:t xml:space="preserve">The members of the Working Group considered that mobility of seconded teachers is not a priority. </w:t>
      </w:r>
    </w:p>
    <w:p w:rsidR="00695BA5" w:rsidRDefault="006C294B" w:rsidP="002E342E">
      <w:pPr>
        <w:jc w:val="both"/>
        <w:rPr>
          <w:rFonts w:ascii="Arial" w:hAnsi="Arial" w:cs="Arial"/>
          <w:lang w:val="en-GB"/>
        </w:rPr>
      </w:pPr>
      <w:r>
        <w:rPr>
          <w:rFonts w:ascii="Arial" w:hAnsi="Arial" w:cs="Arial"/>
          <w:lang w:val="en-GB"/>
        </w:rPr>
        <w:t>Although a need of further harmonisation between Schools, language sections etc; was agreed, it was preferred that other tools to ensure further harmonisation, like in particular common training sessions, should be further explored.</w:t>
      </w:r>
    </w:p>
    <w:p w:rsidR="006C294B" w:rsidRDefault="006C294B" w:rsidP="002E342E">
      <w:pPr>
        <w:jc w:val="both"/>
        <w:rPr>
          <w:rFonts w:ascii="Arial" w:hAnsi="Arial" w:cs="Arial"/>
          <w:lang w:val="en-GB"/>
        </w:rPr>
      </w:pPr>
    </w:p>
    <w:p w:rsidR="00695BA5" w:rsidRPr="00695BA5" w:rsidRDefault="00695BA5" w:rsidP="002E342E">
      <w:pPr>
        <w:jc w:val="both"/>
        <w:rPr>
          <w:rFonts w:ascii="Arial" w:hAnsi="Arial" w:cs="Arial"/>
          <w:lang w:val="en-GB"/>
        </w:rPr>
      </w:pPr>
      <w:r>
        <w:rPr>
          <w:rFonts w:ascii="Arial" w:hAnsi="Arial" w:cs="Arial"/>
          <w:lang w:val="en-GB"/>
        </w:rPr>
        <w:t xml:space="preserve"> </w:t>
      </w:r>
    </w:p>
    <w:p w:rsidR="00982B7F" w:rsidRPr="00982B7F" w:rsidRDefault="00982B7F" w:rsidP="002E342E">
      <w:pPr>
        <w:jc w:val="both"/>
        <w:rPr>
          <w:rFonts w:ascii="Arial" w:hAnsi="Arial" w:cs="Arial"/>
          <w:b/>
          <w:lang w:val="en-GB"/>
        </w:rPr>
      </w:pPr>
      <w:r w:rsidRPr="00982B7F">
        <w:rPr>
          <w:rFonts w:ascii="Arial" w:hAnsi="Arial" w:cs="Arial"/>
          <w:b/>
          <w:lang w:val="en-GB"/>
        </w:rPr>
        <w:t>cc) Recommendations of the Working Group</w:t>
      </w:r>
    </w:p>
    <w:p w:rsidR="00982B7F" w:rsidRDefault="00982B7F" w:rsidP="002E342E">
      <w:pPr>
        <w:jc w:val="both"/>
        <w:rPr>
          <w:rFonts w:ascii="Arial" w:hAnsi="Arial" w:cs="Arial"/>
          <w:lang w:val="en-GB"/>
        </w:rPr>
      </w:pPr>
    </w:p>
    <w:p w:rsidR="00982B7F" w:rsidRDefault="006C294B" w:rsidP="0067407A">
      <w:pPr>
        <w:numPr>
          <w:ilvl w:val="0"/>
          <w:numId w:val="34"/>
        </w:numPr>
        <w:jc w:val="both"/>
        <w:rPr>
          <w:rFonts w:ascii="Arial" w:hAnsi="Arial" w:cs="Arial"/>
          <w:lang w:val="en-GB"/>
        </w:rPr>
      </w:pPr>
      <w:r>
        <w:rPr>
          <w:rFonts w:ascii="Arial" w:hAnsi="Arial" w:cs="Arial"/>
          <w:lang w:val="en-GB"/>
        </w:rPr>
        <w:t xml:space="preserve">The </w:t>
      </w:r>
      <w:r w:rsidR="00695BA5">
        <w:rPr>
          <w:rFonts w:ascii="Arial" w:hAnsi="Arial" w:cs="Arial"/>
          <w:lang w:val="en-GB"/>
        </w:rPr>
        <w:t>Working Group recommend</w:t>
      </w:r>
      <w:r>
        <w:rPr>
          <w:rFonts w:ascii="Arial" w:hAnsi="Arial" w:cs="Arial"/>
          <w:lang w:val="en-GB"/>
        </w:rPr>
        <w:t>s</w:t>
      </w:r>
      <w:r w:rsidR="00695BA5">
        <w:rPr>
          <w:rFonts w:ascii="Arial" w:hAnsi="Arial" w:cs="Arial"/>
          <w:lang w:val="en-GB"/>
        </w:rPr>
        <w:t xml:space="preserve"> </w:t>
      </w:r>
      <w:r w:rsidR="00091E08">
        <w:rPr>
          <w:rFonts w:ascii="Arial" w:hAnsi="Arial" w:cs="Arial"/>
          <w:lang w:val="en-GB"/>
        </w:rPr>
        <w:t>keeping</w:t>
      </w:r>
      <w:r w:rsidR="00695BA5">
        <w:rPr>
          <w:rFonts w:ascii="Arial" w:hAnsi="Arial" w:cs="Arial"/>
          <w:lang w:val="en-GB"/>
        </w:rPr>
        <w:t xml:space="preserve"> the current system which allows transfers in the interest of the service at the end of the fifth year of secondment.</w:t>
      </w:r>
    </w:p>
    <w:p w:rsidR="00982B7F" w:rsidRDefault="00982B7F" w:rsidP="002E342E">
      <w:pPr>
        <w:jc w:val="both"/>
        <w:rPr>
          <w:rFonts w:ascii="Arial" w:hAnsi="Arial" w:cs="Arial"/>
          <w:lang w:val="en-GB"/>
        </w:rPr>
      </w:pPr>
    </w:p>
    <w:p w:rsidR="006C294B" w:rsidRDefault="006C294B" w:rsidP="002E342E">
      <w:pPr>
        <w:jc w:val="both"/>
        <w:rPr>
          <w:rFonts w:ascii="Arial" w:hAnsi="Arial" w:cs="Arial"/>
          <w:lang w:val="en-GB"/>
        </w:rPr>
      </w:pPr>
    </w:p>
    <w:p w:rsidR="0067407A" w:rsidRDefault="0067407A" w:rsidP="002E342E">
      <w:pPr>
        <w:jc w:val="both"/>
        <w:rPr>
          <w:rFonts w:ascii="Arial" w:hAnsi="Arial" w:cs="Arial"/>
          <w:lang w:val="en-GB"/>
        </w:rPr>
      </w:pPr>
    </w:p>
    <w:p w:rsidR="00C71199" w:rsidRPr="00C71199" w:rsidRDefault="00982B7F" w:rsidP="002E342E">
      <w:pPr>
        <w:jc w:val="both"/>
        <w:rPr>
          <w:rFonts w:ascii="Arial" w:hAnsi="Arial" w:cs="Arial"/>
          <w:b/>
          <w:lang w:val="en-GB"/>
        </w:rPr>
      </w:pPr>
      <w:r>
        <w:rPr>
          <w:rFonts w:ascii="Arial" w:hAnsi="Arial" w:cs="Arial"/>
          <w:b/>
          <w:lang w:val="en-GB"/>
        </w:rPr>
        <w:t>b</w:t>
      </w:r>
      <w:r w:rsidR="00C71199" w:rsidRPr="00C71199">
        <w:rPr>
          <w:rFonts w:ascii="Arial" w:hAnsi="Arial" w:cs="Arial"/>
          <w:b/>
          <w:lang w:val="en-GB"/>
        </w:rPr>
        <w:t>) Locally recruited teaching staff</w:t>
      </w:r>
    </w:p>
    <w:p w:rsidR="00C71199" w:rsidRDefault="00C71199" w:rsidP="002E342E">
      <w:pPr>
        <w:jc w:val="both"/>
        <w:rPr>
          <w:rFonts w:ascii="Arial" w:hAnsi="Arial" w:cs="Arial"/>
          <w:lang w:val="en-GB"/>
        </w:rPr>
      </w:pPr>
    </w:p>
    <w:p w:rsidR="00982B7F" w:rsidRPr="00982B7F" w:rsidRDefault="00982B7F" w:rsidP="002E342E">
      <w:pPr>
        <w:jc w:val="both"/>
        <w:rPr>
          <w:rFonts w:ascii="Arial" w:hAnsi="Arial" w:cs="Arial"/>
          <w:b/>
          <w:lang w:val="en-GB"/>
        </w:rPr>
      </w:pPr>
      <w:r w:rsidRPr="00982B7F">
        <w:rPr>
          <w:rFonts w:ascii="Arial" w:hAnsi="Arial" w:cs="Arial"/>
          <w:b/>
          <w:lang w:val="en-GB"/>
        </w:rPr>
        <w:t>aa) Current situation</w:t>
      </w:r>
    </w:p>
    <w:p w:rsidR="00982B7F" w:rsidRDefault="00982B7F" w:rsidP="002E342E">
      <w:pPr>
        <w:jc w:val="both"/>
        <w:rPr>
          <w:rFonts w:ascii="Arial" w:hAnsi="Arial" w:cs="Arial"/>
          <w:lang w:val="en-GB"/>
        </w:rPr>
      </w:pPr>
    </w:p>
    <w:p w:rsidR="00C71199" w:rsidRDefault="00C71199" w:rsidP="002E342E">
      <w:pPr>
        <w:jc w:val="both"/>
        <w:rPr>
          <w:rFonts w:ascii="Arial" w:hAnsi="Arial" w:cs="Arial"/>
          <w:lang w:val="en-GB"/>
        </w:rPr>
      </w:pPr>
      <w:r>
        <w:rPr>
          <w:rFonts w:ascii="Arial" w:hAnsi="Arial" w:cs="Arial"/>
          <w:lang w:val="en-GB"/>
        </w:rPr>
        <w:t>Teaching staff is locally recruited whenever a teaching post cannot be filled by a seconded teacher or to cover temporary teaching needs. The conditions of their employment are laid down in the ‘</w:t>
      </w:r>
      <w:r w:rsidRPr="00AA5160">
        <w:rPr>
          <w:rFonts w:ascii="Arial" w:hAnsi="Arial" w:cs="Arial"/>
          <w:i/>
          <w:lang w:val="en-GB"/>
        </w:rPr>
        <w:t>Service Regulations for Locally Recruited Teachers in the European Schools</w:t>
      </w:r>
      <w:r>
        <w:rPr>
          <w:rFonts w:ascii="Arial" w:hAnsi="Arial" w:cs="Arial"/>
          <w:lang w:val="en-GB"/>
        </w:rPr>
        <w:t>’</w:t>
      </w:r>
      <w:r>
        <w:rPr>
          <w:rStyle w:val="FootnoteReference"/>
          <w:rFonts w:ascii="Arial" w:hAnsi="Arial" w:cs="Arial"/>
          <w:lang w:val="en-GB"/>
        </w:rPr>
        <w:footnoteReference w:id="8"/>
      </w:r>
      <w:r>
        <w:rPr>
          <w:rFonts w:ascii="Arial" w:hAnsi="Arial" w:cs="Arial"/>
          <w:lang w:val="en-GB"/>
        </w:rPr>
        <w:t>.</w:t>
      </w:r>
    </w:p>
    <w:p w:rsidR="006D171A" w:rsidRDefault="006D171A" w:rsidP="002E342E">
      <w:pPr>
        <w:jc w:val="both"/>
        <w:rPr>
          <w:rFonts w:ascii="Arial" w:hAnsi="Arial" w:cs="Arial"/>
          <w:lang w:val="en-GB"/>
        </w:rPr>
      </w:pPr>
    </w:p>
    <w:p w:rsidR="006D171A" w:rsidRDefault="006D171A" w:rsidP="002E342E">
      <w:pPr>
        <w:jc w:val="both"/>
        <w:rPr>
          <w:rFonts w:ascii="Arial" w:hAnsi="Arial" w:cs="Arial"/>
          <w:lang w:val="en-GB"/>
        </w:rPr>
      </w:pPr>
      <w:r>
        <w:rPr>
          <w:rFonts w:ascii="Arial" w:hAnsi="Arial" w:cs="Arial"/>
          <w:lang w:val="en-GB"/>
        </w:rPr>
        <w:t>According to Article 12 of these Service Regulations locally recruited teachers should receive either an ‘ad interim contract’ or a fixed term contract of two years which can be prolonged under certain conditions for another two years. After a total of four years locally recruited teachers can receive a contra</w:t>
      </w:r>
      <w:r w:rsidR="00F51E68">
        <w:rPr>
          <w:rFonts w:ascii="Arial" w:hAnsi="Arial" w:cs="Arial"/>
          <w:lang w:val="en-GB"/>
        </w:rPr>
        <w:t>c</w:t>
      </w:r>
      <w:r>
        <w:rPr>
          <w:rFonts w:ascii="Arial" w:hAnsi="Arial" w:cs="Arial"/>
          <w:lang w:val="en-GB"/>
        </w:rPr>
        <w:t>t for an indefinite period.</w:t>
      </w:r>
    </w:p>
    <w:p w:rsidR="006D171A" w:rsidRDefault="006D171A" w:rsidP="002E342E">
      <w:pPr>
        <w:jc w:val="both"/>
        <w:rPr>
          <w:rFonts w:ascii="Arial" w:hAnsi="Arial" w:cs="Arial"/>
          <w:lang w:val="en-GB"/>
        </w:rPr>
      </w:pPr>
    </w:p>
    <w:p w:rsidR="006D171A" w:rsidRDefault="006D171A" w:rsidP="002E342E">
      <w:pPr>
        <w:jc w:val="both"/>
        <w:rPr>
          <w:rFonts w:ascii="Arial" w:hAnsi="Arial" w:cs="Arial"/>
          <w:lang w:val="en-GB"/>
        </w:rPr>
      </w:pPr>
      <w:r>
        <w:rPr>
          <w:rFonts w:ascii="Arial" w:hAnsi="Arial" w:cs="Arial"/>
          <w:lang w:val="en-GB"/>
        </w:rPr>
        <w:t>Article 38 of the Service Regulations promotes the mobility of locally recruited teachers. In case of transfer to another school the teacher will be entitled to a removal allowance and will keep his/her seniority. Only the amount of teaching hours/periods might change in the case of transfer.</w:t>
      </w:r>
      <w:r w:rsidR="001660C5">
        <w:rPr>
          <w:rFonts w:ascii="Arial" w:hAnsi="Arial" w:cs="Arial"/>
          <w:lang w:val="en-GB"/>
        </w:rPr>
        <w:t xml:space="preserve"> </w:t>
      </w:r>
    </w:p>
    <w:p w:rsidR="001660C5" w:rsidRDefault="001660C5" w:rsidP="002E342E">
      <w:pPr>
        <w:jc w:val="both"/>
        <w:rPr>
          <w:rFonts w:ascii="Arial" w:hAnsi="Arial" w:cs="Arial"/>
          <w:lang w:val="en-GB"/>
        </w:rPr>
      </w:pPr>
      <w:r>
        <w:rPr>
          <w:rFonts w:ascii="Arial" w:hAnsi="Arial" w:cs="Arial"/>
          <w:lang w:val="en-GB"/>
        </w:rPr>
        <w:t>Different f</w:t>
      </w:r>
      <w:r w:rsidR="0067407A">
        <w:rPr>
          <w:rFonts w:ascii="Arial" w:hAnsi="Arial" w:cs="Arial"/>
          <w:lang w:val="en-GB"/>
        </w:rPr>
        <w:t>rom</w:t>
      </w:r>
      <w:r>
        <w:rPr>
          <w:rFonts w:ascii="Arial" w:hAnsi="Arial" w:cs="Arial"/>
          <w:lang w:val="en-GB"/>
        </w:rPr>
        <w:t xml:space="preserve"> seconded teaching</w:t>
      </w:r>
      <w:r w:rsidR="0067407A">
        <w:rPr>
          <w:rFonts w:ascii="Arial" w:hAnsi="Arial" w:cs="Arial"/>
          <w:lang w:val="en-GB"/>
        </w:rPr>
        <w:t xml:space="preserve"> staff they are not entitled to </w:t>
      </w:r>
      <w:r>
        <w:rPr>
          <w:rFonts w:ascii="Arial" w:hAnsi="Arial" w:cs="Arial"/>
          <w:lang w:val="en-GB"/>
        </w:rPr>
        <w:t xml:space="preserve">installation </w:t>
      </w:r>
      <w:r w:rsidR="0067407A">
        <w:rPr>
          <w:rFonts w:ascii="Arial" w:hAnsi="Arial" w:cs="Arial"/>
          <w:lang w:val="en-GB"/>
        </w:rPr>
        <w:t>or</w:t>
      </w:r>
      <w:r>
        <w:rPr>
          <w:rFonts w:ascii="Arial" w:hAnsi="Arial" w:cs="Arial"/>
          <w:lang w:val="en-GB"/>
        </w:rPr>
        <w:t xml:space="preserve"> reinstallation allowances</w:t>
      </w:r>
      <w:r w:rsidR="00521DA5">
        <w:rPr>
          <w:rFonts w:ascii="Arial" w:hAnsi="Arial" w:cs="Arial"/>
          <w:lang w:val="en-GB"/>
        </w:rPr>
        <w:t xml:space="preserve"> and are only entitled to removal allowances</w:t>
      </w:r>
      <w:r>
        <w:rPr>
          <w:rFonts w:ascii="Arial" w:hAnsi="Arial" w:cs="Arial"/>
          <w:lang w:val="en-GB"/>
        </w:rPr>
        <w:t>.</w:t>
      </w:r>
    </w:p>
    <w:p w:rsidR="006C294B" w:rsidRDefault="006C294B" w:rsidP="002E342E">
      <w:pPr>
        <w:jc w:val="both"/>
        <w:rPr>
          <w:rFonts w:ascii="Arial" w:hAnsi="Arial" w:cs="Arial"/>
          <w:lang w:val="en-GB"/>
        </w:rPr>
      </w:pPr>
    </w:p>
    <w:p w:rsidR="00982B7F" w:rsidRDefault="00982B7F" w:rsidP="002E342E">
      <w:pPr>
        <w:jc w:val="both"/>
        <w:rPr>
          <w:rFonts w:ascii="Arial" w:hAnsi="Arial" w:cs="Arial"/>
          <w:lang w:val="en-GB"/>
        </w:rPr>
      </w:pPr>
    </w:p>
    <w:p w:rsidR="00982B7F" w:rsidRPr="00982B7F" w:rsidRDefault="00982B7F" w:rsidP="002E342E">
      <w:pPr>
        <w:jc w:val="both"/>
        <w:rPr>
          <w:rFonts w:ascii="Arial" w:hAnsi="Arial" w:cs="Arial"/>
          <w:b/>
          <w:lang w:val="en-GB"/>
        </w:rPr>
      </w:pPr>
      <w:r w:rsidRPr="00982B7F">
        <w:rPr>
          <w:rFonts w:ascii="Arial" w:hAnsi="Arial" w:cs="Arial"/>
          <w:b/>
          <w:lang w:val="en-GB"/>
        </w:rPr>
        <w:t>bb) Discussion in the Working Group</w:t>
      </w:r>
    </w:p>
    <w:p w:rsidR="00982B7F" w:rsidRDefault="00982B7F" w:rsidP="002E342E">
      <w:pPr>
        <w:jc w:val="both"/>
        <w:rPr>
          <w:rFonts w:ascii="Arial" w:hAnsi="Arial" w:cs="Arial"/>
          <w:lang w:val="en-GB"/>
        </w:rPr>
      </w:pPr>
    </w:p>
    <w:p w:rsidR="006C294B" w:rsidRDefault="006C294B" w:rsidP="002E342E">
      <w:pPr>
        <w:jc w:val="both"/>
        <w:rPr>
          <w:rFonts w:ascii="Arial" w:hAnsi="Arial" w:cs="Arial"/>
          <w:lang w:val="en-GB"/>
        </w:rPr>
      </w:pPr>
      <w:r>
        <w:rPr>
          <w:rFonts w:ascii="Arial" w:hAnsi="Arial" w:cs="Arial"/>
          <w:lang w:val="en-GB"/>
        </w:rPr>
        <w:t xml:space="preserve">Like for seconded teachers the members of the Working group took the view that transfers between schools should be possible, but not mandatory. It was stressed that locally recruited teachers in principle have to be replaced by seconded teachers if possible. In reality locally recruited teachers are in some schools the even more permanent </w:t>
      </w:r>
      <w:r w:rsidR="001660C5">
        <w:rPr>
          <w:rFonts w:ascii="Arial" w:hAnsi="Arial" w:cs="Arial"/>
          <w:lang w:val="en-GB"/>
        </w:rPr>
        <w:t xml:space="preserve">members of the teaching staff </w:t>
      </w:r>
      <w:r>
        <w:rPr>
          <w:rFonts w:ascii="Arial" w:hAnsi="Arial" w:cs="Arial"/>
          <w:lang w:val="en-GB"/>
        </w:rPr>
        <w:t>who guarantee some kind o</w:t>
      </w:r>
      <w:r w:rsidR="001660C5">
        <w:rPr>
          <w:rFonts w:ascii="Arial" w:hAnsi="Arial" w:cs="Arial"/>
          <w:lang w:val="en-GB"/>
        </w:rPr>
        <w:t>f</w:t>
      </w:r>
      <w:r>
        <w:rPr>
          <w:rFonts w:ascii="Arial" w:hAnsi="Arial" w:cs="Arial"/>
          <w:lang w:val="en-GB"/>
        </w:rPr>
        <w:t xml:space="preserve"> business continuity. </w:t>
      </w:r>
    </w:p>
    <w:p w:rsidR="00AE3C54" w:rsidRDefault="00AE3C54" w:rsidP="002E342E">
      <w:pPr>
        <w:jc w:val="both"/>
        <w:rPr>
          <w:rFonts w:ascii="Arial" w:hAnsi="Arial" w:cs="Arial"/>
          <w:lang w:val="en-GB"/>
        </w:rPr>
      </w:pPr>
    </w:p>
    <w:p w:rsidR="00AE3C54" w:rsidRDefault="00AE3C54" w:rsidP="002E342E">
      <w:pPr>
        <w:jc w:val="both"/>
        <w:rPr>
          <w:rFonts w:ascii="Arial" w:hAnsi="Arial" w:cs="Arial"/>
          <w:lang w:val="en-GB"/>
        </w:rPr>
      </w:pPr>
      <w:r>
        <w:rPr>
          <w:rFonts w:ascii="Arial" w:hAnsi="Arial" w:cs="Arial"/>
          <w:lang w:val="en-GB"/>
        </w:rPr>
        <w:lastRenderedPageBreak/>
        <w:t>Moreover, m</w:t>
      </w:r>
      <w:r w:rsidRPr="00AE3C54">
        <w:rPr>
          <w:rFonts w:ascii="Arial" w:hAnsi="Arial" w:cs="Arial"/>
          <w:lang w:val="en-GB"/>
        </w:rPr>
        <w:t>obility might prove to be very difficult for locally recruited staff since they have to renounce to their previous employment contract</w:t>
      </w:r>
      <w:r w:rsidR="0006213C">
        <w:rPr>
          <w:rFonts w:ascii="Arial" w:hAnsi="Arial" w:cs="Arial"/>
          <w:lang w:val="en-GB"/>
        </w:rPr>
        <w:t xml:space="preserve"> and might </w:t>
      </w:r>
      <w:r w:rsidRPr="00AE3C54">
        <w:rPr>
          <w:rFonts w:ascii="Arial" w:hAnsi="Arial" w:cs="Arial"/>
          <w:lang w:val="en-GB"/>
        </w:rPr>
        <w:t>lose benefits for retirement packages, etc.</w:t>
      </w:r>
    </w:p>
    <w:p w:rsidR="001660C5" w:rsidRDefault="001660C5" w:rsidP="002E342E">
      <w:pPr>
        <w:jc w:val="both"/>
        <w:rPr>
          <w:rFonts w:ascii="Arial" w:hAnsi="Arial" w:cs="Arial"/>
          <w:lang w:val="en-GB"/>
        </w:rPr>
      </w:pPr>
    </w:p>
    <w:p w:rsidR="00982B7F" w:rsidRDefault="006C294B" w:rsidP="002E342E">
      <w:pPr>
        <w:jc w:val="both"/>
        <w:rPr>
          <w:rFonts w:ascii="Arial" w:hAnsi="Arial" w:cs="Arial"/>
          <w:lang w:val="en-GB"/>
        </w:rPr>
      </w:pPr>
      <w:r>
        <w:rPr>
          <w:rFonts w:ascii="Arial" w:hAnsi="Arial" w:cs="Arial"/>
          <w:lang w:val="en-GB"/>
        </w:rPr>
        <w:t xml:space="preserve"> </w:t>
      </w:r>
    </w:p>
    <w:p w:rsidR="00982B7F" w:rsidRPr="00982B7F" w:rsidRDefault="00982B7F" w:rsidP="002E342E">
      <w:pPr>
        <w:jc w:val="both"/>
        <w:rPr>
          <w:rFonts w:ascii="Arial" w:hAnsi="Arial" w:cs="Arial"/>
          <w:b/>
          <w:lang w:val="en-GB"/>
        </w:rPr>
      </w:pPr>
      <w:r w:rsidRPr="00982B7F">
        <w:rPr>
          <w:rFonts w:ascii="Arial" w:hAnsi="Arial" w:cs="Arial"/>
          <w:b/>
          <w:lang w:val="en-GB"/>
        </w:rPr>
        <w:t>cc) Recommendations of the Working Group</w:t>
      </w:r>
    </w:p>
    <w:p w:rsidR="006D171A" w:rsidRDefault="006D171A" w:rsidP="002E342E">
      <w:pPr>
        <w:jc w:val="both"/>
        <w:rPr>
          <w:rFonts w:ascii="Arial" w:hAnsi="Arial" w:cs="Arial"/>
          <w:lang w:val="en-GB"/>
        </w:rPr>
      </w:pPr>
    </w:p>
    <w:p w:rsidR="001660C5" w:rsidRPr="00AE3C54" w:rsidRDefault="001660C5" w:rsidP="0006213C">
      <w:pPr>
        <w:numPr>
          <w:ilvl w:val="0"/>
          <w:numId w:val="34"/>
        </w:numPr>
        <w:jc w:val="both"/>
        <w:rPr>
          <w:rFonts w:ascii="Arial" w:hAnsi="Arial" w:cs="Arial"/>
          <w:lang w:val="en-GB"/>
        </w:rPr>
      </w:pPr>
      <w:r w:rsidRPr="00AE3C54">
        <w:rPr>
          <w:rFonts w:ascii="Arial" w:hAnsi="Arial" w:cs="Arial"/>
          <w:lang w:val="en-GB"/>
        </w:rPr>
        <w:t>The Working Group considers the current ‘mobility package’ for locally recruited teachers as being sufficient.</w:t>
      </w:r>
      <w:r w:rsidR="00982853" w:rsidRPr="00AE3C54">
        <w:rPr>
          <w:rFonts w:ascii="Arial" w:hAnsi="Arial" w:cs="Arial"/>
          <w:lang w:val="en-GB"/>
        </w:rPr>
        <w:t xml:space="preserve"> </w:t>
      </w:r>
    </w:p>
    <w:p w:rsidR="001660C5" w:rsidRDefault="001660C5" w:rsidP="0067407A">
      <w:pPr>
        <w:numPr>
          <w:ilvl w:val="0"/>
          <w:numId w:val="34"/>
        </w:numPr>
        <w:jc w:val="both"/>
        <w:rPr>
          <w:rFonts w:ascii="Arial" w:hAnsi="Arial" w:cs="Arial"/>
          <w:lang w:val="en-GB"/>
        </w:rPr>
      </w:pPr>
      <w:r>
        <w:rPr>
          <w:rFonts w:ascii="Arial" w:hAnsi="Arial" w:cs="Arial"/>
          <w:lang w:val="en-GB"/>
        </w:rPr>
        <w:t>Moreover, the Working Group recommends that the mobility of locally recruited teachers remains optional.</w:t>
      </w:r>
    </w:p>
    <w:p w:rsidR="006D171A" w:rsidRDefault="006D171A" w:rsidP="002E342E">
      <w:pPr>
        <w:jc w:val="both"/>
        <w:rPr>
          <w:rFonts w:ascii="Arial" w:hAnsi="Arial" w:cs="Arial"/>
          <w:lang w:val="en-GB"/>
        </w:rPr>
      </w:pPr>
    </w:p>
    <w:p w:rsidR="001660C5" w:rsidRDefault="001660C5" w:rsidP="002E342E">
      <w:pPr>
        <w:jc w:val="both"/>
        <w:rPr>
          <w:rFonts w:ascii="Arial" w:hAnsi="Arial" w:cs="Arial"/>
          <w:lang w:val="en-GB"/>
        </w:rPr>
      </w:pPr>
    </w:p>
    <w:p w:rsidR="0067407A" w:rsidRDefault="0067407A" w:rsidP="002E342E">
      <w:pPr>
        <w:jc w:val="both"/>
        <w:rPr>
          <w:rFonts w:ascii="Arial" w:hAnsi="Arial" w:cs="Arial"/>
          <w:lang w:val="en-GB"/>
        </w:rPr>
      </w:pPr>
    </w:p>
    <w:p w:rsidR="006D171A" w:rsidRDefault="00140741" w:rsidP="00140741">
      <w:pPr>
        <w:numPr>
          <w:ilvl w:val="0"/>
          <w:numId w:val="27"/>
        </w:numPr>
        <w:jc w:val="both"/>
        <w:rPr>
          <w:rFonts w:ascii="Arial" w:hAnsi="Arial" w:cs="Arial"/>
          <w:b/>
          <w:lang w:val="en-GB"/>
        </w:rPr>
      </w:pPr>
      <w:r>
        <w:rPr>
          <w:rFonts w:ascii="Arial" w:hAnsi="Arial" w:cs="Arial"/>
          <w:b/>
          <w:lang w:val="en-GB"/>
        </w:rPr>
        <w:t xml:space="preserve">Administrative </w:t>
      </w:r>
      <w:r w:rsidR="00CE2308">
        <w:rPr>
          <w:rFonts w:ascii="Arial" w:hAnsi="Arial" w:cs="Arial"/>
          <w:b/>
          <w:lang w:val="en-GB"/>
        </w:rPr>
        <w:t>and ancillary s</w:t>
      </w:r>
      <w:r>
        <w:rPr>
          <w:rFonts w:ascii="Arial" w:hAnsi="Arial" w:cs="Arial"/>
          <w:b/>
          <w:lang w:val="en-GB"/>
        </w:rPr>
        <w:t>taff</w:t>
      </w:r>
    </w:p>
    <w:p w:rsidR="00140741" w:rsidRDefault="00140741" w:rsidP="00140741">
      <w:pPr>
        <w:jc w:val="both"/>
        <w:rPr>
          <w:rFonts w:ascii="Arial" w:hAnsi="Arial" w:cs="Arial"/>
          <w:b/>
          <w:lang w:val="en-GB"/>
        </w:rPr>
      </w:pPr>
    </w:p>
    <w:p w:rsidR="00982B7F" w:rsidRPr="0031635B" w:rsidRDefault="00982B7F" w:rsidP="00982B7F">
      <w:pPr>
        <w:numPr>
          <w:ilvl w:val="0"/>
          <w:numId w:val="32"/>
        </w:numPr>
        <w:jc w:val="both"/>
        <w:rPr>
          <w:rFonts w:ascii="Arial" w:hAnsi="Arial" w:cs="Arial"/>
          <w:b/>
          <w:lang w:val="en-GB"/>
        </w:rPr>
      </w:pPr>
      <w:r w:rsidRPr="0031635B">
        <w:rPr>
          <w:rFonts w:ascii="Arial" w:hAnsi="Arial" w:cs="Arial"/>
          <w:b/>
          <w:lang w:val="en-GB"/>
        </w:rPr>
        <w:t>Current situation</w:t>
      </w:r>
    </w:p>
    <w:p w:rsidR="00982B7F" w:rsidRDefault="00982B7F" w:rsidP="00982B7F">
      <w:pPr>
        <w:jc w:val="both"/>
        <w:rPr>
          <w:rFonts w:ascii="Arial" w:hAnsi="Arial" w:cs="Arial"/>
          <w:lang w:val="en-GB"/>
        </w:rPr>
      </w:pPr>
    </w:p>
    <w:p w:rsidR="00140741" w:rsidRDefault="00140741" w:rsidP="00140741">
      <w:pPr>
        <w:jc w:val="both"/>
        <w:rPr>
          <w:rFonts w:ascii="Arial" w:hAnsi="Arial" w:cs="Arial"/>
          <w:lang w:val="en-GB"/>
        </w:rPr>
      </w:pPr>
      <w:r w:rsidRPr="00140741">
        <w:rPr>
          <w:rFonts w:ascii="Arial" w:hAnsi="Arial" w:cs="Arial"/>
          <w:lang w:val="en-GB"/>
        </w:rPr>
        <w:t>Besides the Bursar of the Schools who are supposed to be seconded staff members</w:t>
      </w:r>
      <w:r w:rsidR="001339F0">
        <w:rPr>
          <w:rFonts w:ascii="Arial" w:hAnsi="Arial" w:cs="Arial"/>
          <w:lang w:val="en-GB"/>
        </w:rPr>
        <w:t>,</w:t>
      </w:r>
      <w:r w:rsidRPr="00140741">
        <w:rPr>
          <w:rFonts w:ascii="Arial" w:hAnsi="Arial" w:cs="Arial"/>
          <w:lang w:val="en-GB"/>
        </w:rPr>
        <w:t xml:space="preserve"> the other members of the administrative staff are locally recruited.  </w:t>
      </w:r>
      <w:r w:rsidR="001339F0">
        <w:rPr>
          <w:rFonts w:ascii="Arial" w:hAnsi="Arial" w:cs="Arial"/>
          <w:lang w:val="en-GB"/>
        </w:rPr>
        <w:t xml:space="preserve">Their contractual </w:t>
      </w:r>
      <w:r w:rsidR="00CE2308">
        <w:rPr>
          <w:rFonts w:ascii="Arial" w:hAnsi="Arial" w:cs="Arial"/>
          <w:lang w:val="en-GB"/>
        </w:rPr>
        <w:t>relationship with the European S</w:t>
      </w:r>
      <w:r w:rsidR="001339F0">
        <w:rPr>
          <w:rFonts w:ascii="Arial" w:hAnsi="Arial" w:cs="Arial"/>
          <w:lang w:val="en-GB"/>
        </w:rPr>
        <w:t>chools is based on the ‘</w:t>
      </w:r>
      <w:r w:rsidR="001339F0" w:rsidRPr="001339F0">
        <w:rPr>
          <w:rFonts w:ascii="Arial" w:hAnsi="Arial" w:cs="Arial"/>
          <w:i/>
          <w:lang w:val="en-GB"/>
        </w:rPr>
        <w:t>Service Regulations for the Administrative and Ancillary Staff (AAS) of the European Schools’</w:t>
      </w:r>
      <w:r w:rsidR="001339F0">
        <w:rPr>
          <w:rStyle w:val="FootnoteReference"/>
          <w:rFonts w:ascii="Arial" w:hAnsi="Arial" w:cs="Arial"/>
          <w:i/>
          <w:lang w:val="en-GB"/>
        </w:rPr>
        <w:footnoteReference w:id="9"/>
      </w:r>
      <w:r w:rsidR="001339F0">
        <w:rPr>
          <w:rFonts w:ascii="Arial" w:hAnsi="Arial" w:cs="Arial"/>
          <w:lang w:val="en-GB"/>
        </w:rPr>
        <w:t xml:space="preserve"> and binding national labour law.</w:t>
      </w:r>
    </w:p>
    <w:p w:rsidR="001339F0" w:rsidRDefault="001339F0" w:rsidP="00140741">
      <w:pPr>
        <w:jc w:val="both"/>
        <w:rPr>
          <w:rFonts w:ascii="Arial" w:hAnsi="Arial" w:cs="Arial"/>
          <w:lang w:val="en-GB"/>
        </w:rPr>
      </w:pPr>
    </w:p>
    <w:p w:rsidR="001339F0" w:rsidRDefault="001339F0" w:rsidP="00140741">
      <w:pPr>
        <w:jc w:val="both"/>
        <w:rPr>
          <w:rFonts w:ascii="Arial" w:hAnsi="Arial" w:cs="Arial"/>
          <w:lang w:val="en-GB"/>
        </w:rPr>
      </w:pPr>
      <w:r>
        <w:rPr>
          <w:rFonts w:ascii="Arial" w:hAnsi="Arial" w:cs="Arial"/>
          <w:lang w:val="en-GB"/>
        </w:rPr>
        <w:t>Administrative staff receives in general contracts for an indefinite period. Their mobility was not in the focus w</w:t>
      </w:r>
      <w:r w:rsidR="00CE2308">
        <w:rPr>
          <w:rFonts w:ascii="Arial" w:hAnsi="Arial" w:cs="Arial"/>
          <w:lang w:val="en-GB"/>
        </w:rPr>
        <w:t>hen establishing their AAS R</w:t>
      </w:r>
      <w:r w:rsidR="00AA5160">
        <w:rPr>
          <w:rFonts w:ascii="Arial" w:hAnsi="Arial" w:cs="Arial"/>
          <w:lang w:val="en-GB"/>
        </w:rPr>
        <w:t>egulations in 2007</w:t>
      </w:r>
      <w:r>
        <w:rPr>
          <w:rFonts w:ascii="Arial" w:hAnsi="Arial" w:cs="Arial"/>
          <w:lang w:val="en-GB"/>
        </w:rPr>
        <w:t>.</w:t>
      </w:r>
    </w:p>
    <w:p w:rsidR="001339F0" w:rsidRDefault="001339F0" w:rsidP="00140741">
      <w:pPr>
        <w:jc w:val="both"/>
        <w:rPr>
          <w:rFonts w:ascii="Arial" w:hAnsi="Arial" w:cs="Arial"/>
          <w:lang w:val="en-GB"/>
        </w:rPr>
      </w:pPr>
    </w:p>
    <w:p w:rsidR="001339F0" w:rsidRDefault="001339F0" w:rsidP="00140741">
      <w:pPr>
        <w:jc w:val="both"/>
        <w:rPr>
          <w:rFonts w:ascii="Arial" w:hAnsi="Arial" w:cs="Arial"/>
          <w:lang w:val="en-GB"/>
        </w:rPr>
      </w:pPr>
      <w:r>
        <w:rPr>
          <w:rFonts w:ascii="Arial" w:hAnsi="Arial" w:cs="Arial"/>
          <w:lang w:val="en-GB"/>
        </w:rPr>
        <w:t>In the meantime several legal measures have been taken in order to promote mobility of the administrative staff.</w:t>
      </w:r>
    </w:p>
    <w:p w:rsidR="001339F0" w:rsidRDefault="001339F0" w:rsidP="00140741">
      <w:pPr>
        <w:jc w:val="both"/>
        <w:rPr>
          <w:rFonts w:ascii="Arial" w:hAnsi="Arial" w:cs="Arial"/>
          <w:lang w:val="en-GB"/>
        </w:rPr>
      </w:pPr>
    </w:p>
    <w:p w:rsidR="00166ACD" w:rsidRDefault="001339F0" w:rsidP="001339F0">
      <w:pPr>
        <w:jc w:val="both"/>
        <w:rPr>
          <w:rFonts w:ascii="Arial" w:hAnsi="Arial" w:cs="Arial"/>
          <w:lang w:val="en-GB"/>
        </w:rPr>
      </w:pPr>
      <w:r>
        <w:rPr>
          <w:rFonts w:ascii="Arial" w:hAnsi="Arial" w:cs="Arial"/>
          <w:lang w:val="en-GB"/>
        </w:rPr>
        <w:t xml:space="preserve">In December 2010 the Board of Governors adopted an amendment of Article 7 of the AAS Regulations which allows AAS members to apply in another school </w:t>
      </w:r>
      <w:r w:rsidR="009863DA">
        <w:rPr>
          <w:rFonts w:ascii="Arial" w:hAnsi="Arial" w:cs="Arial"/>
          <w:lang w:val="en-GB"/>
        </w:rPr>
        <w:t xml:space="preserve">or in the Office of the Secretary-General </w:t>
      </w:r>
      <w:r>
        <w:rPr>
          <w:rFonts w:ascii="Arial" w:hAnsi="Arial" w:cs="Arial"/>
          <w:lang w:val="en-GB"/>
        </w:rPr>
        <w:t xml:space="preserve">for </w:t>
      </w:r>
      <w:r w:rsidR="00CE2308">
        <w:rPr>
          <w:rFonts w:ascii="Arial" w:hAnsi="Arial" w:cs="Arial"/>
          <w:lang w:val="en-GB"/>
        </w:rPr>
        <w:t xml:space="preserve">a </w:t>
      </w:r>
      <w:r>
        <w:rPr>
          <w:rFonts w:ascii="Arial" w:hAnsi="Arial" w:cs="Arial"/>
          <w:lang w:val="en-GB"/>
        </w:rPr>
        <w:t xml:space="preserve">post in the same </w:t>
      </w:r>
      <w:r w:rsidR="00CE2308">
        <w:rPr>
          <w:rFonts w:ascii="Arial" w:hAnsi="Arial" w:cs="Arial"/>
          <w:lang w:val="en-GB"/>
        </w:rPr>
        <w:t xml:space="preserve">or equivalent </w:t>
      </w:r>
      <w:r>
        <w:rPr>
          <w:rFonts w:ascii="Arial" w:hAnsi="Arial" w:cs="Arial"/>
          <w:lang w:val="en-GB"/>
        </w:rPr>
        <w:t xml:space="preserve">occupational </w:t>
      </w:r>
      <w:r w:rsidR="00CE2308">
        <w:rPr>
          <w:rFonts w:ascii="Arial" w:hAnsi="Arial" w:cs="Arial"/>
          <w:lang w:val="en-GB"/>
        </w:rPr>
        <w:t xml:space="preserve">category </w:t>
      </w:r>
      <w:r>
        <w:rPr>
          <w:rFonts w:ascii="Arial" w:hAnsi="Arial" w:cs="Arial"/>
          <w:lang w:val="en-GB"/>
        </w:rPr>
        <w:t>without losing his/her seniority (Article 7.4 of the AAS Regulations). Moreover, Article 7.5 of the AAS Regulations ensures that an AAS member applying for a higher post in another school will receive as initial step at least th</w:t>
      </w:r>
      <w:r w:rsidR="00AA5160">
        <w:rPr>
          <w:rFonts w:ascii="Arial" w:hAnsi="Arial" w:cs="Arial"/>
          <w:lang w:val="en-GB"/>
        </w:rPr>
        <w:t>e step which gives at least his</w:t>
      </w:r>
      <w:r>
        <w:rPr>
          <w:rFonts w:ascii="Arial" w:hAnsi="Arial" w:cs="Arial"/>
          <w:lang w:val="en-GB"/>
        </w:rPr>
        <w:t>/her old salary.</w:t>
      </w:r>
      <w:r w:rsidR="00CE2308">
        <w:rPr>
          <w:rFonts w:ascii="Arial" w:hAnsi="Arial" w:cs="Arial"/>
          <w:lang w:val="en-GB"/>
        </w:rPr>
        <w:t xml:space="preserve"> In so far also vertical mobility is promoted.</w:t>
      </w:r>
      <w:r w:rsidR="00166ACD">
        <w:rPr>
          <w:rFonts w:ascii="Arial" w:hAnsi="Arial" w:cs="Arial"/>
          <w:lang w:val="en-GB"/>
        </w:rPr>
        <w:t xml:space="preserve"> </w:t>
      </w:r>
    </w:p>
    <w:p w:rsidR="00AA5160" w:rsidRDefault="00AA5160" w:rsidP="001339F0">
      <w:pPr>
        <w:jc w:val="both"/>
        <w:rPr>
          <w:rFonts w:ascii="Arial" w:hAnsi="Arial" w:cs="Arial"/>
          <w:lang w:val="en-GB"/>
        </w:rPr>
      </w:pPr>
    </w:p>
    <w:p w:rsidR="00166ACD" w:rsidRDefault="00166ACD" w:rsidP="001339F0">
      <w:pPr>
        <w:jc w:val="both"/>
        <w:rPr>
          <w:rFonts w:ascii="Arial" w:hAnsi="Arial" w:cs="Arial"/>
          <w:lang w:val="en-GB"/>
        </w:rPr>
      </w:pPr>
      <w:r>
        <w:rPr>
          <w:rFonts w:ascii="Arial" w:hAnsi="Arial" w:cs="Arial"/>
          <w:lang w:val="en-GB"/>
        </w:rPr>
        <w:t xml:space="preserve">Nevertheless, the different salary scales linked to the date of entrance in the system of the European Schools remain an obstacle for the mobility, as in case of a transfer a new contract </w:t>
      </w:r>
      <w:r w:rsidR="00CE2308">
        <w:rPr>
          <w:rFonts w:ascii="Arial" w:hAnsi="Arial" w:cs="Arial"/>
          <w:lang w:val="en-GB"/>
        </w:rPr>
        <w:t xml:space="preserve">reflecting Annex II of the Service Regulations </w:t>
      </w:r>
      <w:r>
        <w:rPr>
          <w:rFonts w:ascii="Arial" w:hAnsi="Arial" w:cs="Arial"/>
          <w:lang w:val="en-GB"/>
        </w:rPr>
        <w:t>with the new school has to be foreseen.</w:t>
      </w:r>
    </w:p>
    <w:p w:rsidR="00166ACD" w:rsidRDefault="00166ACD" w:rsidP="001339F0">
      <w:pPr>
        <w:jc w:val="both"/>
        <w:rPr>
          <w:rFonts w:ascii="Arial" w:hAnsi="Arial" w:cs="Arial"/>
          <w:lang w:val="en-GB"/>
        </w:rPr>
      </w:pPr>
    </w:p>
    <w:p w:rsidR="00166ACD" w:rsidRDefault="00CE2308" w:rsidP="001339F0">
      <w:pPr>
        <w:jc w:val="both"/>
        <w:rPr>
          <w:rFonts w:ascii="Arial" w:hAnsi="Arial" w:cs="Arial"/>
          <w:lang w:val="en-GB"/>
        </w:rPr>
      </w:pPr>
      <w:r>
        <w:rPr>
          <w:rFonts w:ascii="Arial" w:hAnsi="Arial" w:cs="Arial"/>
          <w:lang w:val="en-GB"/>
        </w:rPr>
        <w:t xml:space="preserve">Furthermore, </w:t>
      </w:r>
      <w:r w:rsidR="00166ACD">
        <w:rPr>
          <w:rFonts w:ascii="Arial" w:hAnsi="Arial" w:cs="Arial"/>
          <w:lang w:val="en-GB"/>
        </w:rPr>
        <w:t xml:space="preserve">the Board of Governors decided in </w:t>
      </w:r>
      <w:r w:rsidR="00016F99" w:rsidRPr="00016F99">
        <w:rPr>
          <w:rFonts w:ascii="Arial" w:hAnsi="Arial" w:cs="Arial"/>
          <w:lang w:val="en-GB"/>
        </w:rPr>
        <w:t>December</w:t>
      </w:r>
      <w:r w:rsidR="00166ACD" w:rsidRPr="00016F99">
        <w:rPr>
          <w:rFonts w:ascii="Arial" w:hAnsi="Arial" w:cs="Arial"/>
          <w:lang w:val="en-GB"/>
        </w:rPr>
        <w:t xml:space="preserve"> 2013 that</w:t>
      </w:r>
      <w:r w:rsidR="00166ACD">
        <w:rPr>
          <w:rFonts w:ascii="Arial" w:hAnsi="Arial" w:cs="Arial"/>
          <w:lang w:val="en-GB"/>
        </w:rPr>
        <w:t xml:space="preserve"> a post can be published first internally in order to promote </w:t>
      </w:r>
      <w:r>
        <w:rPr>
          <w:rFonts w:ascii="Arial" w:hAnsi="Arial" w:cs="Arial"/>
          <w:lang w:val="en-GB"/>
        </w:rPr>
        <w:t xml:space="preserve">horizontal </w:t>
      </w:r>
      <w:r w:rsidR="00166ACD">
        <w:rPr>
          <w:rFonts w:ascii="Arial" w:hAnsi="Arial" w:cs="Arial"/>
          <w:lang w:val="en-GB"/>
        </w:rPr>
        <w:t>mobility of administrative staff within the system of the European Schools. Articles 5.5</w:t>
      </w:r>
      <w:r w:rsidR="0067407A">
        <w:rPr>
          <w:rFonts w:ascii="Arial" w:hAnsi="Arial" w:cs="Arial"/>
          <w:lang w:val="en-GB"/>
        </w:rPr>
        <w:t>,</w:t>
      </w:r>
      <w:r w:rsidR="00016F99">
        <w:rPr>
          <w:rFonts w:ascii="Arial" w:hAnsi="Arial" w:cs="Arial"/>
          <w:lang w:val="en-GB"/>
        </w:rPr>
        <w:t xml:space="preserve"> 7.4</w:t>
      </w:r>
      <w:r w:rsidR="00166ACD">
        <w:rPr>
          <w:rFonts w:ascii="Arial" w:hAnsi="Arial" w:cs="Arial"/>
          <w:lang w:val="en-GB"/>
        </w:rPr>
        <w:t xml:space="preserve"> and 24 bis of the AAS Regulations were amended accordingly.</w:t>
      </w:r>
    </w:p>
    <w:p w:rsidR="00166ACD" w:rsidRDefault="00166ACD" w:rsidP="001339F0">
      <w:pPr>
        <w:jc w:val="both"/>
        <w:rPr>
          <w:rFonts w:ascii="Arial" w:hAnsi="Arial" w:cs="Arial"/>
          <w:lang w:val="en-GB"/>
        </w:rPr>
      </w:pPr>
    </w:p>
    <w:p w:rsidR="006A2E49" w:rsidRDefault="006A2E49" w:rsidP="001339F0">
      <w:pPr>
        <w:jc w:val="both"/>
        <w:rPr>
          <w:rFonts w:ascii="Arial" w:hAnsi="Arial" w:cs="Arial"/>
          <w:lang w:val="en-GB"/>
        </w:rPr>
      </w:pPr>
      <w:r>
        <w:rPr>
          <w:rFonts w:ascii="Arial" w:hAnsi="Arial" w:cs="Arial"/>
          <w:lang w:val="en-GB"/>
        </w:rPr>
        <w:lastRenderedPageBreak/>
        <w:t xml:space="preserve">Despite these measures the mobility of members of the Administrative and Ancillary Staff between the schools </w:t>
      </w:r>
      <w:r w:rsidR="009863DA">
        <w:rPr>
          <w:rFonts w:ascii="Arial" w:hAnsi="Arial" w:cs="Arial"/>
          <w:lang w:val="en-GB"/>
        </w:rPr>
        <w:t xml:space="preserve">and the schools and the Office of the Secretary-General </w:t>
      </w:r>
      <w:r>
        <w:rPr>
          <w:rFonts w:ascii="Arial" w:hAnsi="Arial" w:cs="Arial"/>
          <w:lang w:val="en-GB"/>
        </w:rPr>
        <w:t>remains an exception.</w:t>
      </w:r>
    </w:p>
    <w:p w:rsidR="006A2E49" w:rsidRDefault="006A2E49" w:rsidP="001339F0">
      <w:pPr>
        <w:jc w:val="both"/>
        <w:rPr>
          <w:rFonts w:ascii="Arial" w:hAnsi="Arial" w:cs="Arial"/>
          <w:lang w:val="en-GB"/>
        </w:rPr>
      </w:pPr>
    </w:p>
    <w:p w:rsidR="003F3182" w:rsidRDefault="003F3182" w:rsidP="003F3182">
      <w:pPr>
        <w:jc w:val="both"/>
        <w:rPr>
          <w:rFonts w:ascii="Arial" w:hAnsi="Arial" w:cs="Arial"/>
          <w:lang w:val="en-GB"/>
        </w:rPr>
      </w:pPr>
      <w:r>
        <w:rPr>
          <w:rFonts w:ascii="Arial" w:hAnsi="Arial" w:cs="Arial"/>
          <w:lang w:val="en-GB"/>
        </w:rPr>
        <w:t xml:space="preserve">Finally, the Board of Governors adopted in December 2015 an amendment of the AAS Regulations introducing the function of ‘Accounting Officer’ in the AAS Regulations. </w:t>
      </w:r>
    </w:p>
    <w:p w:rsidR="003F3182" w:rsidRDefault="003F3182" w:rsidP="00016F99">
      <w:pPr>
        <w:jc w:val="both"/>
        <w:rPr>
          <w:rFonts w:ascii="Arial" w:hAnsi="Arial" w:cs="Arial"/>
          <w:lang w:val="en-GB"/>
        </w:rPr>
      </w:pPr>
    </w:p>
    <w:p w:rsidR="00016F99" w:rsidRDefault="00016F99" w:rsidP="00016F99">
      <w:pPr>
        <w:jc w:val="both"/>
        <w:rPr>
          <w:rFonts w:ascii="Arial" w:hAnsi="Arial" w:cs="Arial"/>
          <w:lang w:val="en-GB"/>
        </w:rPr>
      </w:pPr>
      <w:r>
        <w:rPr>
          <w:rFonts w:ascii="Arial" w:hAnsi="Arial" w:cs="Arial"/>
          <w:lang w:val="en-GB"/>
        </w:rPr>
        <w:t xml:space="preserve">According to the new Article 23 bis </w:t>
      </w:r>
      <w:r w:rsidRPr="00016F99">
        <w:rPr>
          <w:rFonts w:ascii="Arial" w:hAnsi="Arial" w:cs="Arial"/>
          <w:lang w:val="en-GB"/>
        </w:rPr>
        <w:t xml:space="preserve">the Administration Board of a School may </w:t>
      </w:r>
      <w:r w:rsidR="00174A1F">
        <w:rPr>
          <w:rFonts w:ascii="Arial" w:hAnsi="Arial" w:cs="Arial"/>
          <w:lang w:val="en-GB"/>
        </w:rPr>
        <w:t>- based</w:t>
      </w:r>
      <w:r w:rsidRPr="00016F99">
        <w:rPr>
          <w:rFonts w:ascii="Arial" w:hAnsi="Arial" w:cs="Arial"/>
          <w:lang w:val="en-GB"/>
        </w:rPr>
        <w:t xml:space="preserve"> on a proposal of the Director </w:t>
      </w:r>
      <w:r>
        <w:rPr>
          <w:rFonts w:ascii="Arial" w:hAnsi="Arial" w:cs="Arial"/>
          <w:lang w:val="en-GB"/>
        </w:rPr>
        <w:t xml:space="preserve">- </w:t>
      </w:r>
      <w:r w:rsidRPr="00016F99">
        <w:rPr>
          <w:rFonts w:ascii="Arial" w:hAnsi="Arial" w:cs="Arial"/>
          <w:lang w:val="en-GB"/>
        </w:rPr>
        <w:t>decide to appoint a member of the Administrative and Ancillary Staff as ‘accounting officer’</w:t>
      </w:r>
      <w:r>
        <w:rPr>
          <w:rFonts w:ascii="Arial" w:hAnsi="Arial" w:cs="Arial"/>
          <w:lang w:val="en-GB"/>
        </w:rPr>
        <w:t xml:space="preserve">. </w:t>
      </w:r>
      <w:r w:rsidRPr="00016F99">
        <w:rPr>
          <w:rFonts w:ascii="Arial" w:hAnsi="Arial" w:cs="Arial"/>
          <w:lang w:val="en-GB"/>
        </w:rPr>
        <w:t>Th</w:t>
      </w:r>
      <w:r>
        <w:rPr>
          <w:rFonts w:ascii="Arial" w:hAnsi="Arial" w:cs="Arial"/>
          <w:lang w:val="en-GB"/>
        </w:rPr>
        <w:t>is</w:t>
      </w:r>
      <w:r w:rsidRPr="00016F99">
        <w:rPr>
          <w:rFonts w:ascii="Arial" w:hAnsi="Arial" w:cs="Arial"/>
          <w:lang w:val="en-GB"/>
        </w:rPr>
        <w:t xml:space="preserve"> appointment can be temporary.</w:t>
      </w:r>
    </w:p>
    <w:p w:rsidR="00016F99" w:rsidRPr="00016F99" w:rsidRDefault="00016F99" w:rsidP="00016F99">
      <w:pPr>
        <w:jc w:val="both"/>
        <w:rPr>
          <w:rFonts w:ascii="Arial" w:hAnsi="Arial" w:cs="Arial"/>
          <w:lang w:val="en-GB"/>
        </w:rPr>
      </w:pPr>
      <w:r>
        <w:rPr>
          <w:rFonts w:ascii="Arial" w:hAnsi="Arial" w:cs="Arial"/>
          <w:lang w:val="en-GB"/>
        </w:rPr>
        <w:t>In fact, the Board of Governors decided in that meeting to limit the mandate of any AAS</w:t>
      </w:r>
      <w:r w:rsidRPr="00016F99">
        <w:rPr>
          <w:rFonts w:ascii="Arial" w:hAnsi="Arial" w:cs="Arial"/>
          <w:lang w:val="en-GB"/>
        </w:rPr>
        <w:t xml:space="preserve"> </w:t>
      </w:r>
      <w:r>
        <w:rPr>
          <w:rFonts w:ascii="Arial" w:hAnsi="Arial" w:cs="Arial"/>
          <w:lang w:val="en-GB"/>
        </w:rPr>
        <w:t>member being appointed as ‘Accounting Officer’ until the end of 2018.</w:t>
      </w:r>
    </w:p>
    <w:p w:rsidR="00F07A1D" w:rsidRDefault="00F07A1D" w:rsidP="001339F0">
      <w:pPr>
        <w:jc w:val="both"/>
        <w:rPr>
          <w:rFonts w:ascii="Arial" w:hAnsi="Arial" w:cs="Arial"/>
          <w:lang w:val="en-GB"/>
        </w:rPr>
      </w:pPr>
    </w:p>
    <w:p w:rsidR="00F07A1D" w:rsidRDefault="00174A1F" w:rsidP="001339F0">
      <w:pPr>
        <w:jc w:val="both"/>
        <w:rPr>
          <w:rFonts w:ascii="Arial" w:hAnsi="Arial" w:cs="Arial"/>
          <w:lang w:val="en-GB"/>
        </w:rPr>
      </w:pPr>
      <w:r>
        <w:rPr>
          <w:rFonts w:ascii="Arial" w:hAnsi="Arial" w:cs="Arial"/>
          <w:lang w:val="en-GB"/>
        </w:rPr>
        <w:t>Linked to this decision the Board of Governors decided to give to the Secretary-General the mandate to create the ‘Mobility Working Group’.</w:t>
      </w:r>
    </w:p>
    <w:p w:rsidR="001660C5" w:rsidRDefault="001660C5" w:rsidP="001339F0">
      <w:pPr>
        <w:jc w:val="both"/>
        <w:rPr>
          <w:rFonts w:ascii="Arial" w:hAnsi="Arial" w:cs="Arial"/>
          <w:lang w:val="en-GB"/>
        </w:rPr>
      </w:pPr>
    </w:p>
    <w:p w:rsidR="00F07A1D" w:rsidRDefault="00F07A1D" w:rsidP="001339F0">
      <w:pPr>
        <w:jc w:val="both"/>
        <w:rPr>
          <w:rFonts w:ascii="Arial" w:hAnsi="Arial" w:cs="Arial"/>
          <w:lang w:val="en-GB"/>
        </w:rPr>
      </w:pPr>
    </w:p>
    <w:p w:rsidR="0031635B" w:rsidRPr="0031635B" w:rsidRDefault="0031635B" w:rsidP="0031635B">
      <w:pPr>
        <w:numPr>
          <w:ilvl w:val="0"/>
          <w:numId w:val="32"/>
        </w:numPr>
        <w:jc w:val="both"/>
        <w:rPr>
          <w:rFonts w:ascii="Arial" w:hAnsi="Arial" w:cs="Arial"/>
          <w:b/>
          <w:lang w:val="en-GB"/>
        </w:rPr>
      </w:pPr>
      <w:r w:rsidRPr="0031635B">
        <w:rPr>
          <w:rFonts w:ascii="Arial" w:hAnsi="Arial" w:cs="Arial"/>
          <w:b/>
          <w:lang w:val="en-GB"/>
        </w:rPr>
        <w:t>Discussion in the Working Group</w:t>
      </w:r>
    </w:p>
    <w:p w:rsidR="0031635B" w:rsidRDefault="0031635B" w:rsidP="0031635B">
      <w:pPr>
        <w:jc w:val="both"/>
        <w:rPr>
          <w:rFonts w:ascii="Arial" w:hAnsi="Arial" w:cs="Arial"/>
          <w:lang w:val="en-GB"/>
        </w:rPr>
      </w:pPr>
    </w:p>
    <w:p w:rsidR="006A2E49" w:rsidRDefault="006A2E49" w:rsidP="0031635B">
      <w:pPr>
        <w:jc w:val="both"/>
        <w:rPr>
          <w:rFonts w:ascii="Arial" w:hAnsi="Arial" w:cs="Arial"/>
          <w:lang w:val="en-GB"/>
        </w:rPr>
      </w:pPr>
      <w:r>
        <w:rPr>
          <w:rFonts w:ascii="Arial" w:hAnsi="Arial" w:cs="Arial"/>
          <w:lang w:val="en-GB"/>
        </w:rPr>
        <w:t>With respect to the job rotation and mobility of the ‘Accounting Officers’ the Working Group recognised that the role and function of the ‘Accounting Officers’ will be addressed in the context of the second review of the Financial Regulations. The review might foresee besides a centralisation of the function of ‘Authorising Officer’ also a centralisation of the function of ‘Accounting Officer’. Depending on the outcome of the discussion of the Working group dealing with the review of the Financial Regulations the mobility of the ‘Accounting Officer’ needs to be addressed.</w:t>
      </w:r>
    </w:p>
    <w:p w:rsidR="006A2E49" w:rsidRDefault="006A2E49" w:rsidP="0031635B">
      <w:pPr>
        <w:jc w:val="both"/>
        <w:rPr>
          <w:rFonts w:ascii="Arial" w:hAnsi="Arial" w:cs="Arial"/>
          <w:lang w:val="en-GB"/>
        </w:rPr>
      </w:pPr>
    </w:p>
    <w:p w:rsidR="006A2E49" w:rsidRDefault="006A2E49" w:rsidP="0031635B">
      <w:pPr>
        <w:jc w:val="both"/>
        <w:rPr>
          <w:rFonts w:ascii="Arial" w:hAnsi="Arial" w:cs="Arial"/>
          <w:lang w:val="en-GB"/>
        </w:rPr>
      </w:pPr>
      <w:r>
        <w:rPr>
          <w:rFonts w:ascii="Arial" w:hAnsi="Arial" w:cs="Arial"/>
          <w:lang w:val="en-GB"/>
        </w:rPr>
        <w:t xml:space="preserve">The members of the Working Group stressed that one obstacle for mobility remains the different treatment between AAS members recruited before 2007 who </w:t>
      </w:r>
      <w:r w:rsidR="003F3182">
        <w:rPr>
          <w:rFonts w:ascii="Arial" w:hAnsi="Arial" w:cs="Arial"/>
          <w:lang w:val="en-GB"/>
        </w:rPr>
        <w:t>keep</w:t>
      </w:r>
      <w:r>
        <w:rPr>
          <w:rFonts w:ascii="Arial" w:hAnsi="Arial" w:cs="Arial"/>
          <w:lang w:val="en-GB"/>
        </w:rPr>
        <w:t xml:space="preserve"> their acquired rights and are paid in accordance with Annex III of the AAS Regulations and those recruited as of April 2007 who are paid in accordance with Annex II of the Service Regulations</w:t>
      </w:r>
    </w:p>
    <w:p w:rsidR="006A2E49" w:rsidRDefault="006A2E49" w:rsidP="0031635B">
      <w:pPr>
        <w:jc w:val="both"/>
        <w:rPr>
          <w:rFonts w:ascii="Arial" w:hAnsi="Arial" w:cs="Arial"/>
          <w:lang w:val="en-GB"/>
        </w:rPr>
      </w:pPr>
    </w:p>
    <w:p w:rsidR="006A2E49" w:rsidRDefault="006A2E49" w:rsidP="0031635B">
      <w:pPr>
        <w:jc w:val="both"/>
        <w:rPr>
          <w:rFonts w:ascii="Arial" w:hAnsi="Arial" w:cs="Arial"/>
          <w:lang w:val="en-GB"/>
        </w:rPr>
      </w:pPr>
      <w:r>
        <w:rPr>
          <w:rFonts w:ascii="Arial" w:hAnsi="Arial" w:cs="Arial"/>
          <w:lang w:val="en-GB"/>
        </w:rPr>
        <w:t xml:space="preserve">A first proposal to overcome </w:t>
      </w:r>
      <w:r w:rsidR="003F3182">
        <w:rPr>
          <w:rFonts w:ascii="Arial" w:hAnsi="Arial" w:cs="Arial"/>
          <w:lang w:val="en-GB"/>
        </w:rPr>
        <w:t xml:space="preserve">at least </w:t>
      </w:r>
      <w:r>
        <w:rPr>
          <w:rFonts w:ascii="Arial" w:hAnsi="Arial" w:cs="Arial"/>
          <w:lang w:val="en-GB"/>
        </w:rPr>
        <w:t xml:space="preserve">the differences between Annex II and Annex III of the Service Regulations </w:t>
      </w:r>
      <w:r w:rsidR="003F3182">
        <w:rPr>
          <w:rFonts w:ascii="Arial" w:hAnsi="Arial" w:cs="Arial"/>
          <w:lang w:val="en-GB"/>
        </w:rPr>
        <w:t xml:space="preserve">and to harmonize the two salary grids </w:t>
      </w:r>
      <w:r>
        <w:rPr>
          <w:rFonts w:ascii="Arial" w:hAnsi="Arial" w:cs="Arial"/>
          <w:lang w:val="en-GB"/>
        </w:rPr>
        <w:t>did not find the necessary support in the Bud</w:t>
      </w:r>
      <w:r w:rsidR="003F3182">
        <w:rPr>
          <w:rFonts w:ascii="Arial" w:hAnsi="Arial" w:cs="Arial"/>
          <w:lang w:val="en-GB"/>
        </w:rPr>
        <w:t>getary Committee in March 2016.</w:t>
      </w:r>
      <w:r>
        <w:rPr>
          <w:rFonts w:ascii="Arial" w:hAnsi="Arial" w:cs="Arial"/>
          <w:lang w:val="en-GB"/>
        </w:rPr>
        <w:t xml:space="preserve"> </w:t>
      </w:r>
    </w:p>
    <w:p w:rsidR="003F3182" w:rsidRDefault="003F3182" w:rsidP="0031635B">
      <w:pPr>
        <w:jc w:val="both"/>
        <w:rPr>
          <w:rFonts w:ascii="Arial" w:hAnsi="Arial" w:cs="Arial"/>
          <w:lang w:val="en-GB"/>
        </w:rPr>
      </w:pPr>
    </w:p>
    <w:p w:rsidR="009863DA" w:rsidRDefault="003F3182" w:rsidP="0031635B">
      <w:pPr>
        <w:jc w:val="both"/>
        <w:rPr>
          <w:rFonts w:ascii="Arial" w:hAnsi="Arial" w:cs="Arial"/>
          <w:lang w:val="en-GB"/>
        </w:rPr>
      </w:pPr>
      <w:r>
        <w:rPr>
          <w:rFonts w:ascii="Arial" w:hAnsi="Arial" w:cs="Arial"/>
          <w:lang w:val="en-GB"/>
        </w:rPr>
        <w:t>Another option to limit this obstacle could be to entitle staff members who change the school and change in that moment their employer to keep their right to be paid in accordance with their previous rights. Obviously this would mean that these colleagues would be treated differently than candidates who apply from outside of the system of the European Schools.</w:t>
      </w:r>
      <w:r w:rsidR="009863DA">
        <w:rPr>
          <w:rFonts w:ascii="Arial" w:hAnsi="Arial" w:cs="Arial"/>
          <w:lang w:val="en-GB"/>
        </w:rPr>
        <w:t xml:space="preserve"> The Members of the Working Group came to the conclusion that – in analogy to Article 38 of the Service Regulations for Locally Recruited </w:t>
      </w:r>
      <w:r w:rsidR="00EC0B7A">
        <w:rPr>
          <w:rFonts w:ascii="Arial" w:hAnsi="Arial" w:cs="Arial"/>
          <w:lang w:val="en-GB"/>
        </w:rPr>
        <w:t>Teachers –</w:t>
      </w:r>
      <w:r w:rsidR="009863DA">
        <w:rPr>
          <w:rFonts w:ascii="Arial" w:hAnsi="Arial" w:cs="Arial"/>
          <w:lang w:val="en-GB"/>
        </w:rPr>
        <w:t xml:space="preserve"> administrative and ancillary staff members could keep their acquired rights when moving to another school or the Office of the Secretary-General.</w:t>
      </w:r>
    </w:p>
    <w:p w:rsidR="003F3182" w:rsidRDefault="003F3182" w:rsidP="0031635B">
      <w:pPr>
        <w:jc w:val="both"/>
        <w:rPr>
          <w:rFonts w:ascii="Arial" w:hAnsi="Arial" w:cs="Arial"/>
          <w:lang w:val="en-GB"/>
        </w:rPr>
      </w:pPr>
    </w:p>
    <w:p w:rsidR="003F3182" w:rsidRDefault="003F3182" w:rsidP="0031635B">
      <w:pPr>
        <w:jc w:val="both"/>
        <w:rPr>
          <w:rFonts w:ascii="Arial" w:hAnsi="Arial" w:cs="Arial"/>
          <w:lang w:val="en-GB"/>
        </w:rPr>
      </w:pPr>
    </w:p>
    <w:p w:rsidR="003F3182" w:rsidRDefault="003F3182" w:rsidP="0031635B">
      <w:pPr>
        <w:jc w:val="both"/>
        <w:rPr>
          <w:rFonts w:ascii="Arial" w:hAnsi="Arial" w:cs="Arial"/>
          <w:lang w:val="en-GB"/>
        </w:rPr>
      </w:pPr>
      <w:r>
        <w:rPr>
          <w:rFonts w:ascii="Arial" w:hAnsi="Arial" w:cs="Arial"/>
          <w:lang w:val="en-GB"/>
        </w:rPr>
        <w:lastRenderedPageBreak/>
        <w:t>Moreover, the members of the Working Group discussed possible incentives to promote mobility. Different from seconded staff members the members of the Administrative and Ancillary Staff do not receive a removal, installation or reinstallation allowance.</w:t>
      </w:r>
      <w:r w:rsidR="009863DA">
        <w:rPr>
          <w:rFonts w:ascii="Arial" w:hAnsi="Arial" w:cs="Arial"/>
          <w:lang w:val="en-GB"/>
        </w:rPr>
        <w:t xml:space="preserve"> Locally Recruited Teachers do receive at least a removal allowance.</w:t>
      </w:r>
    </w:p>
    <w:p w:rsidR="003F3182" w:rsidRDefault="003F3182" w:rsidP="0031635B">
      <w:pPr>
        <w:jc w:val="both"/>
        <w:rPr>
          <w:rFonts w:ascii="Arial" w:hAnsi="Arial" w:cs="Arial"/>
          <w:lang w:val="en-GB"/>
        </w:rPr>
      </w:pPr>
    </w:p>
    <w:p w:rsidR="003F3182" w:rsidRDefault="003F3182" w:rsidP="0031635B">
      <w:pPr>
        <w:jc w:val="both"/>
        <w:rPr>
          <w:rFonts w:ascii="Arial" w:hAnsi="Arial" w:cs="Arial"/>
          <w:lang w:val="en-GB"/>
        </w:rPr>
      </w:pPr>
      <w:r>
        <w:rPr>
          <w:rFonts w:ascii="Arial" w:hAnsi="Arial" w:cs="Arial"/>
          <w:lang w:val="en-GB"/>
        </w:rPr>
        <w:t xml:space="preserve">In this context it was questioned whether such allowances should be foreseen only to promote mobility in the most sensitive areas or </w:t>
      </w:r>
      <w:r w:rsidR="00A64982">
        <w:rPr>
          <w:rFonts w:ascii="Arial" w:hAnsi="Arial" w:cs="Arial"/>
          <w:lang w:val="en-GB"/>
        </w:rPr>
        <w:t xml:space="preserve">whether mobility packages </w:t>
      </w:r>
      <w:r>
        <w:rPr>
          <w:rFonts w:ascii="Arial" w:hAnsi="Arial" w:cs="Arial"/>
          <w:lang w:val="en-GB"/>
        </w:rPr>
        <w:t>should be envisaged for all members of the Administrative and Ancillary Staff who demonstrate mobility in the interest of the Service.</w:t>
      </w:r>
    </w:p>
    <w:p w:rsidR="003F3182" w:rsidRDefault="003F3182" w:rsidP="0031635B">
      <w:pPr>
        <w:jc w:val="both"/>
        <w:rPr>
          <w:rFonts w:ascii="Arial" w:hAnsi="Arial" w:cs="Arial"/>
          <w:lang w:val="en-GB"/>
        </w:rPr>
      </w:pPr>
    </w:p>
    <w:p w:rsidR="00A13C27" w:rsidRDefault="006A2E49" w:rsidP="0031635B">
      <w:pPr>
        <w:jc w:val="both"/>
        <w:rPr>
          <w:rFonts w:ascii="Arial" w:hAnsi="Arial" w:cs="Arial"/>
          <w:lang w:val="en-GB"/>
        </w:rPr>
      </w:pPr>
      <w:r>
        <w:rPr>
          <w:rFonts w:ascii="Arial" w:hAnsi="Arial" w:cs="Arial"/>
          <w:lang w:val="en-GB"/>
        </w:rPr>
        <w:t xml:space="preserve"> </w:t>
      </w:r>
    </w:p>
    <w:p w:rsidR="001660C5" w:rsidRDefault="001660C5" w:rsidP="0031635B">
      <w:pPr>
        <w:jc w:val="both"/>
        <w:rPr>
          <w:rFonts w:ascii="Arial" w:hAnsi="Arial" w:cs="Arial"/>
          <w:lang w:val="en-GB"/>
        </w:rPr>
      </w:pPr>
    </w:p>
    <w:p w:rsidR="0031635B" w:rsidRPr="0031635B" w:rsidRDefault="0031635B" w:rsidP="0031635B">
      <w:pPr>
        <w:numPr>
          <w:ilvl w:val="0"/>
          <w:numId w:val="32"/>
        </w:numPr>
        <w:jc w:val="both"/>
        <w:rPr>
          <w:rFonts w:ascii="Arial" w:hAnsi="Arial" w:cs="Arial"/>
          <w:b/>
          <w:lang w:val="en-GB"/>
        </w:rPr>
      </w:pPr>
      <w:r w:rsidRPr="0031635B">
        <w:rPr>
          <w:rFonts w:ascii="Arial" w:hAnsi="Arial" w:cs="Arial"/>
          <w:b/>
          <w:lang w:val="en-GB"/>
        </w:rPr>
        <w:t>Recommendations of the Working Group</w:t>
      </w:r>
    </w:p>
    <w:p w:rsidR="00CE2308" w:rsidRDefault="00CE2308" w:rsidP="001339F0">
      <w:pPr>
        <w:jc w:val="both"/>
        <w:rPr>
          <w:rFonts w:ascii="Arial" w:hAnsi="Arial" w:cs="Arial"/>
          <w:lang w:val="en-GB"/>
        </w:rPr>
      </w:pPr>
    </w:p>
    <w:p w:rsidR="00A64982" w:rsidRDefault="00A64982" w:rsidP="00A64982">
      <w:pPr>
        <w:numPr>
          <w:ilvl w:val="0"/>
          <w:numId w:val="35"/>
        </w:numPr>
        <w:jc w:val="both"/>
        <w:rPr>
          <w:rFonts w:ascii="Arial" w:hAnsi="Arial" w:cs="Arial"/>
          <w:lang w:val="en-GB"/>
        </w:rPr>
      </w:pPr>
      <w:r>
        <w:rPr>
          <w:rFonts w:ascii="Arial" w:hAnsi="Arial" w:cs="Arial"/>
          <w:lang w:val="en-GB"/>
        </w:rPr>
        <w:t>The Working Group recommends that the mobility of ‘Accounting Officers’ has to be addressed in the light of the outcome of the Review of the Financial Regulation.</w:t>
      </w:r>
    </w:p>
    <w:p w:rsidR="00A64982" w:rsidRDefault="00A64982" w:rsidP="00A64982">
      <w:pPr>
        <w:jc w:val="both"/>
        <w:rPr>
          <w:rFonts w:ascii="Arial" w:hAnsi="Arial" w:cs="Arial"/>
          <w:lang w:val="en-GB"/>
        </w:rPr>
      </w:pPr>
    </w:p>
    <w:p w:rsidR="00A64982" w:rsidRDefault="00A64982" w:rsidP="00A64982">
      <w:pPr>
        <w:numPr>
          <w:ilvl w:val="0"/>
          <w:numId w:val="35"/>
        </w:numPr>
        <w:jc w:val="both"/>
        <w:rPr>
          <w:rFonts w:ascii="Arial" w:hAnsi="Arial" w:cs="Arial"/>
          <w:lang w:val="en-GB"/>
        </w:rPr>
      </w:pPr>
      <w:r>
        <w:rPr>
          <w:rFonts w:ascii="Arial" w:hAnsi="Arial" w:cs="Arial"/>
          <w:lang w:val="en-GB"/>
        </w:rPr>
        <w:t xml:space="preserve">Moreover, the Working Group recommends </w:t>
      </w:r>
      <w:r w:rsidR="002C54A7">
        <w:rPr>
          <w:rFonts w:ascii="Arial" w:hAnsi="Arial" w:cs="Arial"/>
          <w:lang w:val="en-GB"/>
        </w:rPr>
        <w:t>overcoming</w:t>
      </w:r>
      <w:r>
        <w:rPr>
          <w:rFonts w:ascii="Arial" w:hAnsi="Arial" w:cs="Arial"/>
          <w:lang w:val="en-GB"/>
        </w:rPr>
        <w:t xml:space="preserve"> obstacles that hinder the mobility of Administrative and Ancillary Staff.</w:t>
      </w:r>
      <w:r w:rsidR="009863DA">
        <w:rPr>
          <w:rFonts w:ascii="Arial" w:hAnsi="Arial" w:cs="Arial"/>
          <w:lang w:val="en-GB"/>
        </w:rPr>
        <w:t xml:space="preserve"> One idea would be to maintain the acquired rights of those staff members, who are willing to change the school.</w:t>
      </w:r>
    </w:p>
    <w:p w:rsidR="00A64982" w:rsidRDefault="00A64982" w:rsidP="00A64982">
      <w:pPr>
        <w:jc w:val="both"/>
        <w:rPr>
          <w:rFonts w:ascii="Arial" w:hAnsi="Arial" w:cs="Arial"/>
          <w:lang w:val="en-GB"/>
        </w:rPr>
      </w:pPr>
    </w:p>
    <w:p w:rsidR="00A64982" w:rsidRDefault="00A64982" w:rsidP="00A64982">
      <w:pPr>
        <w:numPr>
          <w:ilvl w:val="0"/>
          <w:numId w:val="35"/>
        </w:numPr>
        <w:jc w:val="both"/>
        <w:rPr>
          <w:rFonts w:ascii="Arial" w:hAnsi="Arial" w:cs="Arial"/>
          <w:lang w:val="en-GB"/>
        </w:rPr>
      </w:pPr>
      <w:r>
        <w:rPr>
          <w:rFonts w:ascii="Arial" w:hAnsi="Arial" w:cs="Arial"/>
          <w:lang w:val="en-GB"/>
        </w:rPr>
        <w:t xml:space="preserve">Finally, the Working Group recommends to  </w:t>
      </w:r>
      <w:r w:rsidR="009863DA">
        <w:rPr>
          <w:rFonts w:ascii="Arial" w:hAnsi="Arial" w:cs="Arial"/>
          <w:lang w:val="en-GB"/>
        </w:rPr>
        <w:t xml:space="preserve"> </w:t>
      </w:r>
      <w:r>
        <w:rPr>
          <w:rFonts w:ascii="Arial" w:hAnsi="Arial" w:cs="Arial"/>
          <w:lang w:val="en-GB"/>
        </w:rPr>
        <w:t xml:space="preserve">further </w:t>
      </w:r>
      <w:r w:rsidR="00EC0B7A">
        <w:rPr>
          <w:rFonts w:ascii="Arial" w:hAnsi="Arial" w:cs="Arial"/>
          <w:lang w:val="en-GB"/>
        </w:rPr>
        <w:t>discussing</w:t>
      </w:r>
      <w:r>
        <w:rPr>
          <w:rFonts w:ascii="Arial" w:hAnsi="Arial" w:cs="Arial"/>
          <w:lang w:val="en-GB"/>
        </w:rPr>
        <w:t xml:space="preserve"> ‘mobility packages’ for AAS members who are willing to change the school in the interest of the service.</w:t>
      </w:r>
    </w:p>
    <w:p w:rsidR="00DA070F" w:rsidRDefault="00DA070F" w:rsidP="00D55110">
      <w:pPr>
        <w:pStyle w:val="ListParagraph"/>
        <w:rPr>
          <w:rFonts w:ascii="Arial" w:hAnsi="Arial" w:cs="Arial"/>
          <w:lang w:val="en-GB"/>
        </w:rPr>
      </w:pPr>
    </w:p>
    <w:p w:rsidR="00DA070F" w:rsidRDefault="00DA070F" w:rsidP="00A64982">
      <w:pPr>
        <w:numPr>
          <w:ilvl w:val="0"/>
          <w:numId w:val="35"/>
        </w:numPr>
        <w:jc w:val="both"/>
        <w:rPr>
          <w:rFonts w:ascii="Arial" w:hAnsi="Arial" w:cs="Arial"/>
          <w:lang w:val="en-GB"/>
        </w:rPr>
      </w:pPr>
      <w:r>
        <w:rPr>
          <w:rFonts w:ascii="Arial" w:hAnsi="Arial" w:cs="Arial"/>
          <w:lang w:val="en-GB"/>
        </w:rPr>
        <w:t>Both ‘mobility measures’ could be reviewed after three years.</w:t>
      </w:r>
    </w:p>
    <w:p w:rsidR="00A64982" w:rsidRDefault="00A64982" w:rsidP="00A64982">
      <w:pPr>
        <w:jc w:val="both"/>
        <w:rPr>
          <w:rFonts w:ascii="Arial" w:hAnsi="Arial" w:cs="Arial"/>
          <w:lang w:val="en-GB"/>
        </w:rPr>
      </w:pPr>
    </w:p>
    <w:p w:rsidR="0031635B" w:rsidRDefault="0031635B" w:rsidP="001339F0">
      <w:pPr>
        <w:jc w:val="both"/>
        <w:rPr>
          <w:rFonts w:ascii="Arial" w:hAnsi="Arial" w:cs="Arial"/>
          <w:lang w:val="en-GB"/>
        </w:rPr>
      </w:pPr>
    </w:p>
    <w:p w:rsidR="00CE2308" w:rsidRPr="00CE2308" w:rsidRDefault="00CE2308" w:rsidP="00CE2308">
      <w:pPr>
        <w:numPr>
          <w:ilvl w:val="0"/>
          <w:numId w:val="1"/>
        </w:numPr>
        <w:jc w:val="both"/>
        <w:rPr>
          <w:rFonts w:ascii="Arial" w:hAnsi="Arial" w:cs="Arial"/>
          <w:b/>
          <w:lang w:val="en-GB"/>
        </w:rPr>
      </w:pPr>
      <w:r w:rsidRPr="00CE2308">
        <w:rPr>
          <w:rFonts w:ascii="Arial" w:hAnsi="Arial" w:cs="Arial"/>
          <w:b/>
          <w:lang w:val="en-GB"/>
        </w:rPr>
        <w:t>Recapitulation</w:t>
      </w:r>
    </w:p>
    <w:p w:rsidR="00CE2308" w:rsidRDefault="00CE2308" w:rsidP="00CE2308">
      <w:pPr>
        <w:jc w:val="both"/>
        <w:rPr>
          <w:rFonts w:ascii="Arial" w:hAnsi="Arial" w:cs="Arial"/>
          <w:lang w:val="en-GB"/>
        </w:rPr>
      </w:pPr>
    </w:p>
    <w:p w:rsidR="00CE2308" w:rsidRDefault="00CE2308" w:rsidP="00CE2308">
      <w:pPr>
        <w:jc w:val="both"/>
        <w:rPr>
          <w:rFonts w:ascii="Arial" w:hAnsi="Arial" w:cs="Arial"/>
          <w:lang w:val="en-GB"/>
        </w:rPr>
      </w:pPr>
      <w:r>
        <w:rPr>
          <w:rFonts w:ascii="Arial" w:hAnsi="Arial" w:cs="Arial"/>
          <w:lang w:val="en-GB"/>
        </w:rPr>
        <w:t xml:space="preserve">So far mobility of staff was not in the focus of the human resources policy of the European Schools. </w:t>
      </w:r>
    </w:p>
    <w:p w:rsidR="00CE2308" w:rsidRDefault="00CE2308" w:rsidP="00CE2308">
      <w:pPr>
        <w:jc w:val="both"/>
        <w:rPr>
          <w:rFonts w:ascii="Arial" w:hAnsi="Arial" w:cs="Arial"/>
          <w:lang w:val="en-GB"/>
        </w:rPr>
      </w:pPr>
    </w:p>
    <w:p w:rsidR="00CE2308" w:rsidRDefault="00CE2308" w:rsidP="00CE2308">
      <w:pPr>
        <w:jc w:val="both"/>
        <w:rPr>
          <w:rFonts w:ascii="Arial" w:hAnsi="Arial" w:cs="Arial"/>
          <w:lang w:val="en-GB"/>
        </w:rPr>
      </w:pPr>
      <w:r>
        <w:rPr>
          <w:rFonts w:ascii="Arial" w:hAnsi="Arial" w:cs="Arial"/>
          <w:lang w:val="en-GB"/>
        </w:rPr>
        <w:t>Nevertheless, several measures have been taken to overcome some obstacles hindering the mobility of the administrative staff among the schools.</w:t>
      </w:r>
    </w:p>
    <w:p w:rsidR="00CE2308" w:rsidRDefault="00CE2308" w:rsidP="00CE2308">
      <w:pPr>
        <w:jc w:val="both"/>
        <w:rPr>
          <w:rFonts w:ascii="Arial" w:hAnsi="Arial" w:cs="Arial"/>
          <w:lang w:val="en-GB"/>
        </w:rPr>
      </w:pPr>
      <w:r>
        <w:rPr>
          <w:rFonts w:ascii="Arial" w:hAnsi="Arial" w:cs="Arial"/>
          <w:lang w:val="en-GB"/>
        </w:rPr>
        <w:t xml:space="preserve"> </w:t>
      </w:r>
    </w:p>
    <w:p w:rsidR="00CE2308" w:rsidRDefault="00CE2308" w:rsidP="00CE2308">
      <w:pPr>
        <w:jc w:val="both"/>
        <w:rPr>
          <w:rFonts w:ascii="Arial" w:hAnsi="Arial" w:cs="Arial"/>
          <w:lang w:val="en-GB"/>
        </w:rPr>
      </w:pPr>
      <w:r>
        <w:rPr>
          <w:rFonts w:ascii="Arial" w:hAnsi="Arial" w:cs="Arial"/>
          <w:lang w:val="en-GB"/>
        </w:rPr>
        <w:t xml:space="preserve">Measures to enforce mobility have not been </w:t>
      </w:r>
      <w:r w:rsidR="00290CAB">
        <w:rPr>
          <w:rFonts w:ascii="Arial" w:hAnsi="Arial" w:cs="Arial"/>
          <w:lang w:val="en-GB"/>
        </w:rPr>
        <w:t>developed.</w:t>
      </w:r>
    </w:p>
    <w:p w:rsidR="00290CAB" w:rsidRDefault="00290CAB" w:rsidP="00CE2308">
      <w:pPr>
        <w:jc w:val="both"/>
        <w:rPr>
          <w:rFonts w:ascii="Arial" w:hAnsi="Arial" w:cs="Arial"/>
          <w:lang w:val="en-GB"/>
        </w:rPr>
      </w:pPr>
    </w:p>
    <w:p w:rsidR="00290CAB" w:rsidRDefault="00290CAB" w:rsidP="00CE2308">
      <w:pPr>
        <w:jc w:val="both"/>
        <w:rPr>
          <w:rFonts w:ascii="Arial" w:hAnsi="Arial" w:cs="Arial"/>
          <w:lang w:val="en-GB"/>
        </w:rPr>
      </w:pPr>
      <w:r>
        <w:rPr>
          <w:rFonts w:ascii="Arial" w:hAnsi="Arial" w:cs="Arial"/>
          <w:lang w:val="en-GB"/>
        </w:rPr>
        <w:t>A first discussion concerning the mobility of Bursars took place in the Working Group dealing with the ‘Situation of the Bursars in the European Schools’.</w:t>
      </w:r>
    </w:p>
    <w:p w:rsidR="00290CAB" w:rsidRDefault="00290CAB" w:rsidP="00CE2308">
      <w:pPr>
        <w:jc w:val="both"/>
        <w:rPr>
          <w:rFonts w:ascii="Arial" w:hAnsi="Arial" w:cs="Arial"/>
          <w:lang w:val="en-GB"/>
        </w:rPr>
      </w:pPr>
    </w:p>
    <w:p w:rsidR="00290CAB" w:rsidRDefault="00290CAB" w:rsidP="00CE2308">
      <w:pPr>
        <w:jc w:val="both"/>
        <w:rPr>
          <w:rFonts w:ascii="Arial" w:hAnsi="Arial" w:cs="Arial"/>
          <w:lang w:val="en-GB"/>
        </w:rPr>
      </w:pPr>
      <w:r>
        <w:rPr>
          <w:rFonts w:ascii="Arial" w:hAnsi="Arial" w:cs="Arial"/>
          <w:lang w:val="en-GB"/>
        </w:rPr>
        <w:t>The members of that Working Group agreed that a distinction should be made between seconded and locally recruited staff.</w:t>
      </w:r>
    </w:p>
    <w:p w:rsidR="00290CAB" w:rsidRDefault="00290CAB" w:rsidP="00CE2308">
      <w:pPr>
        <w:jc w:val="both"/>
        <w:rPr>
          <w:rFonts w:ascii="Arial" w:hAnsi="Arial" w:cs="Arial"/>
          <w:lang w:val="en-GB"/>
        </w:rPr>
      </w:pPr>
    </w:p>
    <w:p w:rsidR="00290CAB" w:rsidRDefault="00290CAB" w:rsidP="00CE2308">
      <w:pPr>
        <w:jc w:val="both"/>
        <w:rPr>
          <w:rFonts w:ascii="Arial" w:hAnsi="Arial" w:cs="Arial"/>
          <w:lang w:val="en-GB"/>
        </w:rPr>
      </w:pPr>
      <w:r>
        <w:rPr>
          <w:rFonts w:ascii="Arial" w:hAnsi="Arial" w:cs="Arial"/>
          <w:lang w:val="en-GB"/>
        </w:rPr>
        <w:t>The limitation of the length of secondment or the extension of the length of secondment could be used as a measure to promote mobility of seconded staff.</w:t>
      </w:r>
    </w:p>
    <w:p w:rsidR="00290CAB" w:rsidRDefault="00290CAB" w:rsidP="00CE2308">
      <w:pPr>
        <w:jc w:val="both"/>
        <w:rPr>
          <w:rFonts w:ascii="Arial" w:hAnsi="Arial" w:cs="Arial"/>
          <w:lang w:val="en-GB"/>
        </w:rPr>
      </w:pPr>
    </w:p>
    <w:p w:rsidR="00290CAB" w:rsidRDefault="00290CAB" w:rsidP="00CE2308">
      <w:pPr>
        <w:jc w:val="both"/>
        <w:rPr>
          <w:rFonts w:ascii="Arial" w:hAnsi="Arial" w:cs="Arial"/>
          <w:lang w:val="en-GB"/>
        </w:rPr>
      </w:pPr>
      <w:r>
        <w:rPr>
          <w:rFonts w:ascii="Arial" w:hAnsi="Arial" w:cs="Arial"/>
          <w:lang w:val="en-GB"/>
        </w:rPr>
        <w:lastRenderedPageBreak/>
        <w:t>This instrument (limitation of length of contract) has its legal limits with respect to labour contracts underlying the national law like this is the case for the members of the administrative and a</w:t>
      </w:r>
      <w:r w:rsidR="00394570">
        <w:rPr>
          <w:rFonts w:ascii="Arial" w:hAnsi="Arial" w:cs="Arial"/>
          <w:lang w:val="en-GB"/>
        </w:rPr>
        <w:t>ncillary staff of the European S</w:t>
      </w:r>
      <w:r>
        <w:rPr>
          <w:rFonts w:ascii="Arial" w:hAnsi="Arial" w:cs="Arial"/>
          <w:lang w:val="en-GB"/>
        </w:rPr>
        <w:t>chools.</w:t>
      </w:r>
    </w:p>
    <w:p w:rsidR="00394570" w:rsidRDefault="00394570" w:rsidP="00CE2308">
      <w:pPr>
        <w:jc w:val="both"/>
        <w:rPr>
          <w:rFonts w:ascii="Arial" w:hAnsi="Arial" w:cs="Arial"/>
          <w:lang w:val="en-GB"/>
        </w:rPr>
      </w:pPr>
    </w:p>
    <w:p w:rsidR="00394570" w:rsidRDefault="00517884" w:rsidP="00CE2308">
      <w:pPr>
        <w:jc w:val="both"/>
        <w:rPr>
          <w:rFonts w:ascii="Arial" w:hAnsi="Arial" w:cs="Arial"/>
          <w:lang w:val="en-GB"/>
        </w:rPr>
      </w:pPr>
      <w:r>
        <w:rPr>
          <w:rFonts w:ascii="Arial" w:hAnsi="Arial" w:cs="Arial"/>
          <w:lang w:val="en-GB"/>
        </w:rPr>
        <w:t>In line with the jurisdiction of the European Court of Justice the national labour law</w:t>
      </w:r>
      <w:r w:rsidR="00D52E6C">
        <w:rPr>
          <w:rFonts w:ascii="Arial" w:hAnsi="Arial" w:cs="Arial"/>
          <w:lang w:val="en-GB"/>
        </w:rPr>
        <w:t>s</w:t>
      </w:r>
      <w:r>
        <w:rPr>
          <w:rFonts w:ascii="Arial" w:hAnsi="Arial" w:cs="Arial"/>
          <w:lang w:val="en-GB"/>
        </w:rPr>
        <w:t xml:space="preserve"> of the hosting Member States only allow under very restricted conditions a limitation of contracts.</w:t>
      </w:r>
    </w:p>
    <w:p w:rsidR="00394570" w:rsidRDefault="00394570" w:rsidP="00CE2308">
      <w:pPr>
        <w:jc w:val="both"/>
        <w:rPr>
          <w:rFonts w:ascii="Arial" w:hAnsi="Arial" w:cs="Arial"/>
          <w:lang w:val="en-GB"/>
        </w:rPr>
      </w:pPr>
    </w:p>
    <w:p w:rsidR="00394570" w:rsidRDefault="00394570" w:rsidP="00CE2308">
      <w:pPr>
        <w:jc w:val="both"/>
        <w:rPr>
          <w:rFonts w:ascii="Arial" w:hAnsi="Arial" w:cs="Arial"/>
          <w:lang w:val="en-GB"/>
        </w:rPr>
      </w:pPr>
      <w:r>
        <w:rPr>
          <w:rFonts w:ascii="Arial" w:hAnsi="Arial" w:cs="Arial"/>
          <w:lang w:val="en-GB"/>
        </w:rPr>
        <w:t>This means that the working group might have to focus on incentives promoting the mobility of locally recruited staff of the European Schools.</w:t>
      </w:r>
    </w:p>
    <w:p w:rsidR="00783531" w:rsidRDefault="00783531" w:rsidP="00CE2308">
      <w:pPr>
        <w:jc w:val="both"/>
        <w:rPr>
          <w:rFonts w:ascii="Arial" w:hAnsi="Arial" w:cs="Arial"/>
          <w:lang w:val="en-GB"/>
        </w:rPr>
      </w:pPr>
    </w:p>
    <w:p w:rsidR="00783531" w:rsidRDefault="00783531" w:rsidP="00CE2308">
      <w:pPr>
        <w:jc w:val="both"/>
        <w:rPr>
          <w:rFonts w:ascii="Arial" w:hAnsi="Arial" w:cs="Arial"/>
          <w:lang w:val="en-GB"/>
        </w:rPr>
      </w:pPr>
      <w:r>
        <w:rPr>
          <w:rFonts w:ascii="Arial" w:hAnsi="Arial" w:cs="Arial"/>
          <w:lang w:val="en-GB"/>
        </w:rPr>
        <w:t xml:space="preserve">Moreover, the central planning concerning potential vacancies needs to be improved </w:t>
      </w:r>
      <w:r w:rsidR="00F51E68">
        <w:rPr>
          <w:rFonts w:ascii="Arial" w:hAnsi="Arial" w:cs="Arial"/>
          <w:lang w:val="en-GB"/>
        </w:rPr>
        <w:t xml:space="preserve">and </w:t>
      </w:r>
      <w:r w:rsidR="0006213C">
        <w:rPr>
          <w:rFonts w:ascii="Arial" w:hAnsi="Arial" w:cs="Arial"/>
          <w:lang w:val="en-GB"/>
        </w:rPr>
        <w:t>s</w:t>
      </w:r>
      <w:r w:rsidR="00F51E68">
        <w:rPr>
          <w:rFonts w:ascii="Arial" w:hAnsi="Arial" w:cs="Arial"/>
          <w:lang w:val="en-GB"/>
        </w:rPr>
        <w:t>taff members need</w:t>
      </w:r>
      <w:r>
        <w:rPr>
          <w:rFonts w:ascii="Arial" w:hAnsi="Arial" w:cs="Arial"/>
          <w:lang w:val="en-GB"/>
        </w:rPr>
        <w:t xml:space="preserve"> to be informed well in advance about potential vacancies. In this context a centrally managed ‘job exchange’ could promote mobility. </w:t>
      </w:r>
    </w:p>
    <w:p w:rsidR="0006213C" w:rsidRDefault="0006213C" w:rsidP="00CE2308">
      <w:pPr>
        <w:jc w:val="both"/>
        <w:rPr>
          <w:rFonts w:ascii="Arial" w:hAnsi="Arial" w:cs="Arial"/>
          <w:lang w:val="en-GB"/>
        </w:rPr>
      </w:pPr>
    </w:p>
    <w:p w:rsidR="00E9463E" w:rsidRDefault="0006213C" w:rsidP="00CE2308">
      <w:pPr>
        <w:jc w:val="both"/>
        <w:rPr>
          <w:rFonts w:ascii="Arial" w:hAnsi="Arial" w:cs="Arial"/>
          <w:lang w:val="en-GB"/>
        </w:rPr>
      </w:pPr>
      <w:r>
        <w:rPr>
          <w:rFonts w:ascii="Arial" w:hAnsi="Arial" w:cs="Arial"/>
          <w:lang w:val="en-GB"/>
        </w:rPr>
        <w:t xml:space="preserve">Another idea to promote mobility could be to foresee ‘cross-function job </w:t>
      </w:r>
      <w:r w:rsidR="001E7722">
        <w:rPr>
          <w:rFonts w:ascii="Arial" w:hAnsi="Arial" w:cs="Arial"/>
          <w:lang w:val="en-GB"/>
        </w:rPr>
        <w:t xml:space="preserve">assignments. </w:t>
      </w:r>
    </w:p>
    <w:p w:rsidR="00E9463E" w:rsidRDefault="001E7722" w:rsidP="00CE2308">
      <w:pPr>
        <w:jc w:val="both"/>
        <w:rPr>
          <w:rFonts w:ascii="Arial" w:hAnsi="Arial" w:cs="Arial"/>
          <w:lang w:val="en-GB"/>
        </w:rPr>
      </w:pPr>
      <w:r>
        <w:rPr>
          <w:rFonts w:ascii="Arial" w:hAnsi="Arial" w:cs="Arial"/>
          <w:lang w:val="en-GB"/>
        </w:rPr>
        <w:t>I</w:t>
      </w:r>
      <w:r w:rsidR="00E9463E">
        <w:rPr>
          <w:rFonts w:ascii="Arial" w:hAnsi="Arial" w:cs="Arial"/>
          <w:lang w:val="en-GB"/>
        </w:rPr>
        <w:t xml:space="preserve">n public organizations, there is a tendency to isolate </w:t>
      </w:r>
      <w:r>
        <w:rPr>
          <w:rFonts w:ascii="Arial" w:hAnsi="Arial" w:cs="Arial"/>
          <w:lang w:val="en-GB"/>
        </w:rPr>
        <w:t>units</w:t>
      </w:r>
      <w:r w:rsidR="00E9463E">
        <w:rPr>
          <w:rFonts w:ascii="Arial" w:hAnsi="Arial" w:cs="Arial"/>
          <w:lang w:val="en-GB"/>
        </w:rPr>
        <w:t xml:space="preserve"> from each other. This creates boundaries between functions which are </w:t>
      </w:r>
      <w:r>
        <w:rPr>
          <w:rFonts w:ascii="Arial" w:hAnsi="Arial" w:cs="Arial"/>
          <w:lang w:val="en-GB"/>
        </w:rPr>
        <w:t xml:space="preserve">in </w:t>
      </w:r>
      <w:r w:rsidR="00EC0B7A">
        <w:rPr>
          <w:rFonts w:ascii="Arial" w:hAnsi="Arial" w:cs="Arial"/>
          <w:lang w:val="en-GB"/>
        </w:rPr>
        <w:t xml:space="preserve">reality </w:t>
      </w:r>
      <w:r w:rsidR="00F51E68">
        <w:rPr>
          <w:rFonts w:ascii="Arial" w:hAnsi="Arial" w:cs="Arial"/>
          <w:lang w:val="en-GB"/>
        </w:rPr>
        <w:t xml:space="preserve">not </w:t>
      </w:r>
      <w:r w:rsidR="00EC0B7A">
        <w:rPr>
          <w:rFonts w:ascii="Arial" w:hAnsi="Arial" w:cs="Arial"/>
          <w:lang w:val="en-GB"/>
        </w:rPr>
        <w:t>so</w:t>
      </w:r>
      <w:r w:rsidR="00E9463E">
        <w:rPr>
          <w:rFonts w:ascii="Arial" w:hAnsi="Arial" w:cs="Arial"/>
          <w:lang w:val="en-GB"/>
        </w:rPr>
        <w:t xml:space="preserve"> different. As a </w:t>
      </w:r>
      <w:r w:rsidR="00CF651B">
        <w:rPr>
          <w:rFonts w:ascii="Arial" w:hAnsi="Arial" w:cs="Arial"/>
          <w:lang w:val="en-GB"/>
        </w:rPr>
        <w:t>result,</w:t>
      </w:r>
      <w:r w:rsidR="00E9463E">
        <w:rPr>
          <w:rFonts w:ascii="Arial" w:hAnsi="Arial" w:cs="Arial"/>
          <w:lang w:val="en-GB"/>
        </w:rPr>
        <w:t xml:space="preserve"> the </w:t>
      </w:r>
      <w:r w:rsidR="00EC0B7A">
        <w:rPr>
          <w:rFonts w:ascii="Arial" w:hAnsi="Arial" w:cs="Arial"/>
          <w:lang w:val="en-GB"/>
        </w:rPr>
        <w:t>organisation finds</w:t>
      </w:r>
      <w:r w:rsidR="00E9463E">
        <w:rPr>
          <w:rFonts w:ascii="Arial" w:hAnsi="Arial" w:cs="Arial"/>
          <w:lang w:val="en-GB"/>
        </w:rPr>
        <w:t xml:space="preserve"> itself with many different post </w:t>
      </w:r>
      <w:r w:rsidR="00CF651B">
        <w:rPr>
          <w:rFonts w:ascii="Arial" w:hAnsi="Arial" w:cs="Arial"/>
          <w:lang w:val="en-GB"/>
        </w:rPr>
        <w:t>designations</w:t>
      </w:r>
      <w:r w:rsidR="00E9463E">
        <w:rPr>
          <w:rFonts w:ascii="Arial" w:hAnsi="Arial" w:cs="Arial"/>
          <w:lang w:val="en-GB"/>
        </w:rPr>
        <w:t xml:space="preserve">. </w:t>
      </w:r>
      <w:r w:rsidR="00CF651B">
        <w:rPr>
          <w:rFonts w:ascii="Arial" w:hAnsi="Arial" w:cs="Arial"/>
          <w:lang w:val="en-GB"/>
        </w:rPr>
        <w:t xml:space="preserve">For example, a secretary working in the accounting unit might prove very efficient in another department where the role doesn’t differ that much. Cross-function assignments help to take down these obstacles by allowing </w:t>
      </w:r>
      <w:r>
        <w:rPr>
          <w:rFonts w:ascii="Arial" w:hAnsi="Arial" w:cs="Arial"/>
          <w:lang w:val="en-GB"/>
        </w:rPr>
        <w:t xml:space="preserve">staff members </w:t>
      </w:r>
      <w:r w:rsidR="00CF651B">
        <w:rPr>
          <w:rFonts w:ascii="Arial" w:hAnsi="Arial" w:cs="Arial"/>
          <w:lang w:val="en-GB"/>
        </w:rPr>
        <w:t>to take responsibilities</w:t>
      </w:r>
      <w:r w:rsidR="002D18F0">
        <w:rPr>
          <w:rFonts w:ascii="Arial" w:hAnsi="Arial" w:cs="Arial"/>
          <w:lang w:val="en-GB"/>
        </w:rPr>
        <w:t xml:space="preserve"> from another function. This promotes internal mobility within the organisation without the need </w:t>
      </w:r>
      <w:r>
        <w:rPr>
          <w:rFonts w:ascii="Arial" w:hAnsi="Arial" w:cs="Arial"/>
          <w:lang w:val="en-GB"/>
        </w:rPr>
        <w:t>of changing the employer</w:t>
      </w:r>
      <w:r w:rsidR="002D18F0">
        <w:rPr>
          <w:rFonts w:ascii="Arial" w:hAnsi="Arial" w:cs="Arial"/>
          <w:lang w:val="en-GB"/>
        </w:rPr>
        <w:t xml:space="preserve">. This </w:t>
      </w:r>
      <w:r w:rsidR="00282333">
        <w:rPr>
          <w:rFonts w:ascii="Arial" w:hAnsi="Arial" w:cs="Arial"/>
          <w:lang w:val="en-GB"/>
        </w:rPr>
        <w:t xml:space="preserve">type of </w:t>
      </w:r>
      <w:r w:rsidR="002D18F0">
        <w:rPr>
          <w:rFonts w:ascii="Arial" w:hAnsi="Arial" w:cs="Arial"/>
          <w:lang w:val="en-GB"/>
        </w:rPr>
        <w:t xml:space="preserve">mobility can be horizontal between </w:t>
      </w:r>
      <w:r>
        <w:rPr>
          <w:rFonts w:ascii="Arial" w:hAnsi="Arial" w:cs="Arial"/>
          <w:lang w:val="en-GB"/>
        </w:rPr>
        <w:t xml:space="preserve">staff members </w:t>
      </w:r>
      <w:r w:rsidR="002D18F0">
        <w:rPr>
          <w:rFonts w:ascii="Arial" w:hAnsi="Arial" w:cs="Arial"/>
          <w:lang w:val="en-GB"/>
        </w:rPr>
        <w:t xml:space="preserve">of the same </w:t>
      </w:r>
      <w:r>
        <w:rPr>
          <w:rFonts w:ascii="Arial" w:hAnsi="Arial" w:cs="Arial"/>
          <w:lang w:val="en-GB"/>
        </w:rPr>
        <w:t>or similar occupational function,</w:t>
      </w:r>
      <w:r w:rsidR="002D18F0">
        <w:rPr>
          <w:rFonts w:ascii="Arial" w:hAnsi="Arial" w:cs="Arial"/>
          <w:lang w:val="en-GB"/>
        </w:rPr>
        <w:t xml:space="preserve"> but also vertical as means to prepare </w:t>
      </w:r>
      <w:r>
        <w:rPr>
          <w:rFonts w:ascii="Arial" w:hAnsi="Arial" w:cs="Arial"/>
          <w:lang w:val="en-GB"/>
        </w:rPr>
        <w:t xml:space="preserve">a staff </w:t>
      </w:r>
      <w:r w:rsidR="00EC0B7A">
        <w:rPr>
          <w:rFonts w:ascii="Arial" w:hAnsi="Arial" w:cs="Arial"/>
          <w:lang w:val="en-GB"/>
        </w:rPr>
        <w:t>member for</w:t>
      </w:r>
      <w:r w:rsidR="002D18F0">
        <w:rPr>
          <w:rFonts w:ascii="Arial" w:hAnsi="Arial" w:cs="Arial"/>
          <w:lang w:val="en-GB"/>
        </w:rPr>
        <w:t xml:space="preserve"> </w:t>
      </w:r>
      <w:r>
        <w:rPr>
          <w:rFonts w:ascii="Arial" w:hAnsi="Arial" w:cs="Arial"/>
          <w:lang w:val="en-GB"/>
        </w:rPr>
        <w:t>a higher post</w:t>
      </w:r>
      <w:r w:rsidR="00EC0B7A">
        <w:rPr>
          <w:rFonts w:ascii="Arial" w:hAnsi="Arial" w:cs="Arial"/>
          <w:lang w:val="en-GB"/>
        </w:rPr>
        <w:t>.</w:t>
      </w:r>
      <w:r w:rsidR="002D18F0">
        <w:rPr>
          <w:rFonts w:ascii="Arial" w:hAnsi="Arial" w:cs="Arial"/>
          <w:lang w:val="en-GB"/>
        </w:rPr>
        <w:t xml:space="preserve"> A potential candidate to a higher function, undertaking cross-functional tasks</w:t>
      </w:r>
      <w:r>
        <w:rPr>
          <w:rFonts w:ascii="Arial" w:hAnsi="Arial" w:cs="Arial"/>
          <w:lang w:val="en-GB"/>
        </w:rPr>
        <w:t>,</w:t>
      </w:r>
      <w:r w:rsidR="002D18F0">
        <w:rPr>
          <w:rFonts w:ascii="Arial" w:hAnsi="Arial" w:cs="Arial"/>
          <w:lang w:val="en-GB"/>
        </w:rPr>
        <w:t xml:space="preserve"> would understand better the way other units operate. This trains people to have a global managerial approach.</w:t>
      </w:r>
      <w:r w:rsidR="00282333">
        <w:rPr>
          <w:rFonts w:ascii="Arial" w:hAnsi="Arial" w:cs="Arial"/>
          <w:lang w:val="en-GB"/>
        </w:rPr>
        <w:t xml:space="preserve"> It</w:t>
      </w:r>
      <w:r w:rsidR="005026CD">
        <w:rPr>
          <w:rFonts w:ascii="Arial" w:hAnsi="Arial" w:cs="Arial"/>
          <w:lang w:val="en-GB"/>
        </w:rPr>
        <w:t xml:space="preserve"> also has a career enrichment </w:t>
      </w:r>
      <w:r w:rsidR="00282333">
        <w:rPr>
          <w:rFonts w:ascii="Arial" w:hAnsi="Arial" w:cs="Arial"/>
          <w:lang w:val="en-GB"/>
        </w:rPr>
        <w:t>aspect;</w:t>
      </w:r>
      <w:r w:rsidR="005026CD">
        <w:rPr>
          <w:rFonts w:ascii="Arial" w:hAnsi="Arial" w:cs="Arial"/>
          <w:lang w:val="en-GB"/>
        </w:rPr>
        <w:t xml:space="preserve"> motivation might go up as new assignments are taken.</w:t>
      </w:r>
      <w:r w:rsidR="002D18F0">
        <w:rPr>
          <w:rFonts w:ascii="Arial" w:hAnsi="Arial" w:cs="Arial"/>
          <w:lang w:val="en-GB"/>
        </w:rPr>
        <w:t xml:space="preserve"> </w:t>
      </w:r>
      <w:r>
        <w:rPr>
          <w:rFonts w:ascii="Arial" w:hAnsi="Arial" w:cs="Arial"/>
          <w:lang w:val="en-GB"/>
        </w:rPr>
        <w:t xml:space="preserve">Managing the ‘cross-function process’ would be a managerial tasks off the Directors and the HR unit of the Office of the Secretary-General. </w:t>
      </w:r>
    </w:p>
    <w:p w:rsidR="00F07A1D" w:rsidRDefault="00F07A1D" w:rsidP="00CE2308">
      <w:pPr>
        <w:jc w:val="both"/>
        <w:rPr>
          <w:rFonts w:ascii="Arial" w:hAnsi="Arial" w:cs="Arial"/>
          <w:lang w:val="en-GB"/>
        </w:rPr>
      </w:pPr>
      <w:r>
        <w:rPr>
          <w:rFonts w:ascii="Arial" w:hAnsi="Arial" w:cs="Arial"/>
          <w:lang w:val="en-GB"/>
        </w:rPr>
        <w:t>In any case mobility should not only be seen as a measure of fraud prevention</w:t>
      </w:r>
      <w:bookmarkStart w:id="0" w:name="_GoBack"/>
      <w:bookmarkEnd w:id="0"/>
      <w:r>
        <w:rPr>
          <w:rFonts w:ascii="Arial" w:hAnsi="Arial" w:cs="Arial"/>
          <w:lang w:val="en-GB"/>
        </w:rPr>
        <w:t xml:space="preserve">. </w:t>
      </w:r>
    </w:p>
    <w:p w:rsidR="00F07A1D" w:rsidRDefault="00F07A1D" w:rsidP="00CE2308">
      <w:pPr>
        <w:jc w:val="both"/>
        <w:rPr>
          <w:rFonts w:ascii="Arial" w:hAnsi="Arial" w:cs="Arial"/>
          <w:lang w:val="en-GB"/>
        </w:rPr>
      </w:pPr>
      <w:r>
        <w:rPr>
          <w:rFonts w:ascii="Arial" w:hAnsi="Arial" w:cs="Arial"/>
          <w:lang w:val="en-GB"/>
        </w:rPr>
        <w:t>Mobility should also be understood as a measure of personnel or career development</w:t>
      </w:r>
      <w:r w:rsidR="00A13C27">
        <w:rPr>
          <w:rFonts w:ascii="Arial" w:hAnsi="Arial" w:cs="Arial"/>
          <w:lang w:val="en-GB"/>
        </w:rPr>
        <w:t>.</w:t>
      </w:r>
    </w:p>
    <w:p w:rsidR="00394570" w:rsidRDefault="00394570" w:rsidP="00CE2308">
      <w:pPr>
        <w:jc w:val="both"/>
        <w:rPr>
          <w:rFonts w:ascii="Arial" w:hAnsi="Arial" w:cs="Arial"/>
          <w:lang w:val="en-GB"/>
        </w:rPr>
      </w:pPr>
    </w:p>
    <w:p w:rsidR="00394570" w:rsidRDefault="00394570" w:rsidP="00CE2308">
      <w:pPr>
        <w:jc w:val="both"/>
        <w:rPr>
          <w:rFonts w:ascii="Arial" w:hAnsi="Arial" w:cs="Arial"/>
          <w:lang w:val="en-GB"/>
        </w:rPr>
      </w:pPr>
    </w:p>
    <w:p w:rsidR="00394570" w:rsidRDefault="00394570" w:rsidP="00CE2308">
      <w:pPr>
        <w:jc w:val="both"/>
        <w:rPr>
          <w:rFonts w:ascii="Arial" w:hAnsi="Arial" w:cs="Arial"/>
          <w:lang w:val="en-GB"/>
        </w:rPr>
      </w:pPr>
    </w:p>
    <w:p w:rsidR="008162F3" w:rsidRDefault="008162F3" w:rsidP="00394570">
      <w:pPr>
        <w:numPr>
          <w:ilvl w:val="0"/>
          <w:numId w:val="1"/>
        </w:numPr>
        <w:jc w:val="both"/>
        <w:rPr>
          <w:rFonts w:ascii="Arial" w:hAnsi="Arial" w:cs="Arial"/>
          <w:b/>
          <w:lang w:val="en-GB"/>
        </w:rPr>
      </w:pPr>
      <w:r>
        <w:rPr>
          <w:rFonts w:ascii="Arial" w:hAnsi="Arial" w:cs="Arial"/>
          <w:b/>
          <w:lang w:val="en-GB"/>
        </w:rPr>
        <w:t>Opinion of the Budgetary Committee</w:t>
      </w:r>
    </w:p>
    <w:p w:rsidR="008162F3" w:rsidRPr="008162F3" w:rsidRDefault="008162F3" w:rsidP="008162F3">
      <w:pPr>
        <w:jc w:val="both"/>
        <w:rPr>
          <w:rFonts w:ascii="Arial" w:hAnsi="Arial" w:cs="Arial"/>
          <w:lang w:val="en-GB"/>
        </w:rPr>
      </w:pPr>
    </w:p>
    <w:p w:rsidR="008162F3" w:rsidRDefault="008162F3" w:rsidP="008162F3">
      <w:pPr>
        <w:jc w:val="both"/>
        <w:rPr>
          <w:rFonts w:ascii="Arial" w:hAnsi="Arial" w:cs="Arial"/>
          <w:lang w:val="en-GB"/>
        </w:rPr>
      </w:pPr>
      <w:r w:rsidRPr="008162F3">
        <w:rPr>
          <w:rFonts w:ascii="Arial" w:hAnsi="Arial" w:cs="Arial"/>
          <w:lang w:val="en-GB"/>
        </w:rPr>
        <w:t>The Budgetary Committee expressed a favourable opinion regarding the content of the interim report and also endorsed the working group’s recommendations, as mentioned in points 1.</w:t>
      </w:r>
      <w:r>
        <w:rPr>
          <w:rFonts w:ascii="Arial" w:hAnsi="Arial" w:cs="Arial"/>
          <w:lang w:val="en-GB"/>
        </w:rPr>
        <w:t>c), 2.c)</w:t>
      </w:r>
      <w:r w:rsidRPr="008162F3">
        <w:rPr>
          <w:rFonts w:ascii="Arial" w:hAnsi="Arial" w:cs="Arial"/>
          <w:lang w:val="en-GB"/>
        </w:rPr>
        <w:t>, 3</w:t>
      </w:r>
      <w:r>
        <w:rPr>
          <w:rFonts w:ascii="Arial" w:hAnsi="Arial" w:cs="Arial"/>
          <w:lang w:val="en-GB"/>
        </w:rPr>
        <w:t>. a)</w:t>
      </w:r>
      <w:r w:rsidRPr="008162F3">
        <w:rPr>
          <w:rFonts w:ascii="Arial" w:hAnsi="Arial" w:cs="Arial"/>
          <w:lang w:val="en-GB"/>
        </w:rPr>
        <w:t>..cc</w:t>
      </w:r>
      <w:r>
        <w:rPr>
          <w:rFonts w:ascii="Arial" w:hAnsi="Arial" w:cs="Arial"/>
          <w:lang w:val="en-GB"/>
        </w:rPr>
        <w:t>), 3.b)</w:t>
      </w:r>
      <w:r w:rsidRPr="008162F3">
        <w:rPr>
          <w:rFonts w:ascii="Arial" w:hAnsi="Arial" w:cs="Arial"/>
          <w:lang w:val="en-GB"/>
        </w:rPr>
        <w:t>.cc</w:t>
      </w:r>
      <w:r>
        <w:rPr>
          <w:rFonts w:ascii="Arial" w:hAnsi="Arial" w:cs="Arial"/>
          <w:lang w:val="en-GB"/>
        </w:rPr>
        <w:t>) and 4. c)</w:t>
      </w:r>
      <w:r w:rsidRPr="008162F3">
        <w:rPr>
          <w:rFonts w:ascii="Arial" w:hAnsi="Arial" w:cs="Arial"/>
          <w:lang w:val="en-GB"/>
        </w:rPr>
        <w:t xml:space="preserve"> of the document.</w:t>
      </w:r>
    </w:p>
    <w:p w:rsidR="008162F3" w:rsidRDefault="008162F3" w:rsidP="008162F3">
      <w:pPr>
        <w:jc w:val="both"/>
        <w:rPr>
          <w:rFonts w:ascii="Arial" w:hAnsi="Arial" w:cs="Arial"/>
          <w:lang w:val="en-GB"/>
        </w:rPr>
      </w:pPr>
    </w:p>
    <w:p w:rsidR="00DF50C8" w:rsidRPr="008162F3" w:rsidRDefault="00DF50C8" w:rsidP="008162F3">
      <w:pPr>
        <w:jc w:val="both"/>
        <w:rPr>
          <w:rFonts w:ascii="Arial" w:hAnsi="Arial" w:cs="Arial"/>
          <w:lang w:val="en-GB"/>
        </w:rPr>
      </w:pPr>
    </w:p>
    <w:p w:rsidR="008162F3" w:rsidRPr="008162F3" w:rsidRDefault="008162F3" w:rsidP="008162F3">
      <w:pPr>
        <w:jc w:val="both"/>
        <w:rPr>
          <w:rFonts w:ascii="Arial" w:hAnsi="Arial" w:cs="Arial"/>
          <w:lang w:val="en-GB"/>
        </w:rPr>
      </w:pPr>
    </w:p>
    <w:p w:rsidR="00394570" w:rsidRPr="00394570" w:rsidRDefault="0031635B" w:rsidP="00394570">
      <w:pPr>
        <w:numPr>
          <w:ilvl w:val="0"/>
          <w:numId w:val="1"/>
        </w:numPr>
        <w:jc w:val="both"/>
        <w:rPr>
          <w:rFonts w:ascii="Arial" w:hAnsi="Arial" w:cs="Arial"/>
          <w:b/>
          <w:lang w:val="en-GB"/>
        </w:rPr>
      </w:pPr>
      <w:r>
        <w:rPr>
          <w:rFonts w:ascii="Arial" w:hAnsi="Arial" w:cs="Arial"/>
          <w:b/>
          <w:lang w:val="en-GB"/>
        </w:rPr>
        <w:t>Proposal</w:t>
      </w:r>
    </w:p>
    <w:p w:rsidR="00394570" w:rsidRDefault="00394570" w:rsidP="00394570">
      <w:pPr>
        <w:jc w:val="both"/>
        <w:rPr>
          <w:rFonts w:ascii="Arial" w:hAnsi="Arial" w:cs="Arial"/>
          <w:lang w:val="en-GB"/>
        </w:rPr>
      </w:pPr>
    </w:p>
    <w:p w:rsidR="0031635B" w:rsidRDefault="00394570" w:rsidP="00394570">
      <w:pPr>
        <w:jc w:val="both"/>
        <w:rPr>
          <w:rFonts w:ascii="Arial" w:hAnsi="Arial" w:cs="Arial"/>
          <w:lang w:val="en-GB"/>
        </w:rPr>
      </w:pPr>
      <w:r>
        <w:rPr>
          <w:rFonts w:ascii="Arial" w:hAnsi="Arial" w:cs="Arial"/>
          <w:lang w:val="en-GB"/>
        </w:rPr>
        <w:t xml:space="preserve">The members of the </w:t>
      </w:r>
      <w:r w:rsidR="0031635B">
        <w:rPr>
          <w:rFonts w:ascii="Arial" w:hAnsi="Arial" w:cs="Arial"/>
          <w:lang w:val="en-GB"/>
        </w:rPr>
        <w:t>B</w:t>
      </w:r>
      <w:r w:rsidR="008420F1">
        <w:rPr>
          <w:rFonts w:ascii="Arial" w:hAnsi="Arial" w:cs="Arial"/>
          <w:lang w:val="en-GB"/>
        </w:rPr>
        <w:t>oard of Governors</w:t>
      </w:r>
      <w:r w:rsidR="0031635B">
        <w:rPr>
          <w:rFonts w:ascii="Arial" w:hAnsi="Arial" w:cs="Arial"/>
          <w:lang w:val="en-GB"/>
        </w:rPr>
        <w:t xml:space="preserve"> are invited to discuss the Mid-Term Report and to provide the Working Group with further guidance.</w:t>
      </w:r>
    </w:p>
    <w:p w:rsidR="0006213C" w:rsidRDefault="0006213C" w:rsidP="00F51E68">
      <w:pPr>
        <w:ind w:left="720"/>
        <w:jc w:val="both"/>
        <w:rPr>
          <w:rFonts w:ascii="Arial" w:hAnsi="Arial" w:cs="Arial"/>
          <w:lang w:val="en-GB"/>
        </w:rPr>
      </w:pPr>
    </w:p>
    <w:p w:rsidR="0050372B" w:rsidRPr="0006213C" w:rsidRDefault="0050372B" w:rsidP="00583B10">
      <w:pPr>
        <w:jc w:val="both"/>
        <w:rPr>
          <w:rFonts w:ascii="Arial" w:hAnsi="Arial" w:cs="Arial"/>
          <w:lang w:val="en-GB"/>
        </w:rPr>
        <w:sectPr w:rsidR="0050372B" w:rsidRPr="0006213C" w:rsidSect="00B21999">
          <w:footerReference w:type="even" r:id="rId10"/>
          <w:footerReference w:type="default" r:id="rId11"/>
          <w:pgSz w:w="11906" w:h="16838"/>
          <w:pgMar w:top="1417" w:right="1417" w:bottom="1417" w:left="1417" w:header="708" w:footer="708" w:gutter="0"/>
          <w:cols w:space="708"/>
          <w:titlePg/>
          <w:docGrid w:linePitch="360"/>
        </w:sectPr>
      </w:pPr>
    </w:p>
    <w:p w:rsidR="00394570" w:rsidRPr="00CD65F1" w:rsidRDefault="00DC1B48" w:rsidP="00394570">
      <w:pPr>
        <w:jc w:val="both"/>
        <w:rPr>
          <w:rFonts w:ascii="Arial" w:hAnsi="Arial" w:cs="Arial"/>
          <w:lang w:val="fr-BE"/>
        </w:rPr>
      </w:pPr>
      <w:r>
        <w:lastRenderedPageBreak/>
        <w:pict>
          <v:shape id="_x0000_i1026" type="#_x0000_t75" style="width:691.5pt;height:453.75pt">
            <v:imagedata r:id="rId12" o:title=""/>
          </v:shape>
        </w:pict>
      </w:r>
    </w:p>
    <w:sectPr w:rsidR="00394570" w:rsidRPr="00CD65F1" w:rsidSect="00CD65F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5B3" w:rsidRDefault="005805B3">
      <w:r>
        <w:separator/>
      </w:r>
    </w:p>
  </w:endnote>
  <w:endnote w:type="continuationSeparator" w:id="0">
    <w:p w:rsidR="005805B3" w:rsidRDefault="0058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10" w:rsidRDefault="00D55110" w:rsidP="0014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5110" w:rsidRDefault="00D55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10" w:rsidRDefault="00D55110" w:rsidP="0014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1B48">
      <w:rPr>
        <w:rStyle w:val="PageNumber"/>
        <w:noProof/>
      </w:rPr>
      <w:t>11</w:t>
    </w:r>
    <w:r>
      <w:rPr>
        <w:rStyle w:val="PageNumber"/>
      </w:rPr>
      <w:fldChar w:fldCharType="end"/>
    </w:r>
  </w:p>
  <w:p w:rsidR="00D55110" w:rsidRDefault="00D55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5B3" w:rsidRDefault="005805B3">
      <w:r>
        <w:separator/>
      </w:r>
    </w:p>
  </w:footnote>
  <w:footnote w:type="continuationSeparator" w:id="0">
    <w:p w:rsidR="005805B3" w:rsidRDefault="005805B3">
      <w:r>
        <w:continuationSeparator/>
      </w:r>
    </w:p>
  </w:footnote>
  <w:footnote w:id="1">
    <w:p w:rsidR="00D55110" w:rsidRPr="00C11AC3" w:rsidRDefault="00D55110">
      <w:pPr>
        <w:pStyle w:val="FootnoteText"/>
        <w:rPr>
          <w:lang w:val="fr-BE"/>
        </w:rPr>
      </w:pPr>
      <w:r>
        <w:rPr>
          <w:rStyle w:val="FootnoteReference"/>
        </w:rPr>
        <w:footnoteRef/>
      </w:r>
      <w:r>
        <w:t xml:space="preserve"> </w:t>
      </w:r>
      <w:r>
        <w:rPr>
          <w:lang w:val="fr-BE"/>
        </w:rPr>
        <w:t>2013-10-D-23-en-2.</w:t>
      </w:r>
    </w:p>
  </w:footnote>
  <w:footnote w:id="2">
    <w:p w:rsidR="00D55110" w:rsidRPr="002E342E" w:rsidRDefault="00D55110">
      <w:pPr>
        <w:pStyle w:val="FootnoteText"/>
        <w:rPr>
          <w:lang w:val="en-US"/>
        </w:rPr>
      </w:pPr>
      <w:r>
        <w:rPr>
          <w:rStyle w:val="FootnoteReference"/>
        </w:rPr>
        <w:footnoteRef/>
      </w:r>
      <w:r w:rsidRPr="002E342E">
        <w:rPr>
          <w:lang w:val="en-US"/>
        </w:rPr>
        <w:t xml:space="preserve"> </w:t>
      </w:r>
      <w:r>
        <w:rPr>
          <w:lang w:val="en-US"/>
        </w:rPr>
        <w:t>2011-04-D-14-en-6.</w:t>
      </w:r>
    </w:p>
  </w:footnote>
  <w:footnote w:id="3">
    <w:p w:rsidR="00D55110" w:rsidRPr="002E342E" w:rsidRDefault="00D55110">
      <w:pPr>
        <w:pStyle w:val="FootnoteText"/>
        <w:rPr>
          <w:lang w:val="en-US"/>
        </w:rPr>
      </w:pPr>
      <w:r>
        <w:rPr>
          <w:rStyle w:val="FootnoteReference"/>
        </w:rPr>
        <w:footnoteRef/>
      </w:r>
      <w:r w:rsidRPr="002E342E">
        <w:rPr>
          <w:lang w:val="en-US"/>
        </w:rPr>
        <w:t xml:space="preserve"> </w:t>
      </w:r>
      <w:r>
        <w:rPr>
          <w:lang w:val="en-US"/>
        </w:rPr>
        <w:t>2016-09-D-4-en-</w:t>
      </w:r>
      <w:r w:rsidR="00DC1B48">
        <w:rPr>
          <w:lang w:val="en-US"/>
        </w:rPr>
        <w:t>4</w:t>
      </w:r>
      <w:r>
        <w:rPr>
          <w:lang w:val="en-US"/>
        </w:rPr>
        <w:t>.</w:t>
      </w:r>
    </w:p>
  </w:footnote>
  <w:footnote w:id="4">
    <w:p w:rsidR="00D55110" w:rsidRPr="00C71199" w:rsidRDefault="00D55110">
      <w:pPr>
        <w:pStyle w:val="FootnoteText"/>
        <w:rPr>
          <w:lang w:val="en-US"/>
        </w:rPr>
      </w:pPr>
      <w:r>
        <w:rPr>
          <w:rStyle w:val="FootnoteReference"/>
        </w:rPr>
        <w:footnoteRef/>
      </w:r>
      <w:r w:rsidRPr="00C71199">
        <w:rPr>
          <w:lang w:val="en-US"/>
        </w:rPr>
        <w:t xml:space="preserve"> 2010-D-362-en-6.</w:t>
      </w:r>
    </w:p>
  </w:footnote>
  <w:footnote w:id="5">
    <w:p w:rsidR="00D55110" w:rsidRPr="002E342E" w:rsidRDefault="00D55110">
      <w:pPr>
        <w:pStyle w:val="FootnoteText"/>
        <w:rPr>
          <w:lang w:val="en-US"/>
        </w:rPr>
      </w:pPr>
      <w:r>
        <w:rPr>
          <w:rStyle w:val="FootnoteReference"/>
        </w:rPr>
        <w:footnoteRef/>
      </w:r>
      <w:r w:rsidRPr="002E342E">
        <w:rPr>
          <w:lang w:val="en-US"/>
        </w:rPr>
        <w:t xml:space="preserve"> </w:t>
      </w:r>
      <w:r>
        <w:rPr>
          <w:lang w:val="en-US"/>
        </w:rPr>
        <w:t>2009-D-422-en-5.</w:t>
      </w:r>
    </w:p>
  </w:footnote>
  <w:footnote w:id="6">
    <w:p w:rsidR="00EC0B7A" w:rsidRPr="00F51E68" w:rsidRDefault="00EC0B7A">
      <w:pPr>
        <w:pStyle w:val="FootnoteText"/>
        <w:rPr>
          <w:lang w:val="en-US"/>
        </w:rPr>
      </w:pPr>
      <w:r>
        <w:rPr>
          <w:rStyle w:val="FootnoteReference"/>
        </w:rPr>
        <w:footnoteRef/>
      </w:r>
      <w:r w:rsidRPr="00F51E68">
        <w:rPr>
          <w:lang w:val="en-US"/>
        </w:rPr>
        <w:t xml:space="preserve"> See documents : 2013-09-D-20-en-1, 2014-01-D-48-en-3, 2015-09-D-17-en-1 and 2016-09-D-10-en-2.</w:t>
      </w:r>
    </w:p>
  </w:footnote>
  <w:footnote w:id="7">
    <w:p w:rsidR="00D705F8" w:rsidRPr="00F51E68" w:rsidRDefault="00D705F8">
      <w:pPr>
        <w:pStyle w:val="FootnoteText"/>
        <w:rPr>
          <w:lang w:val="en-US"/>
        </w:rPr>
      </w:pPr>
      <w:r>
        <w:rPr>
          <w:rStyle w:val="FootnoteReference"/>
        </w:rPr>
        <w:footnoteRef/>
      </w:r>
      <w:r w:rsidRPr="00F51E68">
        <w:rPr>
          <w:lang w:val="en-US"/>
        </w:rPr>
        <w:t xml:space="preserve"> The number of transfers during the school year 2016/2017 is affected by the new Berkendael site at the European School, Brussels I.</w:t>
      </w:r>
    </w:p>
  </w:footnote>
  <w:footnote w:id="8">
    <w:p w:rsidR="00D55110" w:rsidRPr="00C71199" w:rsidRDefault="00D55110">
      <w:pPr>
        <w:pStyle w:val="FootnoteText"/>
        <w:rPr>
          <w:lang w:val="en-US"/>
        </w:rPr>
      </w:pPr>
      <w:r>
        <w:rPr>
          <w:rStyle w:val="FootnoteReference"/>
        </w:rPr>
        <w:footnoteRef/>
      </w:r>
      <w:r w:rsidRPr="00C71199">
        <w:rPr>
          <w:lang w:val="en-US"/>
        </w:rPr>
        <w:t xml:space="preserve"> </w:t>
      </w:r>
      <w:r>
        <w:rPr>
          <w:lang w:val="en-US"/>
        </w:rPr>
        <w:t>2016-05-D-11-en-1.</w:t>
      </w:r>
    </w:p>
  </w:footnote>
  <w:footnote w:id="9">
    <w:p w:rsidR="00D55110" w:rsidRPr="001339F0" w:rsidRDefault="00D55110">
      <w:pPr>
        <w:pStyle w:val="FootnoteText"/>
        <w:rPr>
          <w:lang w:val="en-US"/>
        </w:rPr>
      </w:pPr>
      <w:r>
        <w:rPr>
          <w:rStyle w:val="FootnoteReference"/>
        </w:rPr>
        <w:footnoteRef/>
      </w:r>
      <w:r w:rsidRPr="001339F0">
        <w:rPr>
          <w:lang w:val="en-US"/>
        </w:rPr>
        <w:t xml:space="preserve"> </w:t>
      </w:r>
      <w:r>
        <w:rPr>
          <w:lang w:val="en-US"/>
        </w:rPr>
        <w:t>2007-D-153-en-7.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555"/>
    <w:multiLevelType w:val="hybridMultilevel"/>
    <w:tmpl w:val="3A727A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415AAF"/>
    <w:multiLevelType w:val="hybridMultilevel"/>
    <w:tmpl w:val="B372C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A300C8"/>
    <w:multiLevelType w:val="hybridMultilevel"/>
    <w:tmpl w:val="5BF2D6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D2443E"/>
    <w:multiLevelType w:val="hybridMultilevel"/>
    <w:tmpl w:val="50DEB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0E1F65"/>
    <w:multiLevelType w:val="hybridMultilevel"/>
    <w:tmpl w:val="58B8EA32"/>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5">
    <w:nsid w:val="1070514C"/>
    <w:multiLevelType w:val="hybridMultilevel"/>
    <w:tmpl w:val="62ACC4F2"/>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nsid w:val="16CF3213"/>
    <w:multiLevelType w:val="hybridMultilevel"/>
    <w:tmpl w:val="7392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E9268C"/>
    <w:multiLevelType w:val="hybridMultilevel"/>
    <w:tmpl w:val="E7261C02"/>
    <w:lvl w:ilvl="0" w:tplc="0409000B">
      <w:start w:val="1"/>
      <w:numFmt w:val="bullet"/>
      <w:lvlText w:val=""/>
      <w:lvlJc w:val="left"/>
      <w:pPr>
        <w:ind w:left="901" w:hanging="360"/>
      </w:pPr>
      <w:rPr>
        <w:rFonts w:ascii="Wingdings" w:hAnsi="Wingding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8">
    <w:nsid w:val="1DED47E1"/>
    <w:multiLevelType w:val="hybridMultilevel"/>
    <w:tmpl w:val="CA7444BA"/>
    <w:lvl w:ilvl="0" w:tplc="AB86E506">
      <w:start w:val="29"/>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27906E20"/>
    <w:multiLevelType w:val="hybridMultilevel"/>
    <w:tmpl w:val="585C5A84"/>
    <w:lvl w:ilvl="0" w:tplc="04090013">
      <w:start w:val="1"/>
      <w:numFmt w:val="upperRoman"/>
      <w:lvlText w:val="%1."/>
      <w:lvlJc w:val="righ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nsid w:val="27AD41D6"/>
    <w:multiLevelType w:val="hybridMultilevel"/>
    <w:tmpl w:val="9C42FD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A3333A"/>
    <w:multiLevelType w:val="hybridMultilevel"/>
    <w:tmpl w:val="448E4A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21A0FE3"/>
    <w:multiLevelType w:val="hybridMultilevel"/>
    <w:tmpl w:val="D8000E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AE1745"/>
    <w:multiLevelType w:val="hybridMultilevel"/>
    <w:tmpl w:val="BA34CB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AA42A0"/>
    <w:multiLevelType w:val="hybridMultilevel"/>
    <w:tmpl w:val="8C5063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542CA2"/>
    <w:multiLevelType w:val="hybridMultilevel"/>
    <w:tmpl w:val="D8000E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F24651"/>
    <w:multiLevelType w:val="hybridMultilevel"/>
    <w:tmpl w:val="10CCC9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063EA9"/>
    <w:multiLevelType w:val="hybridMultilevel"/>
    <w:tmpl w:val="19FAD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1E7EE6"/>
    <w:multiLevelType w:val="hybridMultilevel"/>
    <w:tmpl w:val="1238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D90D48"/>
    <w:multiLevelType w:val="hybridMultilevel"/>
    <w:tmpl w:val="6E3084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327E2E"/>
    <w:multiLevelType w:val="hybridMultilevel"/>
    <w:tmpl w:val="A252B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6613D"/>
    <w:multiLevelType w:val="hybridMultilevel"/>
    <w:tmpl w:val="A06CE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860E26"/>
    <w:multiLevelType w:val="hybridMultilevel"/>
    <w:tmpl w:val="344E1A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8204D0"/>
    <w:multiLevelType w:val="hybridMultilevel"/>
    <w:tmpl w:val="927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3A3EC8"/>
    <w:multiLevelType w:val="hybridMultilevel"/>
    <w:tmpl w:val="36DCE0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6E2DA5"/>
    <w:multiLevelType w:val="hybridMultilevel"/>
    <w:tmpl w:val="4A90F2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701CDC"/>
    <w:multiLevelType w:val="hybridMultilevel"/>
    <w:tmpl w:val="D7FA46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450D07"/>
    <w:multiLevelType w:val="hybridMultilevel"/>
    <w:tmpl w:val="8F4E1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2C69D9"/>
    <w:multiLevelType w:val="hybridMultilevel"/>
    <w:tmpl w:val="8D848B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603267"/>
    <w:multiLevelType w:val="hybridMultilevel"/>
    <w:tmpl w:val="22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0360A3"/>
    <w:multiLevelType w:val="hybridMultilevel"/>
    <w:tmpl w:val="70ACF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B53214"/>
    <w:multiLevelType w:val="hybridMultilevel"/>
    <w:tmpl w:val="EC924E38"/>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2">
    <w:nsid w:val="724B0A8C"/>
    <w:multiLevelType w:val="hybridMultilevel"/>
    <w:tmpl w:val="AF5841AA"/>
    <w:lvl w:ilvl="0" w:tplc="04100001">
      <w:start w:val="1"/>
      <w:numFmt w:val="bullet"/>
      <w:lvlText w:val=""/>
      <w:lvlJc w:val="left"/>
      <w:pPr>
        <w:tabs>
          <w:tab w:val="num" w:pos="1652"/>
        </w:tabs>
        <w:ind w:left="1652" w:hanging="360"/>
      </w:pPr>
      <w:rPr>
        <w:rFonts w:ascii="Symbol" w:hAnsi="Symbol" w:hint="default"/>
      </w:rPr>
    </w:lvl>
    <w:lvl w:ilvl="1" w:tplc="04100003" w:tentative="1">
      <w:start w:val="1"/>
      <w:numFmt w:val="bullet"/>
      <w:lvlText w:val="o"/>
      <w:lvlJc w:val="left"/>
      <w:pPr>
        <w:tabs>
          <w:tab w:val="num" w:pos="2372"/>
        </w:tabs>
        <w:ind w:left="2372" w:hanging="360"/>
      </w:pPr>
      <w:rPr>
        <w:rFonts w:ascii="Courier New" w:hAnsi="Courier New" w:cs="Courier New" w:hint="default"/>
      </w:rPr>
    </w:lvl>
    <w:lvl w:ilvl="2" w:tplc="04100005" w:tentative="1">
      <w:start w:val="1"/>
      <w:numFmt w:val="bullet"/>
      <w:lvlText w:val=""/>
      <w:lvlJc w:val="left"/>
      <w:pPr>
        <w:tabs>
          <w:tab w:val="num" w:pos="3092"/>
        </w:tabs>
        <w:ind w:left="3092" w:hanging="360"/>
      </w:pPr>
      <w:rPr>
        <w:rFonts w:ascii="Wingdings" w:hAnsi="Wingdings" w:hint="default"/>
      </w:rPr>
    </w:lvl>
    <w:lvl w:ilvl="3" w:tplc="04100001" w:tentative="1">
      <w:start w:val="1"/>
      <w:numFmt w:val="bullet"/>
      <w:lvlText w:val=""/>
      <w:lvlJc w:val="left"/>
      <w:pPr>
        <w:tabs>
          <w:tab w:val="num" w:pos="3812"/>
        </w:tabs>
        <w:ind w:left="3812" w:hanging="360"/>
      </w:pPr>
      <w:rPr>
        <w:rFonts w:ascii="Symbol" w:hAnsi="Symbol" w:hint="default"/>
      </w:rPr>
    </w:lvl>
    <w:lvl w:ilvl="4" w:tplc="04100003" w:tentative="1">
      <w:start w:val="1"/>
      <w:numFmt w:val="bullet"/>
      <w:lvlText w:val="o"/>
      <w:lvlJc w:val="left"/>
      <w:pPr>
        <w:tabs>
          <w:tab w:val="num" w:pos="4532"/>
        </w:tabs>
        <w:ind w:left="4532" w:hanging="360"/>
      </w:pPr>
      <w:rPr>
        <w:rFonts w:ascii="Courier New" w:hAnsi="Courier New" w:cs="Courier New" w:hint="default"/>
      </w:rPr>
    </w:lvl>
    <w:lvl w:ilvl="5" w:tplc="04100005" w:tentative="1">
      <w:start w:val="1"/>
      <w:numFmt w:val="bullet"/>
      <w:lvlText w:val=""/>
      <w:lvlJc w:val="left"/>
      <w:pPr>
        <w:tabs>
          <w:tab w:val="num" w:pos="5252"/>
        </w:tabs>
        <w:ind w:left="5252" w:hanging="360"/>
      </w:pPr>
      <w:rPr>
        <w:rFonts w:ascii="Wingdings" w:hAnsi="Wingdings" w:hint="default"/>
      </w:rPr>
    </w:lvl>
    <w:lvl w:ilvl="6" w:tplc="04100001" w:tentative="1">
      <w:start w:val="1"/>
      <w:numFmt w:val="bullet"/>
      <w:lvlText w:val=""/>
      <w:lvlJc w:val="left"/>
      <w:pPr>
        <w:tabs>
          <w:tab w:val="num" w:pos="5972"/>
        </w:tabs>
        <w:ind w:left="5972" w:hanging="360"/>
      </w:pPr>
      <w:rPr>
        <w:rFonts w:ascii="Symbol" w:hAnsi="Symbol" w:hint="default"/>
      </w:rPr>
    </w:lvl>
    <w:lvl w:ilvl="7" w:tplc="04100003" w:tentative="1">
      <w:start w:val="1"/>
      <w:numFmt w:val="bullet"/>
      <w:lvlText w:val="o"/>
      <w:lvlJc w:val="left"/>
      <w:pPr>
        <w:tabs>
          <w:tab w:val="num" w:pos="6692"/>
        </w:tabs>
        <w:ind w:left="6692" w:hanging="360"/>
      </w:pPr>
      <w:rPr>
        <w:rFonts w:ascii="Courier New" w:hAnsi="Courier New" w:cs="Courier New" w:hint="default"/>
      </w:rPr>
    </w:lvl>
    <w:lvl w:ilvl="8" w:tplc="04100005" w:tentative="1">
      <w:start w:val="1"/>
      <w:numFmt w:val="bullet"/>
      <w:lvlText w:val=""/>
      <w:lvlJc w:val="left"/>
      <w:pPr>
        <w:tabs>
          <w:tab w:val="num" w:pos="7412"/>
        </w:tabs>
        <w:ind w:left="7412" w:hanging="360"/>
      </w:pPr>
      <w:rPr>
        <w:rFonts w:ascii="Wingdings" w:hAnsi="Wingdings" w:hint="default"/>
      </w:rPr>
    </w:lvl>
  </w:abstractNum>
  <w:abstractNum w:abstractNumId="33">
    <w:nsid w:val="72F04204"/>
    <w:multiLevelType w:val="hybridMultilevel"/>
    <w:tmpl w:val="56CA051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C33B48"/>
    <w:multiLevelType w:val="hybridMultilevel"/>
    <w:tmpl w:val="088AE614"/>
    <w:lvl w:ilvl="0" w:tplc="A808CD22">
      <w:start w:val="2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51160E"/>
    <w:multiLevelType w:val="hybridMultilevel"/>
    <w:tmpl w:val="79F89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FE6801"/>
    <w:multiLevelType w:val="hybridMultilevel"/>
    <w:tmpl w:val="74ECF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8"/>
  </w:num>
  <w:num w:numId="3">
    <w:abstractNumId w:val="1"/>
  </w:num>
  <w:num w:numId="4">
    <w:abstractNumId w:val="14"/>
  </w:num>
  <w:num w:numId="5">
    <w:abstractNumId w:val="0"/>
  </w:num>
  <w:num w:numId="6">
    <w:abstractNumId w:val="26"/>
  </w:num>
  <w:num w:numId="7">
    <w:abstractNumId w:val="24"/>
  </w:num>
  <w:num w:numId="8">
    <w:abstractNumId w:val="15"/>
  </w:num>
  <w:num w:numId="9">
    <w:abstractNumId w:val="12"/>
  </w:num>
  <w:num w:numId="10">
    <w:abstractNumId w:val="13"/>
  </w:num>
  <w:num w:numId="11">
    <w:abstractNumId w:val="32"/>
  </w:num>
  <w:num w:numId="12">
    <w:abstractNumId w:val="5"/>
  </w:num>
  <w:num w:numId="13">
    <w:abstractNumId w:val="4"/>
  </w:num>
  <w:num w:numId="14">
    <w:abstractNumId w:val="31"/>
  </w:num>
  <w:num w:numId="15">
    <w:abstractNumId w:val="7"/>
  </w:num>
  <w:num w:numId="16">
    <w:abstractNumId w:val="35"/>
  </w:num>
  <w:num w:numId="17">
    <w:abstractNumId w:val="6"/>
  </w:num>
  <w:num w:numId="18">
    <w:abstractNumId w:val="36"/>
  </w:num>
  <w:num w:numId="19">
    <w:abstractNumId w:val="30"/>
  </w:num>
  <w:num w:numId="20">
    <w:abstractNumId w:val="25"/>
  </w:num>
  <w:num w:numId="21">
    <w:abstractNumId w:val="23"/>
  </w:num>
  <w:num w:numId="22">
    <w:abstractNumId w:val="17"/>
  </w:num>
  <w:num w:numId="23">
    <w:abstractNumId w:val="22"/>
  </w:num>
  <w:num w:numId="24">
    <w:abstractNumId w:val="3"/>
  </w:num>
  <w:num w:numId="25">
    <w:abstractNumId w:val="10"/>
  </w:num>
  <w:num w:numId="26">
    <w:abstractNumId w:val="21"/>
  </w:num>
  <w:num w:numId="27">
    <w:abstractNumId w:val="29"/>
  </w:num>
  <w:num w:numId="28">
    <w:abstractNumId w:val="18"/>
  </w:num>
  <w:num w:numId="29">
    <w:abstractNumId w:val="11"/>
  </w:num>
  <w:num w:numId="30">
    <w:abstractNumId w:val="33"/>
  </w:num>
  <w:num w:numId="31">
    <w:abstractNumId w:val="20"/>
  </w:num>
  <w:num w:numId="32">
    <w:abstractNumId w:val="27"/>
  </w:num>
  <w:num w:numId="33">
    <w:abstractNumId w:val="19"/>
  </w:num>
  <w:num w:numId="34">
    <w:abstractNumId w:val="16"/>
  </w:num>
  <w:num w:numId="35">
    <w:abstractNumId w:val="2"/>
  </w:num>
  <w:num w:numId="36">
    <w:abstractNumId w:val="8"/>
  </w:num>
  <w:num w:numId="3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C99"/>
    <w:rsid w:val="00011646"/>
    <w:rsid w:val="00016F99"/>
    <w:rsid w:val="00023805"/>
    <w:rsid w:val="00026C88"/>
    <w:rsid w:val="000416A7"/>
    <w:rsid w:val="000449AD"/>
    <w:rsid w:val="0006213C"/>
    <w:rsid w:val="00077DBB"/>
    <w:rsid w:val="00091E08"/>
    <w:rsid w:val="000A2CD7"/>
    <w:rsid w:val="000B0F05"/>
    <w:rsid w:val="000B3529"/>
    <w:rsid w:val="000B5046"/>
    <w:rsid w:val="000D2EF3"/>
    <w:rsid w:val="000E6081"/>
    <w:rsid w:val="000F1553"/>
    <w:rsid w:val="000F3CE5"/>
    <w:rsid w:val="000F46CC"/>
    <w:rsid w:val="00100CE1"/>
    <w:rsid w:val="00101BD3"/>
    <w:rsid w:val="00120528"/>
    <w:rsid w:val="00125D04"/>
    <w:rsid w:val="00131B19"/>
    <w:rsid w:val="0013369C"/>
    <w:rsid w:val="001339F0"/>
    <w:rsid w:val="00140741"/>
    <w:rsid w:val="00147A76"/>
    <w:rsid w:val="00153F10"/>
    <w:rsid w:val="00155F53"/>
    <w:rsid w:val="00157C8F"/>
    <w:rsid w:val="001660C5"/>
    <w:rsid w:val="00166ACD"/>
    <w:rsid w:val="001709EE"/>
    <w:rsid w:val="00174A1F"/>
    <w:rsid w:val="0017763E"/>
    <w:rsid w:val="0018009B"/>
    <w:rsid w:val="001811A0"/>
    <w:rsid w:val="001817FF"/>
    <w:rsid w:val="00192BBB"/>
    <w:rsid w:val="00195DB2"/>
    <w:rsid w:val="00197901"/>
    <w:rsid w:val="001A5F1F"/>
    <w:rsid w:val="001C0D2D"/>
    <w:rsid w:val="001C4742"/>
    <w:rsid w:val="001D6A5F"/>
    <w:rsid w:val="001D6D9E"/>
    <w:rsid w:val="001E7722"/>
    <w:rsid w:val="001F4DB6"/>
    <w:rsid w:val="001F547F"/>
    <w:rsid w:val="002035EA"/>
    <w:rsid w:val="00206F04"/>
    <w:rsid w:val="00215F8D"/>
    <w:rsid w:val="002452A5"/>
    <w:rsid w:val="00250DE5"/>
    <w:rsid w:val="0027190A"/>
    <w:rsid w:val="0027299A"/>
    <w:rsid w:val="002816D4"/>
    <w:rsid w:val="00281E59"/>
    <w:rsid w:val="00282333"/>
    <w:rsid w:val="00290CAB"/>
    <w:rsid w:val="00297D87"/>
    <w:rsid w:val="002B7475"/>
    <w:rsid w:val="002C54A7"/>
    <w:rsid w:val="002C730B"/>
    <w:rsid w:val="002D16C3"/>
    <w:rsid w:val="002D18F0"/>
    <w:rsid w:val="002D4938"/>
    <w:rsid w:val="002D6EFF"/>
    <w:rsid w:val="002E0F49"/>
    <w:rsid w:val="002E3010"/>
    <w:rsid w:val="002E342E"/>
    <w:rsid w:val="00302261"/>
    <w:rsid w:val="0031635B"/>
    <w:rsid w:val="00330847"/>
    <w:rsid w:val="00330919"/>
    <w:rsid w:val="003332DA"/>
    <w:rsid w:val="003337CA"/>
    <w:rsid w:val="00347897"/>
    <w:rsid w:val="0035071D"/>
    <w:rsid w:val="00352098"/>
    <w:rsid w:val="003532ED"/>
    <w:rsid w:val="003578B7"/>
    <w:rsid w:val="0036018E"/>
    <w:rsid w:val="00377471"/>
    <w:rsid w:val="00381C99"/>
    <w:rsid w:val="003839A6"/>
    <w:rsid w:val="00394570"/>
    <w:rsid w:val="0039515A"/>
    <w:rsid w:val="00395880"/>
    <w:rsid w:val="003B3894"/>
    <w:rsid w:val="003B6E90"/>
    <w:rsid w:val="003C4F3E"/>
    <w:rsid w:val="003F3182"/>
    <w:rsid w:val="00410542"/>
    <w:rsid w:val="004142AF"/>
    <w:rsid w:val="004148CE"/>
    <w:rsid w:val="0042770A"/>
    <w:rsid w:val="004310F6"/>
    <w:rsid w:val="004407C8"/>
    <w:rsid w:val="00460B2F"/>
    <w:rsid w:val="00461C6F"/>
    <w:rsid w:val="00461DBF"/>
    <w:rsid w:val="00463469"/>
    <w:rsid w:val="004678B5"/>
    <w:rsid w:val="00487A13"/>
    <w:rsid w:val="00493B6C"/>
    <w:rsid w:val="004B67E4"/>
    <w:rsid w:val="004E251D"/>
    <w:rsid w:val="004E7A89"/>
    <w:rsid w:val="005026CD"/>
    <w:rsid w:val="0050372B"/>
    <w:rsid w:val="00510823"/>
    <w:rsid w:val="00517884"/>
    <w:rsid w:val="00520C82"/>
    <w:rsid w:val="00521DA5"/>
    <w:rsid w:val="00523E7C"/>
    <w:rsid w:val="0053063C"/>
    <w:rsid w:val="00531D3B"/>
    <w:rsid w:val="00546E56"/>
    <w:rsid w:val="00555AF9"/>
    <w:rsid w:val="005651C4"/>
    <w:rsid w:val="00571942"/>
    <w:rsid w:val="005728F2"/>
    <w:rsid w:val="005805B3"/>
    <w:rsid w:val="00583B10"/>
    <w:rsid w:val="00584600"/>
    <w:rsid w:val="00586BE2"/>
    <w:rsid w:val="00593374"/>
    <w:rsid w:val="00596C3A"/>
    <w:rsid w:val="005B554C"/>
    <w:rsid w:val="005C31F0"/>
    <w:rsid w:val="005C4874"/>
    <w:rsid w:val="005D2E75"/>
    <w:rsid w:val="005D63E5"/>
    <w:rsid w:val="005E5FF5"/>
    <w:rsid w:val="005F0257"/>
    <w:rsid w:val="005F3C71"/>
    <w:rsid w:val="00601B2E"/>
    <w:rsid w:val="00606915"/>
    <w:rsid w:val="006238FF"/>
    <w:rsid w:val="00624541"/>
    <w:rsid w:val="00655A16"/>
    <w:rsid w:val="00660962"/>
    <w:rsid w:val="00660F74"/>
    <w:rsid w:val="006653ED"/>
    <w:rsid w:val="00667A58"/>
    <w:rsid w:val="00670B5F"/>
    <w:rsid w:val="0067407A"/>
    <w:rsid w:val="006750E8"/>
    <w:rsid w:val="00686C9A"/>
    <w:rsid w:val="00695BA5"/>
    <w:rsid w:val="006A2E49"/>
    <w:rsid w:val="006C1FF2"/>
    <w:rsid w:val="006C294B"/>
    <w:rsid w:val="006C5C01"/>
    <w:rsid w:val="006D171A"/>
    <w:rsid w:val="006D1AF9"/>
    <w:rsid w:val="006E06F6"/>
    <w:rsid w:val="00706FC2"/>
    <w:rsid w:val="007075F2"/>
    <w:rsid w:val="00707C5D"/>
    <w:rsid w:val="00725E9C"/>
    <w:rsid w:val="00736072"/>
    <w:rsid w:val="00737BFE"/>
    <w:rsid w:val="00766C79"/>
    <w:rsid w:val="007775E5"/>
    <w:rsid w:val="00783531"/>
    <w:rsid w:val="00786D84"/>
    <w:rsid w:val="007A5A7F"/>
    <w:rsid w:val="007B0E8F"/>
    <w:rsid w:val="007C0040"/>
    <w:rsid w:val="007C1908"/>
    <w:rsid w:val="007C7AB4"/>
    <w:rsid w:val="0080088C"/>
    <w:rsid w:val="00800E2D"/>
    <w:rsid w:val="008162F3"/>
    <w:rsid w:val="00816E23"/>
    <w:rsid w:val="00823AC2"/>
    <w:rsid w:val="0082647A"/>
    <w:rsid w:val="00841607"/>
    <w:rsid w:val="008420F1"/>
    <w:rsid w:val="008430B3"/>
    <w:rsid w:val="00846446"/>
    <w:rsid w:val="00846984"/>
    <w:rsid w:val="00847F32"/>
    <w:rsid w:val="00871A80"/>
    <w:rsid w:val="008753FB"/>
    <w:rsid w:val="00877AB3"/>
    <w:rsid w:val="008A7F15"/>
    <w:rsid w:val="008B1F1C"/>
    <w:rsid w:val="008C13D8"/>
    <w:rsid w:val="008C5196"/>
    <w:rsid w:val="008D2A89"/>
    <w:rsid w:val="008E0275"/>
    <w:rsid w:val="008E0FF6"/>
    <w:rsid w:val="008E6ECB"/>
    <w:rsid w:val="008F2B5A"/>
    <w:rsid w:val="0090386B"/>
    <w:rsid w:val="009305A4"/>
    <w:rsid w:val="0096309B"/>
    <w:rsid w:val="00971B15"/>
    <w:rsid w:val="00982853"/>
    <w:rsid w:val="00982949"/>
    <w:rsid w:val="00982B7F"/>
    <w:rsid w:val="00984452"/>
    <w:rsid w:val="009863DA"/>
    <w:rsid w:val="009958A5"/>
    <w:rsid w:val="009A1EFD"/>
    <w:rsid w:val="009B2BAC"/>
    <w:rsid w:val="009B37BC"/>
    <w:rsid w:val="009B4C88"/>
    <w:rsid w:val="009B54F5"/>
    <w:rsid w:val="009B6B75"/>
    <w:rsid w:val="009C044C"/>
    <w:rsid w:val="009D0A4A"/>
    <w:rsid w:val="00A11AFC"/>
    <w:rsid w:val="00A13C27"/>
    <w:rsid w:val="00A15450"/>
    <w:rsid w:val="00A176CC"/>
    <w:rsid w:val="00A22E1E"/>
    <w:rsid w:val="00A235D6"/>
    <w:rsid w:val="00A23872"/>
    <w:rsid w:val="00A25AA4"/>
    <w:rsid w:val="00A25F39"/>
    <w:rsid w:val="00A33DCA"/>
    <w:rsid w:val="00A35177"/>
    <w:rsid w:val="00A5737C"/>
    <w:rsid w:val="00A64982"/>
    <w:rsid w:val="00A70899"/>
    <w:rsid w:val="00A70D65"/>
    <w:rsid w:val="00A813D9"/>
    <w:rsid w:val="00A87C58"/>
    <w:rsid w:val="00A96F65"/>
    <w:rsid w:val="00AA5160"/>
    <w:rsid w:val="00AA60BA"/>
    <w:rsid w:val="00AA766F"/>
    <w:rsid w:val="00AB185E"/>
    <w:rsid w:val="00AE2BF6"/>
    <w:rsid w:val="00AE3C54"/>
    <w:rsid w:val="00B01578"/>
    <w:rsid w:val="00B03240"/>
    <w:rsid w:val="00B10819"/>
    <w:rsid w:val="00B1187B"/>
    <w:rsid w:val="00B21999"/>
    <w:rsid w:val="00B21D9D"/>
    <w:rsid w:val="00B362E8"/>
    <w:rsid w:val="00B40C5C"/>
    <w:rsid w:val="00B43A79"/>
    <w:rsid w:val="00B50E88"/>
    <w:rsid w:val="00B524DD"/>
    <w:rsid w:val="00B5492E"/>
    <w:rsid w:val="00B6205F"/>
    <w:rsid w:val="00B96D29"/>
    <w:rsid w:val="00BC57C7"/>
    <w:rsid w:val="00C004C0"/>
    <w:rsid w:val="00C064AF"/>
    <w:rsid w:val="00C11AC3"/>
    <w:rsid w:val="00C2216A"/>
    <w:rsid w:val="00C2546E"/>
    <w:rsid w:val="00C41139"/>
    <w:rsid w:val="00C5461D"/>
    <w:rsid w:val="00C5537D"/>
    <w:rsid w:val="00C565A0"/>
    <w:rsid w:val="00C63E51"/>
    <w:rsid w:val="00C71199"/>
    <w:rsid w:val="00C82ABD"/>
    <w:rsid w:val="00C93468"/>
    <w:rsid w:val="00C9674A"/>
    <w:rsid w:val="00CA3FD9"/>
    <w:rsid w:val="00CD2839"/>
    <w:rsid w:val="00CD65F1"/>
    <w:rsid w:val="00CE1A0B"/>
    <w:rsid w:val="00CE2308"/>
    <w:rsid w:val="00CE689B"/>
    <w:rsid w:val="00CE6F28"/>
    <w:rsid w:val="00CF651B"/>
    <w:rsid w:val="00D02A84"/>
    <w:rsid w:val="00D1427B"/>
    <w:rsid w:val="00D21763"/>
    <w:rsid w:val="00D3547D"/>
    <w:rsid w:val="00D41F43"/>
    <w:rsid w:val="00D51F4B"/>
    <w:rsid w:val="00D52BD0"/>
    <w:rsid w:val="00D52E6C"/>
    <w:rsid w:val="00D548AD"/>
    <w:rsid w:val="00D54A3A"/>
    <w:rsid w:val="00D55110"/>
    <w:rsid w:val="00D5791D"/>
    <w:rsid w:val="00D620A1"/>
    <w:rsid w:val="00D63476"/>
    <w:rsid w:val="00D705F8"/>
    <w:rsid w:val="00D7290C"/>
    <w:rsid w:val="00D81D6B"/>
    <w:rsid w:val="00D842D4"/>
    <w:rsid w:val="00D953BA"/>
    <w:rsid w:val="00DA070F"/>
    <w:rsid w:val="00DA6FF7"/>
    <w:rsid w:val="00DB5562"/>
    <w:rsid w:val="00DB7F23"/>
    <w:rsid w:val="00DC1B48"/>
    <w:rsid w:val="00DC2E8A"/>
    <w:rsid w:val="00DD02D4"/>
    <w:rsid w:val="00DF2BCA"/>
    <w:rsid w:val="00DF50C8"/>
    <w:rsid w:val="00E050B7"/>
    <w:rsid w:val="00E12AEB"/>
    <w:rsid w:val="00E23FFD"/>
    <w:rsid w:val="00E300FD"/>
    <w:rsid w:val="00E324FB"/>
    <w:rsid w:val="00E6223A"/>
    <w:rsid w:val="00E67F8E"/>
    <w:rsid w:val="00E8244E"/>
    <w:rsid w:val="00E9463E"/>
    <w:rsid w:val="00EA0934"/>
    <w:rsid w:val="00EA0E6A"/>
    <w:rsid w:val="00EA1781"/>
    <w:rsid w:val="00EA2015"/>
    <w:rsid w:val="00EB0997"/>
    <w:rsid w:val="00EB44F3"/>
    <w:rsid w:val="00EC0012"/>
    <w:rsid w:val="00EC0B7A"/>
    <w:rsid w:val="00ED14D5"/>
    <w:rsid w:val="00EE36A0"/>
    <w:rsid w:val="00EE4491"/>
    <w:rsid w:val="00EE73F4"/>
    <w:rsid w:val="00F00DA4"/>
    <w:rsid w:val="00F07A1D"/>
    <w:rsid w:val="00F10833"/>
    <w:rsid w:val="00F130D1"/>
    <w:rsid w:val="00F1615C"/>
    <w:rsid w:val="00F16B3B"/>
    <w:rsid w:val="00F17003"/>
    <w:rsid w:val="00F262DC"/>
    <w:rsid w:val="00F32575"/>
    <w:rsid w:val="00F32BD5"/>
    <w:rsid w:val="00F36EB1"/>
    <w:rsid w:val="00F42AA6"/>
    <w:rsid w:val="00F44BFA"/>
    <w:rsid w:val="00F51E68"/>
    <w:rsid w:val="00F573F6"/>
    <w:rsid w:val="00F57E09"/>
    <w:rsid w:val="00F57F52"/>
    <w:rsid w:val="00F66BFE"/>
    <w:rsid w:val="00F770CC"/>
    <w:rsid w:val="00F77392"/>
    <w:rsid w:val="00F8305A"/>
    <w:rsid w:val="00F903E2"/>
    <w:rsid w:val="00F9191F"/>
    <w:rsid w:val="00F91BDC"/>
    <w:rsid w:val="00F95984"/>
    <w:rsid w:val="00F95C1E"/>
    <w:rsid w:val="00FA16EB"/>
    <w:rsid w:val="00FC54BF"/>
    <w:rsid w:val="00FD0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7BC"/>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877AB3"/>
    <w:rPr>
      <w:rFonts w:ascii="Arial" w:hAnsi="Arial"/>
      <w:b/>
      <w:sz w:val="22"/>
      <w:szCs w:val="20"/>
    </w:rPr>
  </w:style>
  <w:style w:type="paragraph" w:customStyle="1" w:styleId="DocumentTitle">
    <w:name w:val="Document Title"/>
    <w:basedOn w:val="Normal"/>
    <w:rsid w:val="00877AB3"/>
    <w:pPr>
      <w:pBdr>
        <w:bottom w:val="single" w:sz="4" w:space="1" w:color="auto"/>
      </w:pBdr>
      <w:spacing w:before="2400"/>
      <w:outlineLvl w:val="0"/>
    </w:pPr>
    <w:rPr>
      <w:rFonts w:ascii="Arial" w:eastAsia="Times" w:hAnsi="Arial"/>
      <w:b/>
      <w:kern w:val="28"/>
      <w:sz w:val="32"/>
      <w:szCs w:val="20"/>
    </w:rPr>
  </w:style>
  <w:style w:type="paragraph" w:customStyle="1" w:styleId="SubTitle1">
    <w:name w:val="SubTitle1"/>
    <w:basedOn w:val="Normal"/>
    <w:rsid w:val="00877AB3"/>
    <w:pPr>
      <w:spacing w:after="720"/>
    </w:pPr>
    <w:rPr>
      <w:rFonts w:ascii="Arial" w:eastAsia="Times" w:hAnsi="Arial"/>
      <w:b/>
      <w:sz w:val="22"/>
      <w:szCs w:val="20"/>
    </w:rPr>
  </w:style>
  <w:style w:type="paragraph" w:customStyle="1" w:styleId="SubTitle2">
    <w:name w:val="SubTitle2"/>
    <w:basedOn w:val="Normal"/>
    <w:next w:val="SubTitle1"/>
    <w:rsid w:val="00877AB3"/>
    <w:pPr>
      <w:pBdr>
        <w:bottom w:val="single" w:sz="4" w:space="1" w:color="auto"/>
      </w:pBdr>
      <w:spacing w:after="1000"/>
    </w:pPr>
    <w:rPr>
      <w:rFonts w:ascii="Arial" w:eastAsia="Times" w:hAnsi="Arial"/>
      <w:sz w:val="22"/>
      <w:szCs w:val="20"/>
    </w:rPr>
  </w:style>
  <w:style w:type="paragraph" w:customStyle="1" w:styleId="ZCom">
    <w:name w:val="Z_Com"/>
    <w:basedOn w:val="Normal"/>
    <w:next w:val="Normal"/>
    <w:rsid w:val="00877AB3"/>
    <w:pPr>
      <w:widowControl w:val="0"/>
      <w:ind w:right="85"/>
    </w:pPr>
    <w:rPr>
      <w:rFonts w:ascii="Arial" w:hAnsi="Arial"/>
      <w:snapToGrid w:val="0"/>
      <w:szCs w:val="20"/>
      <w:lang w:eastAsia="en-US"/>
    </w:rPr>
  </w:style>
  <w:style w:type="paragraph" w:customStyle="1" w:styleId="ZDGName">
    <w:name w:val="Z_DGName"/>
    <w:basedOn w:val="Normal"/>
    <w:rsid w:val="00877AB3"/>
    <w:pPr>
      <w:widowControl w:val="0"/>
      <w:ind w:right="85"/>
    </w:pPr>
    <w:rPr>
      <w:rFonts w:ascii="Arial" w:hAnsi="Arial"/>
      <w:snapToGrid w:val="0"/>
      <w:sz w:val="16"/>
      <w:szCs w:val="20"/>
      <w:lang w:eastAsia="en-US"/>
    </w:rPr>
  </w:style>
  <w:style w:type="paragraph" w:styleId="Footer">
    <w:name w:val="footer"/>
    <w:basedOn w:val="Normal"/>
    <w:rsid w:val="00B21999"/>
    <w:pPr>
      <w:tabs>
        <w:tab w:val="center" w:pos="4536"/>
        <w:tab w:val="right" w:pos="9072"/>
      </w:tabs>
    </w:pPr>
  </w:style>
  <w:style w:type="character" w:styleId="PageNumber">
    <w:name w:val="page number"/>
    <w:basedOn w:val="DefaultParagraphFont"/>
    <w:rsid w:val="00B21999"/>
  </w:style>
  <w:style w:type="paragraph" w:styleId="BalloonText">
    <w:name w:val="Balloon Text"/>
    <w:basedOn w:val="Normal"/>
    <w:semiHidden/>
    <w:rsid w:val="00F1615C"/>
    <w:rPr>
      <w:rFonts w:ascii="Tahoma" w:hAnsi="Tahoma" w:cs="Tahoma"/>
      <w:sz w:val="16"/>
      <w:szCs w:val="16"/>
    </w:rPr>
  </w:style>
  <w:style w:type="table" w:customStyle="1" w:styleId="TableGrid1">
    <w:name w:val="Table Grid1"/>
    <w:basedOn w:val="TableNormal"/>
    <w:next w:val="TableGrid"/>
    <w:uiPriority w:val="59"/>
    <w:rsid w:val="00847F32"/>
    <w:rPr>
      <w:rFonts w:ascii="Calibri" w:eastAsia="Calibri" w:hAnsi="Calibri"/>
      <w:sz w:val="22"/>
      <w:szCs w:val="22"/>
      <w:lang w:val="es-ES_trad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004C0"/>
    <w:pPr>
      <w:jc w:val="both"/>
    </w:pPr>
    <w:rPr>
      <w:rFonts w:ascii="Arial" w:hAnsi="Arial"/>
      <w:sz w:val="20"/>
      <w:szCs w:val="20"/>
    </w:rPr>
  </w:style>
  <w:style w:type="character" w:customStyle="1" w:styleId="FootnoteTextChar">
    <w:name w:val="Footnote Text Char"/>
    <w:link w:val="FootnoteText"/>
    <w:uiPriority w:val="99"/>
    <w:rsid w:val="00C004C0"/>
    <w:rPr>
      <w:rFonts w:ascii="Arial" w:hAnsi="Arial"/>
      <w:lang w:val="fr-FR" w:eastAsia="fr-FR"/>
    </w:rPr>
  </w:style>
  <w:style w:type="character" w:styleId="FootnoteReference">
    <w:name w:val="footnote reference"/>
    <w:uiPriority w:val="99"/>
    <w:unhideWhenUsed/>
    <w:rsid w:val="00C004C0"/>
    <w:rPr>
      <w:vertAlign w:val="superscript"/>
    </w:rPr>
  </w:style>
  <w:style w:type="table" w:customStyle="1" w:styleId="TableGrid2">
    <w:name w:val="Table Grid2"/>
    <w:basedOn w:val="TableNormal"/>
    <w:next w:val="TableGrid"/>
    <w:uiPriority w:val="59"/>
    <w:rsid w:val="00C004C0"/>
    <w:rPr>
      <w:rFonts w:ascii="Arial" w:eastAsia="SimSun"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0934"/>
    <w:pPr>
      <w:spacing w:after="200" w:line="276" w:lineRule="auto"/>
      <w:ind w:left="720"/>
      <w:contextualSpacing/>
    </w:pPr>
    <w:rPr>
      <w:rFonts w:ascii="Calibri" w:eastAsia="SimSun" w:hAnsi="Calibri"/>
      <w:sz w:val="22"/>
      <w:szCs w:val="22"/>
      <w:lang w:val="en-US" w:eastAsia="zh-CN"/>
    </w:rPr>
  </w:style>
  <w:style w:type="character" w:styleId="CommentReference">
    <w:name w:val="annotation reference"/>
    <w:rsid w:val="006D1AF9"/>
    <w:rPr>
      <w:sz w:val="16"/>
      <w:szCs w:val="16"/>
    </w:rPr>
  </w:style>
  <w:style w:type="paragraph" w:styleId="CommentText">
    <w:name w:val="annotation text"/>
    <w:basedOn w:val="Normal"/>
    <w:link w:val="CommentTextChar"/>
    <w:rsid w:val="006D1AF9"/>
    <w:rPr>
      <w:sz w:val="20"/>
      <w:szCs w:val="20"/>
    </w:rPr>
  </w:style>
  <w:style w:type="character" w:customStyle="1" w:styleId="CommentTextChar">
    <w:name w:val="Comment Text Char"/>
    <w:basedOn w:val="DefaultParagraphFont"/>
    <w:link w:val="CommentText"/>
    <w:rsid w:val="006D1AF9"/>
  </w:style>
  <w:style w:type="paragraph" w:styleId="CommentSubject">
    <w:name w:val="annotation subject"/>
    <w:basedOn w:val="CommentText"/>
    <w:next w:val="CommentText"/>
    <w:link w:val="CommentSubjectChar"/>
    <w:rsid w:val="006D1AF9"/>
    <w:rPr>
      <w:b/>
      <w:bCs/>
    </w:rPr>
  </w:style>
  <w:style w:type="character" w:customStyle="1" w:styleId="CommentSubjectChar">
    <w:name w:val="Comment Subject Char"/>
    <w:link w:val="CommentSubject"/>
    <w:rsid w:val="006D1A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15FC-41B6-4311-A8A7-22C5F27F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3486</Words>
  <Characters>19871</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EE</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Andreas.Beckmann</dc:creator>
  <cp:lastModifiedBy>BECKMANN Andreas</cp:lastModifiedBy>
  <cp:revision>6</cp:revision>
  <cp:lastPrinted>2016-10-24T08:14:00Z</cp:lastPrinted>
  <dcterms:created xsi:type="dcterms:W3CDTF">2016-11-14T12:39:00Z</dcterms:created>
  <dcterms:modified xsi:type="dcterms:W3CDTF">2016-11-21T11:18:00Z</dcterms:modified>
</cp:coreProperties>
</file>