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4F6" w:rsidRPr="007B5C0D" w:rsidRDefault="004814F6">
      <w:pPr>
        <w:pStyle w:val="References"/>
      </w:pPr>
    </w:p>
    <w:tbl>
      <w:tblPr>
        <w:tblW w:w="0" w:type="auto"/>
        <w:tblLayout w:type="fixed"/>
        <w:tblCellMar>
          <w:left w:w="0" w:type="dxa"/>
          <w:right w:w="0" w:type="dxa"/>
        </w:tblCellMar>
        <w:tblLook w:val="0000" w:firstRow="0" w:lastRow="0" w:firstColumn="0" w:lastColumn="0" w:noHBand="0" w:noVBand="0"/>
      </w:tblPr>
      <w:tblGrid>
        <w:gridCol w:w="5103"/>
        <w:gridCol w:w="4366"/>
      </w:tblGrid>
      <w:tr w:rsidR="005C0ACF" w:rsidRPr="007B5C0D">
        <w:trPr>
          <w:trHeight w:val="1440"/>
        </w:trPr>
        <w:tc>
          <w:tcPr>
            <w:tcW w:w="5103" w:type="dxa"/>
          </w:tcPr>
          <w:p w:rsidR="005C0ACF" w:rsidRPr="007B5C0D" w:rsidRDefault="00BA023D" w:rsidP="00C77DE1">
            <w:pPr>
              <w:jc w:val="left"/>
            </w:pPr>
            <w:bookmarkStart w:id="0" w:name="WorDocTitle"/>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75pt;margin-top:-8.4pt;width:243pt;height:66.2pt;z-index:251657728">
                  <v:imagedata r:id="rId9" o:title=""/>
                  <w10:wrap type="topAndBottom"/>
                </v:shape>
                <o:OLEObject Type="Embed" ProgID="MSPhotoEd.3" ShapeID="_x0000_s1026" DrawAspect="Content" ObjectID="_1496815574" r:id="rId10"/>
              </w:pict>
            </w:r>
          </w:p>
        </w:tc>
        <w:tc>
          <w:tcPr>
            <w:tcW w:w="4366" w:type="dxa"/>
          </w:tcPr>
          <w:p w:rsidR="005C0ACF" w:rsidRPr="007B5C0D" w:rsidRDefault="007B5C0D" w:rsidP="00C77DE1">
            <w:pPr>
              <w:pStyle w:val="ZCom"/>
              <w:rPr>
                <w:color w:val="0000FF"/>
              </w:rPr>
            </w:pPr>
            <w:r>
              <w:rPr>
                <w:color w:val="0000FF"/>
              </w:rPr>
              <w:t>Ecoles européennes</w:t>
            </w:r>
          </w:p>
          <w:p w:rsidR="005C0ACF" w:rsidRPr="007B5C0D" w:rsidRDefault="005C0ACF" w:rsidP="00C77DE1">
            <w:pPr>
              <w:pStyle w:val="ZDGName"/>
              <w:rPr>
                <w:color w:val="0000FF"/>
              </w:rPr>
            </w:pPr>
          </w:p>
          <w:p w:rsidR="005C0ACF" w:rsidRPr="007B5C0D" w:rsidRDefault="005C0ACF" w:rsidP="00C77DE1">
            <w:pPr>
              <w:pStyle w:val="ZDGName"/>
              <w:rPr>
                <w:color w:val="0000FF"/>
              </w:rPr>
            </w:pPr>
          </w:p>
          <w:p w:rsidR="005C0ACF" w:rsidRPr="007B5C0D" w:rsidRDefault="005C0ACF" w:rsidP="00C77DE1">
            <w:pPr>
              <w:pStyle w:val="ZDGName"/>
              <w:rPr>
                <w:color w:val="0000FF"/>
              </w:rPr>
            </w:pPr>
          </w:p>
          <w:p w:rsidR="005C0ACF" w:rsidRPr="007B5C0D" w:rsidRDefault="007B5C0D" w:rsidP="007B5C0D">
            <w:pPr>
              <w:pStyle w:val="ZDGName"/>
              <w:rPr>
                <w:color w:val="0000FF"/>
              </w:rPr>
            </w:pPr>
            <w:r>
              <w:rPr>
                <w:color w:val="0000FF"/>
              </w:rPr>
              <w:t xml:space="preserve">Bureau du Secrétaire général </w:t>
            </w:r>
          </w:p>
        </w:tc>
      </w:tr>
    </w:tbl>
    <w:p w:rsidR="007B5C0D" w:rsidRDefault="007B5C0D" w:rsidP="005C0ACF">
      <w:pPr>
        <w:pStyle w:val="References"/>
        <w:spacing w:before="0"/>
        <w:rPr>
          <w:szCs w:val="22"/>
        </w:rPr>
      </w:pPr>
    </w:p>
    <w:p w:rsidR="005C0ACF" w:rsidRPr="007B5C0D" w:rsidRDefault="005C0ACF" w:rsidP="005C0ACF">
      <w:pPr>
        <w:pStyle w:val="References"/>
        <w:spacing w:before="0"/>
        <w:rPr>
          <w:szCs w:val="22"/>
        </w:rPr>
      </w:pPr>
      <w:r w:rsidRPr="007B5C0D">
        <w:rPr>
          <w:szCs w:val="22"/>
        </w:rPr>
        <w:t>Réf.</w:t>
      </w:r>
      <w:r w:rsidR="007B5C0D">
        <w:rPr>
          <w:szCs w:val="22"/>
        </w:rPr>
        <w:t xml:space="preserve"> : </w:t>
      </w:r>
      <w:bookmarkStart w:id="1" w:name="_GoBack"/>
      <w:r w:rsidR="007B5C0D">
        <w:rPr>
          <w:szCs w:val="22"/>
        </w:rPr>
        <w:t>20</w:t>
      </w:r>
      <w:r w:rsidR="00F77C6A">
        <w:rPr>
          <w:szCs w:val="22"/>
        </w:rPr>
        <w:t>1</w:t>
      </w:r>
      <w:r w:rsidR="005E2995">
        <w:rPr>
          <w:szCs w:val="22"/>
        </w:rPr>
        <w:t>5</w:t>
      </w:r>
      <w:r w:rsidR="007B5C0D">
        <w:rPr>
          <w:szCs w:val="22"/>
        </w:rPr>
        <w:t>-</w:t>
      </w:r>
      <w:r w:rsidR="00FF6E43">
        <w:rPr>
          <w:szCs w:val="22"/>
        </w:rPr>
        <w:t>0</w:t>
      </w:r>
      <w:r w:rsidR="008937F7">
        <w:rPr>
          <w:szCs w:val="22"/>
        </w:rPr>
        <w:t>3</w:t>
      </w:r>
      <w:r w:rsidR="00FF6E43">
        <w:rPr>
          <w:szCs w:val="22"/>
        </w:rPr>
        <w:t>-</w:t>
      </w:r>
      <w:r w:rsidR="007B5C0D">
        <w:rPr>
          <w:szCs w:val="22"/>
        </w:rPr>
        <w:t>D-</w:t>
      </w:r>
      <w:r w:rsidR="002D6073">
        <w:rPr>
          <w:szCs w:val="22"/>
        </w:rPr>
        <w:t>13</w:t>
      </w:r>
      <w:r w:rsidR="007B5C0D">
        <w:rPr>
          <w:szCs w:val="22"/>
        </w:rPr>
        <w:t>-fr</w:t>
      </w:r>
      <w:r w:rsidRPr="007B5C0D">
        <w:rPr>
          <w:szCs w:val="22"/>
        </w:rPr>
        <w:t>-</w:t>
      </w:r>
      <w:r w:rsidR="00C1637C">
        <w:rPr>
          <w:szCs w:val="22"/>
        </w:rPr>
        <w:t>1</w:t>
      </w:r>
      <w:bookmarkEnd w:id="1"/>
    </w:p>
    <w:p w:rsidR="005C0ACF" w:rsidRPr="007B5C0D" w:rsidRDefault="005C0ACF" w:rsidP="005C0ACF">
      <w:pPr>
        <w:pStyle w:val="References"/>
        <w:spacing w:before="0"/>
        <w:rPr>
          <w:szCs w:val="22"/>
        </w:rPr>
      </w:pPr>
    </w:p>
    <w:p w:rsidR="005C0ACF" w:rsidRDefault="007B5C0D" w:rsidP="005C0ACF">
      <w:pPr>
        <w:pStyle w:val="References"/>
        <w:spacing w:before="0"/>
        <w:rPr>
          <w:szCs w:val="22"/>
        </w:rPr>
      </w:pPr>
      <w:r>
        <w:rPr>
          <w:szCs w:val="22"/>
        </w:rPr>
        <w:t>Original </w:t>
      </w:r>
      <w:r w:rsidR="00F5638E">
        <w:rPr>
          <w:szCs w:val="22"/>
        </w:rPr>
        <w:t xml:space="preserve">: </w:t>
      </w:r>
      <w:r w:rsidR="00C1637C">
        <w:rPr>
          <w:szCs w:val="22"/>
        </w:rPr>
        <w:t>FR</w:t>
      </w:r>
    </w:p>
    <w:p w:rsidR="00E0249E" w:rsidRPr="007B5C0D" w:rsidRDefault="00E0249E" w:rsidP="005C0ACF">
      <w:pPr>
        <w:pStyle w:val="References"/>
        <w:spacing w:before="0"/>
        <w:rPr>
          <w:szCs w:val="22"/>
        </w:rPr>
      </w:pPr>
    </w:p>
    <w:p w:rsidR="005C0ACF" w:rsidRPr="007B5C0D" w:rsidRDefault="00EA4025" w:rsidP="00F30638">
      <w:pPr>
        <w:pStyle w:val="DocumentTitle"/>
        <w:spacing w:before="3120"/>
        <w:jc w:val="both"/>
      </w:pPr>
      <w:r>
        <w:t>S</w:t>
      </w:r>
      <w:r w:rsidR="00F77C6A">
        <w:t xml:space="preserve">ituation des </w:t>
      </w:r>
      <w:r w:rsidR="0082331D">
        <w:t xml:space="preserve">inscriptions dans les </w:t>
      </w:r>
      <w:r w:rsidR="003B0DFB">
        <w:t>Ecoles européennes de Bruxelles</w:t>
      </w:r>
      <w:r w:rsidR="0042770E">
        <w:t xml:space="preserve"> : </w:t>
      </w:r>
      <w:r w:rsidR="0042770E" w:rsidRPr="0042770E">
        <w:rPr>
          <w:szCs w:val="32"/>
        </w:rPr>
        <w:t>1</w:t>
      </w:r>
      <w:r w:rsidR="0042770E" w:rsidRPr="0042770E">
        <w:rPr>
          <w:szCs w:val="32"/>
          <w:vertAlign w:val="superscript"/>
        </w:rPr>
        <w:t>ère</w:t>
      </w:r>
      <w:r w:rsidR="0042770E" w:rsidRPr="0042770E">
        <w:rPr>
          <w:szCs w:val="32"/>
        </w:rPr>
        <w:t xml:space="preserve"> phase d</w:t>
      </w:r>
      <w:r w:rsidR="0042770E">
        <w:rPr>
          <w:szCs w:val="32"/>
        </w:rPr>
        <w:t>’inscription</w:t>
      </w:r>
      <w:r w:rsidR="005E2995">
        <w:rPr>
          <w:szCs w:val="32"/>
        </w:rPr>
        <w:t xml:space="preserve"> pour l’année scolaire 2015-2016</w:t>
      </w:r>
    </w:p>
    <w:p w:rsidR="0051403D" w:rsidRDefault="00C1637C" w:rsidP="005C0ACF">
      <w:pPr>
        <w:pStyle w:val="SubTitle1"/>
      </w:pPr>
      <w:r>
        <w:t>Co</w:t>
      </w:r>
      <w:r w:rsidR="005B1708">
        <w:t xml:space="preserve">nseil supérieur des Ecoles européennes </w:t>
      </w:r>
    </w:p>
    <w:p w:rsidR="005C0ACF" w:rsidRPr="007B5C0D" w:rsidRDefault="007B5C0D" w:rsidP="005C0ACF">
      <w:pPr>
        <w:pStyle w:val="SubTitle2"/>
      </w:pPr>
      <w:r>
        <w:t xml:space="preserve">Réunion </w:t>
      </w:r>
      <w:r w:rsidR="009619E8">
        <w:t xml:space="preserve">des </w:t>
      </w:r>
      <w:r w:rsidR="002D6073">
        <w:t>15</w:t>
      </w:r>
      <w:r w:rsidR="00580C5B">
        <w:t xml:space="preserve">, </w:t>
      </w:r>
      <w:r w:rsidR="002D6073">
        <w:t>16</w:t>
      </w:r>
      <w:r w:rsidR="008732A6">
        <w:t xml:space="preserve"> et 1</w:t>
      </w:r>
      <w:r w:rsidR="002D6073">
        <w:t>7</w:t>
      </w:r>
      <w:r w:rsidR="008732A6">
        <w:t xml:space="preserve"> </w:t>
      </w:r>
      <w:r w:rsidR="005B1708">
        <w:t>avril</w:t>
      </w:r>
      <w:r w:rsidR="009619E8">
        <w:t xml:space="preserve"> </w:t>
      </w:r>
      <w:r w:rsidR="00EA4025">
        <w:t>20</w:t>
      </w:r>
      <w:r w:rsidR="00F77C6A">
        <w:t>1</w:t>
      </w:r>
      <w:r w:rsidR="005E2995">
        <w:t>5</w:t>
      </w:r>
      <w:r w:rsidR="00EA4025">
        <w:t xml:space="preserve"> - </w:t>
      </w:r>
      <w:r w:rsidR="002D6073">
        <w:t>Prague</w:t>
      </w:r>
    </w:p>
    <w:p w:rsidR="004D2487" w:rsidRDefault="005C0ACF" w:rsidP="00915628">
      <w:pPr>
        <w:tabs>
          <w:tab w:val="left" w:pos="284"/>
        </w:tabs>
        <w:spacing w:after="240"/>
        <w:ind w:left="284" w:hanging="284"/>
        <w:rPr>
          <w:b/>
          <w:sz w:val="24"/>
          <w:szCs w:val="24"/>
          <w:u w:val="single"/>
        </w:rPr>
      </w:pPr>
      <w:r w:rsidRPr="007B5C0D">
        <w:br w:type="page"/>
      </w:r>
      <w:bookmarkEnd w:id="0"/>
      <w:r w:rsidR="00EF2673">
        <w:rPr>
          <w:b/>
          <w:sz w:val="24"/>
          <w:szCs w:val="24"/>
        </w:rPr>
        <w:lastRenderedPageBreak/>
        <w:t>I</w:t>
      </w:r>
      <w:r w:rsidR="00EA4025" w:rsidRPr="007B5C0D">
        <w:rPr>
          <w:b/>
          <w:sz w:val="24"/>
          <w:szCs w:val="24"/>
        </w:rPr>
        <w:t>.</w:t>
      </w:r>
      <w:r w:rsidR="00EA4025">
        <w:rPr>
          <w:b/>
          <w:sz w:val="24"/>
          <w:szCs w:val="24"/>
        </w:rPr>
        <w:tab/>
      </w:r>
      <w:r w:rsidR="004D2487" w:rsidRPr="004D2487">
        <w:rPr>
          <w:b/>
          <w:sz w:val="24"/>
          <w:szCs w:val="24"/>
          <w:u w:val="single"/>
        </w:rPr>
        <w:t>Introduction</w:t>
      </w:r>
    </w:p>
    <w:p w:rsidR="00865C1D" w:rsidRDefault="00726FFA" w:rsidP="004A45D5">
      <w:pPr>
        <w:tabs>
          <w:tab w:val="left" w:pos="284"/>
        </w:tabs>
        <w:spacing w:line="276" w:lineRule="auto"/>
      </w:pPr>
      <w:r>
        <w:t xml:space="preserve">Les Ecoles européennes de Bruxelles sont confrontées à des difficultés considérables en termes de capacité d’accueil en raison de la croissance </w:t>
      </w:r>
      <w:r w:rsidR="00C17066">
        <w:t xml:space="preserve">constante </w:t>
      </w:r>
      <w:r>
        <w:t>de l</w:t>
      </w:r>
      <w:r w:rsidR="00582169">
        <w:t>a p</w:t>
      </w:r>
      <w:r w:rsidR="00915628">
        <w:t>opulation scolaire globale</w:t>
      </w:r>
      <w:r>
        <w:t xml:space="preserve">. De plus, </w:t>
      </w:r>
      <w:r w:rsidR="00865C1D">
        <w:t xml:space="preserve">en 2014-2015 </w:t>
      </w:r>
      <w:r>
        <w:t xml:space="preserve">l’augmentation des effectifs a été </w:t>
      </w:r>
      <w:r w:rsidR="00865C1D">
        <w:t xml:space="preserve">encore </w:t>
      </w:r>
      <w:r w:rsidR="007F46A9">
        <w:t xml:space="preserve">plus importante </w:t>
      </w:r>
      <w:r w:rsidR="00865C1D">
        <w:t xml:space="preserve">que les </w:t>
      </w:r>
      <w:r w:rsidR="007F46A9">
        <w:t xml:space="preserve">années précédentes. </w:t>
      </w:r>
      <w:r w:rsidR="00BF5036">
        <w:t>Sur la base de</w:t>
      </w:r>
      <w:r>
        <w:t>s</w:t>
      </w:r>
      <w:r w:rsidR="00BF5036">
        <w:t xml:space="preserve"> </w:t>
      </w:r>
      <w:r w:rsidR="007F46A9">
        <w:t xml:space="preserve">prévisions, </w:t>
      </w:r>
      <w:r w:rsidR="00BF5036">
        <w:t xml:space="preserve">la mise à disposition </w:t>
      </w:r>
      <w:r w:rsidR="00865C1D">
        <w:t>d’</w:t>
      </w:r>
      <w:r w:rsidR="007F46A9">
        <w:t>infrastructure</w:t>
      </w:r>
      <w:r w:rsidR="00865C1D">
        <w:t>s</w:t>
      </w:r>
      <w:r w:rsidR="007F46A9">
        <w:t xml:space="preserve"> supplémentaire</w:t>
      </w:r>
      <w:r w:rsidR="00865C1D">
        <w:t>s</w:t>
      </w:r>
      <w:r w:rsidR="007F46A9">
        <w:t xml:space="preserve">, principalement pour les cycles maternel et primaire, </w:t>
      </w:r>
      <w:r w:rsidR="00865C1D">
        <w:t xml:space="preserve">s’avère indispensable. </w:t>
      </w:r>
    </w:p>
    <w:p w:rsidR="00865C1D" w:rsidRDefault="006F0B9A" w:rsidP="004A45D5">
      <w:pPr>
        <w:tabs>
          <w:tab w:val="left" w:pos="284"/>
        </w:tabs>
        <w:spacing w:line="276" w:lineRule="auto"/>
      </w:pPr>
      <w:r>
        <w:t>A cet égard, p</w:t>
      </w:r>
      <w:r w:rsidR="00865C1D">
        <w:t xml:space="preserve">our l’année scolaire 2015-2016, </w:t>
      </w:r>
      <w:r w:rsidR="00726FFA">
        <w:t xml:space="preserve">l’utilisation du </w:t>
      </w:r>
      <w:r w:rsidR="00865C1D">
        <w:t xml:space="preserve">site de </w:t>
      </w:r>
      <w:proofErr w:type="spellStart"/>
      <w:r w:rsidR="00865C1D">
        <w:t>Berkendael</w:t>
      </w:r>
      <w:proofErr w:type="spellEnd"/>
      <w:r w:rsidR="00865C1D">
        <w:t xml:space="preserve">, qui </w:t>
      </w:r>
      <w:r w:rsidR="00726FFA">
        <w:t xml:space="preserve">héberge </w:t>
      </w:r>
      <w:r w:rsidR="00865C1D">
        <w:t>provisoirement</w:t>
      </w:r>
      <w:r w:rsidR="00726FFA">
        <w:t xml:space="preserve"> les élèves de maternelle et de 1</w:t>
      </w:r>
      <w:r w:rsidR="00726FFA" w:rsidRPr="00726FFA">
        <w:rPr>
          <w:vertAlign w:val="superscript"/>
        </w:rPr>
        <w:t>ère</w:t>
      </w:r>
      <w:r w:rsidR="00726FFA">
        <w:t xml:space="preserve"> primaire de l’Ecole de Bruxelles I, a été prolongée d’un an.</w:t>
      </w:r>
      <w:r w:rsidR="00865C1D">
        <w:t xml:space="preserve"> </w:t>
      </w:r>
    </w:p>
    <w:p w:rsidR="009F79BD" w:rsidRDefault="00BC7E32" w:rsidP="004A45D5">
      <w:pPr>
        <w:tabs>
          <w:tab w:val="left" w:pos="284"/>
        </w:tabs>
        <w:spacing w:line="276" w:lineRule="auto"/>
      </w:pPr>
      <w:r>
        <w:t xml:space="preserve">La </w:t>
      </w:r>
      <w:r w:rsidR="0053432B">
        <w:t xml:space="preserve">Politique d’inscription pour </w:t>
      </w:r>
      <w:r w:rsidR="00915628">
        <w:t xml:space="preserve">l’année scolaire </w:t>
      </w:r>
      <w:r w:rsidR="0086193D">
        <w:t>2015-2016</w:t>
      </w:r>
      <w:r>
        <w:t xml:space="preserve">, qui se </w:t>
      </w:r>
      <w:r w:rsidR="00F350F6">
        <w:t>fond</w:t>
      </w:r>
      <w:r>
        <w:t>e</w:t>
      </w:r>
      <w:r w:rsidR="00F350F6">
        <w:t xml:space="preserve"> </w:t>
      </w:r>
      <w:r w:rsidR="0053432B">
        <w:t xml:space="preserve">sur </w:t>
      </w:r>
      <w:r w:rsidR="00F350F6">
        <w:t xml:space="preserve">une </w:t>
      </w:r>
      <w:r w:rsidR="0053432B">
        <w:t>structure</w:t>
      </w:r>
      <w:r w:rsidR="00F350F6">
        <w:t xml:space="preserve"> définie </w:t>
      </w:r>
      <w:r w:rsidR="0053432B">
        <w:t>p</w:t>
      </w:r>
      <w:r w:rsidR="00F350F6">
        <w:t xml:space="preserve">ar </w:t>
      </w:r>
      <w:r w:rsidR="0053432B">
        <w:t>école</w:t>
      </w:r>
      <w:r>
        <w:t>,</w:t>
      </w:r>
      <w:r w:rsidR="00F350F6">
        <w:t xml:space="preserve"> prend en compte </w:t>
      </w:r>
      <w:r w:rsidR="00726FFA">
        <w:t xml:space="preserve">non seulement </w:t>
      </w:r>
      <w:r w:rsidR="00F350F6">
        <w:t>les particularités de cha</w:t>
      </w:r>
      <w:r w:rsidR="006F0B9A">
        <w:t>que école, mais aussi les tendances qui se dégagent des campagnes d’inscription antérieures, à savoir la forte demande majoritairement en maternelle et en 1</w:t>
      </w:r>
      <w:r w:rsidR="006F0B9A" w:rsidRPr="006F0B9A">
        <w:rPr>
          <w:vertAlign w:val="superscript"/>
        </w:rPr>
        <w:t>ère</w:t>
      </w:r>
      <w:r w:rsidR="006F0B9A">
        <w:t xml:space="preserve"> primaire</w:t>
      </w:r>
      <w:r w:rsidR="00EA4E9C">
        <w:t>,</w:t>
      </w:r>
      <w:r w:rsidR="006F0B9A">
        <w:t xml:space="preserve"> en particulier en section francophone</w:t>
      </w:r>
      <w:r w:rsidR="00F350F6">
        <w:t xml:space="preserve">. </w:t>
      </w:r>
    </w:p>
    <w:p w:rsidR="00E43C47" w:rsidRDefault="00EA4E9C" w:rsidP="004A45D5">
      <w:pPr>
        <w:tabs>
          <w:tab w:val="left" w:pos="284"/>
        </w:tabs>
        <w:spacing w:line="276" w:lineRule="auto"/>
      </w:pPr>
      <w:r>
        <w:t xml:space="preserve">C’est aussi grâce aux résultats de la Politique de l’année dernière, qui a permis, autant que faire se peut, </w:t>
      </w:r>
      <w:r w:rsidR="007F5783">
        <w:t>d</w:t>
      </w:r>
      <w:r>
        <w:t xml:space="preserve">e contenir </w:t>
      </w:r>
      <w:r w:rsidR="007F5783">
        <w:t>l</w:t>
      </w:r>
      <w:r>
        <w:t>a surpopulation des écoles, que</w:t>
      </w:r>
      <w:r w:rsidR="006F0B9A">
        <w:t xml:space="preserve"> l</w:t>
      </w:r>
      <w:r>
        <w:t>a Politique 2015-2016 p</w:t>
      </w:r>
      <w:r w:rsidR="007F5783">
        <w:t>ermet,</w:t>
      </w:r>
      <w:r w:rsidR="006F0B9A">
        <w:t xml:space="preserve"> </w:t>
      </w:r>
      <w:r>
        <w:t>dans le cadre des infrastructures disponibles à la rentrée de septembre 2015</w:t>
      </w:r>
      <w:r w:rsidR="007F5783">
        <w:t>,</w:t>
      </w:r>
      <w:r>
        <w:t xml:space="preserve"> </w:t>
      </w:r>
      <w:r w:rsidR="00E43C47">
        <w:t>de considérer l’inscription d’élèves ne présentant pas de critère particulier de priorité en maternelle et</w:t>
      </w:r>
      <w:r w:rsidR="0015227C">
        <w:t xml:space="preserve"> en</w:t>
      </w:r>
      <w:r w:rsidR="00E43C47">
        <w:t xml:space="preserve"> 1</w:t>
      </w:r>
      <w:r w:rsidR="00E43C47" w:rsidRPr="00E43C47">
        <w:rPr>
          <w:vertAlign w:val="superscript"/>
        </w:rPr>
        <w:t>ère</w:t>
      </w:r>
      <w:r w:rsidR="00E43C47">
        <w:t xml:space="preserve"> primaire dans toutes les écoles y compris à l’Ecole de Bruxelles II, à hauteur de 24 élèves, dans les sections linguistiques DE, EN, FR, IT et NL. </w:t>
      </w:r>
    </w:p>
    <w:p w:rsidR="00E43C47" w:rsidRDefault="00E43C47" w:rsidP="004A45D5">
      <w:pPr>
        <w:tabs>
          <w:tab w:val="left" w:pos="284"/>
        </w:tabs>
        <w:spacing w:line="276" w:lineRule="auto"/>
      </w:pPr>
      <w:r>
        <w:t xml:space="preserve">Par ailleurs, en raison du nombre de demandes en section FR les inscriptions dans cette section pourront être </w:t>
      </w:r>
      <w:r w:rsidR="00776AD5">
        <w:t>prise</w:t>
      </w:r>
      <w:r>
        <w:t>s en considération dans toutes les écoles y compris</w:t>
      </w:r>
      <w:r w:rsidR="00776AD5">
        <w:t xml:space="preserve"> à</w:t>
      </w:r>
      <w:r>
        <w:t xml:space="preserve"> l’Ecole de Bruxelles II </w:t>
      </w:r>
      <w:r w:rsidR="00776AD5">
        <w:t xml:space="preserve">aux cycles primaire, </w:t>
      </w:r>
      <w:r>
        <w:t>à partir de la P</w:t>
      </w:r>
      <w:r w:rsidR="00C17066">
        <w:t>2</w:t>
      </w:r>
      <w:r w:rsidR="00776AD5">
        <w:t>,</w:t>
      </w:r>
      <w:r>
        <w:t xml:space="preserve"> et secondaire</w:t>
      </w:r>
      <w:r w:rsidR="00776AD5">
        <w:t>, à hauteur de 26 élèves</w:t>
      </w:r>
      <w:r>
        <w:t xml:space="preserve">.  </w:t>
      </w:r>
    </w:p>
    <w:p w:rsidR="001100A9" w:rsidRDefault="00E43C47" w:rsidP="004A45D5">
      <w:pPr>
        <w:tabs>
          <w:tab w:val="left" w:pos="284"/>
        </w:tabs>
        <w:spacing w:line="276" w:lineRule="auto"/>
      </w:pPr>
      <w:r>
        <w:t>Enfin, l</w:t>
      </w:r>
      <w:r w:rsidR="00CD53F3">
        <w:t xml:space="preserve">’école </w:t>
      </w:r>
      <w:r w:rsidR="00B932E7">
        <w:t>de Bruxelles IV</w:t>
      </w:r>
      <w:r>
        <w:t xml:space="preserve"> </w:t>
      </w:r>
      <w:r w:rsidR="00776AD5">
        <w:t xml:space="preserve">poursuit son développement en ouvrant </w:t>
      </w:r>
      <w:r>
        <w:t xml:space="preserve">le niveau de S6 </w:t>
      </w:r>
      <w:r w:rsidR="00776AD5">
        <w:t>à la rentrée de septembre 2015</w:t>
      </w:r>
      <w:r w:rsidR="00B46028">
        <w:t xml:space="preserve">. </w:t>
      </w:r>
      <w:r w:rsidR="00EE75A7">
        <w:t xml:space="preserve"> </w:t>
      </w:r>
    </w:p>
    <w:p w:rsidR="002E477A" w:rsidRDefault="002E477A" w:rsidP="00731E26">
      <w:pPr>
        <w:tabs>
          <w:tab w:val="left" w:pos="284"/>
        </w:tabs>
      </w:pPr>
    </w:p>
    <w:p w:rsidR="00EA4025" w:rsidRDefault="004D2487" w:rsidP="00812D69">
      <w:pPr>
        <w:tabs>
          <w:tab w:val="left" w:pos="284"/>
        </w:tabs>
        <w:spacing w:before="240" w:after="240"/>
        <w:ind w:left="284" w:hanging="284"/>
        <w:rPr>
          <w:b/>
          <w:sz w:val="24"/>
          <w:szCs w:val="24"/>
          <w:u w:val="single"/>
        </w:rPr>
      </w:pPr>
      <w:r>
        <w:rPr>
          <w:b/>
          <w:sz w:val="24"/>
          <w:szCs w:val="24"/>
        </w:rPr>
        <w:t xml:space="preserve">II. </w:t>
      </w:r>
      <w:r w:rsidR="00EA4025">
        <w:rPr>
          <w:b/>
          <w:sz w:val="24"/>
          <w:szCs w:val="24"/>
          <w:u w:val="single"/>
        </w:rPr>
        <w:t>S</w:t>
      </w:r>
      <w:r w:rsidR="00C87F71">
        <w:rPr>
          <w:b/>
          <w:sz w:val="24"/>
          <w:szCs w:val="24"/>
          <w:u w:val="single"/>
        </w:rPr>
        <w:t>itu</w:t>
      </w:r>
      <w:r w:rsidR="00F8095C">
        <w:rPr>
          <w:b/>
          <w:sz w:val="24"/>
          <w:szCs w:val="24"/>
          <w:u w:val="single"/>
        </w:rPr>
        <w:t>ation des inscriptions</w:t>
      </w:r>
      <w:r w:rsidR="00746ECE">
        <w:rPr>
          <w:b/>
          <w:sz w:val="24"/>
          <w:szCs w:val="24"/>
          <w:u w:val="single"/>
        </w:rPr>
        <w:t xml:space="preserve"> de la première phase d’inscription 201</w:t>
      </w:r>
      <w:r w:rsidR="0051104B">
        <w:rPr>
          <w:b/>
          <w:sz w:val="24"/>
          <w:szCs w:val="24"/>
          <w:u w:val="single"/>
        </w:rPr>
        <w:t>4</w:t>
      </w:r>
      <w:r w:rsidR="00746ECE">
        <w:rPr>
          <w:b/>
          <w:sz w:val="24"/>
          <w:szCs w:val="24"/>
          <w:u w:val="single"/>
        </w:rPr>
        <w:t>-201</w:t>
      </w:r>
      <w:r w:rsidR="0051104B">
        <w:rPr>
          <w:b/>
          <w:sz w:val="24"/>
          <w:szCs w:val="24"/>
          <w:u w:val="single"/>
        </w:rPr>
        <w:t>5</w:t>
      </w:r>
      <w:r w:rsidR="00F8095C">
        <w:rPr>
          <w:b/>
          <w:sz w:val="24"/>
          <w:szCs w:val="24"/>
          <w:u w:val="single"/>
        </w:rPr>
        <w:t xml:space="preserve"> </w:t>
      </w:r>
      <w:r w:rsidR="00C87F71">
        <w:rPr>
          <w:b/>
          <w:sz w:val="24"/>
          <w:szCs w:val="24"/>
          <w:u w:val="single"/>
        </w:rPr>
        <w:t xml:space="preserve">  </w:t>
      </w:r>
    </w:p>
    <w:p w:rsidR="00685CD9" w:rsidRPr="00635329" w:rsidRDefault="00635329" w:rsidP="004A45D5">
      <w:pPr>
        <w:spacing w:before="240" w:after="240"/>
        <w:ind w:firstLine="284"/>
        <w:rPr>
          <w:b/>
        </w:rPr>
      </w:pPr>
      <w:r>
        <w:rPr>
          <w:b/>
        </w:rPr>
        <w:t xml:space="preserve">2.1. </w:t>
      </w:r>
      <w:r w:rsidR="00785384" w:rsidRPr="00635329">
        <w:rPr>
          <w:b/>
        </w:rPr>
        <w:t xml:space="preserve">Présentation </w:t>
      </w:r>
      <w:r w:rsidRPr="00635329">
        <w:rPr>
          <w:b/>
        </w:rPr>
        <w:t>générale</w:t>
      </w:r>
    </w:p>
    <w:p w:rsidR="00627307" w:rsidRDefault="008732A6" w:rsidP="004A45D5">
      <w:pPr>
        <w:spacing w:line="276" w:lineRule="auto"/>
      </w:pPr>
      <w:r>
        <w:t>L</w:t>
      </w:r>
      <w:r w:rsidR="00627307">
        <w:t>’Autorité centrale des inscriptions a é</w:t>
      </w:r>
      <w:r>
        <w:t xml:space="preserve">laboré la </w:t>
      </w:r>
      <w:r w:rsidR="00627307">
        <w:t>politique d’inscri</w:t>
      </w:r>
      <w:r w:rsidR="00776AD5">
        <w:t>ption pour l’année scolaire 2015</w:t>
      </w:r>
      <w:r w:rsidR="0053432B">
        <w:t>-201</w:t>
      </w:r>
      <w:r w:rsidR="00776AD5">
        <w:t>6</w:t>
      </w:r>
      <w:r>
        <w:t xml:space="preserve"> </w:t>
      </w:r>
      <w:r w:rsidR="00776AD5">
        <w:t xml:space="preserve">sur la base des </w:t>
      </w:r>
      <w:r>
        <w:t>lignes directrices approuvées par le Conseil supérieur</w:t>
      </w:r>
      <w:r w:rsidR="007F5783">
        <w:t>,</w:t>
      </w:r>
      <w:r>
        <w:t xml:space="preserve"> </w:t>
      </w:r>
      <w:r w:rsidR="006E6DC2">
        <w:t xml:space="preserve">exceptionnellement </w:t>
      </w:r>
      <w:r w:rsidR="00776AD5">
        <w:t xml:space="preserve">par procédure écrite </w:t>
      </w:r>
      <w:r w:rsidR="00817F24">
        <w:t xml:space="preserve">achevée le 23 janvier 2015. </w:t>
      </w:r>
      <w:r w:rsidR="007F5783">
        <w:t>En conséquence, c</w:t>
      </w:r>
      <w:r>
        <w:t>ette politique</w:t>
      </w:r>
      <w:r w:rsidR="00635329">
        <w:t xml:space="preserve">, </w:t>
      </w:r>
      <w:r w:rsidR="00627307">
        <w:t>publi</w:t>
      </w:r>
      <w:r>
        <w:t xml:space="preserve">ée </w:t>
      </w:r>
      <w:r w:rsidR="00627307">
        <w:t xml:space="preserve">sur le site internet des Ecoles européennes le </w:t>
      </w:r>
      <w:r w:rsidR="006E6DC2">
        <w:t xml:space="preserve">5 </w:t>
      </w:r>
      <w:r w:rsidR="00817F24">
        <w:t>février 2015</w:t>
      </w:r>
      <w:r w:rsidR="00635329">
        <w:t xml:space="preserve">, </w:t>
      </w:r>
      <w:r w:rsidR="00627307">
        <w:t xml:space="preserve">comporte </w:t>
      </w:r>
      <w:r w:rsidR="006E6DC2">
        <w:t>cett</w:t>
      </w:r>
      <w:r w:rsidR="007F5783">
        <w:t xml:space="preserve">e année </w:t>
      </w:r>
      <w:r w:rsidR="006E6DC2">
        <w:t xml:space="preserve">uniquement </w:t>
      </w:r>
      <w:r w:rsidR="00817F24">
        <w:t xml:space="preserve">deux </w:t>
      </w:r>
      <w:r w:rsidR="00627307">
        <w:t xml:space="preserve">phases d’inscription, dont </w:t>
      </w:r>
      <w:r w:rsidR="00817F24">
        <w:t xml:space="preserve">la première était ouverte du 12 février au 6 mars 2015. </w:t>
      </w:r>
      <w:r w:rsidR="00627307">
        <w:t xml:space="preserve">  </w:t>
      </w:r>
    </w:p>
    <w:p w:rsidR="008732A6" w:rsidRDefault="00627307" w:rsidP="004A45D5">
      <w:pPr>
        <w:spacing w:line="276" w:lineRule="auto"/>
        <w:rPr>
          <w:szCs w:val="22"/>
        </w:rPr>
      </w:pPr>
      <w:r>
        <w:t xml:space="preserve">Dans le cadre de </w:t>
      </w:r>
      <w:r w:rsidR="00635329">
        <w:t xml:space="preserve">cette </w:t>
      </w:r>
      <w:r>
        <w:t>p</w:t>
      </w:r>
      <w:r w:rsidR="00635329">
        <w:t>remière phase</w:t>
      </w:r>
      <w:r w:rsidR="00812D69">
        <w:t>,</w:t>
      </w:r>
      <w:r w:rsidR="008732A6">
        <w:t xml:space="preserve"> </w:t>
      </w:r>
      <w:r w:rsidR="00F616E7">
        <w:t>1</w:t>
      </w:r>
      <w:r w:rsidR="00915628">
        <w:t xml:space="preserve"> </w:t>
      </w:r>
      <w:r w:rsidR="006E6DC2">
        <w:t>678</w:t>
      </w:r>
      <w:r w:rsidR="00F616E7">
        <w:t xml:space="preserve"> </w:t>
      </w:r>
      <w:r w:rsidR="008C4BFE">
        <w:t>demandes ont été reçues dont 1</w:t>
      </w:r>
      <w:r w:rsidR="00915628">
        <w:t xml:space="preserve"> </w:t>
      </w:r>
      <w:r w:rsidR="006E6DC2">
        <w:t>637</w:t>
      </w:r>
      <w:r>
        <w:t xml:space="preserve"> de catégorie I et II (Eurocontrol</w:t>
      </w:r>
      <w:r w:rsidR="00A80328">
        <w:t>, à partir de la première primaire</w:t>
      </w:r>
      <w:r w:rsidR="00BF1636">
        <w:t>)</w:t>
      </w:r>
      <w:r w:rsidR="006B4E0B">
        <w:t>, 14 de catégorie II</w:t>
      </w:r>
      <w:r w:rsidR="00BF1636">
        <w:t xml:space="preserve"> </w:t>
      </w:r>
      <w:r w:rsidR="006E6DC2">
        <w:t xml:space="preserve">et </w:t>
      </w:r>
      <w:r w:rsidR="006B4E0B">
        <w:t>27</w:t>
      </w:r>
      <w:r>
        <w:t xml:space="preserve"> de catégorie III.</w:t>
      </w:r>
      <w:r w:rsidR="00BF1636">
        <w:t xml:space="preserve"> </w:t>
      </w:r>
      <w:r w:rsidR="0015227C">
        <w:t>D</w:t>
      </w:r>
      <w:r w:rsidR="006E6DC2">
        <w:t xml:space="preserve">e nouveau, l’on peut constater une augmentation </w:t>
      </w:r>
      <w:r w:rsidR="002E477A">
        <w:t xml:space="preserve">similaire à celle de 2014-2015 quant au </w:t>
      </w:r>
      <w:r w:rsidR="006E6DC2">
        <w:t>nombre de demandes reçues pa</w:t>
      </w:r>
      <w:r w:rsidR="00520E45">
        <w:t>r rapport aux</w:t>
      </w:r>
      <w:r w:rsidR="006B3510">
        <w:t xml:space="preserve"> </w:t>
      </w:r>
      <w:r w:rsidR="00DD2B20">
        <w:t>années précédentes</w:t>
      </w:r>
      <w:r w:rsidR="002E477A">
        <w:t xml:space="preserve">. </w:t>
      </w:r>
      <w:r w:rsidR="00BF1636">
        <w:rPr>
          <w:szCs w:val="22"/>
        </w:rPr>
        <w:t xml:space="preserve">Cette augmentation concerne </w:t>
      </w:r>
      <w:r w:rsidR="006B3510">
        <w:rPr>
          <w:szCs w:val="22"/>
        </w:rPr>
        <w:t xml:space="preserve">la section </w:t>
      </w:r>
      <w:r w:rsidR="00BF1636">
        <w:rPr>
          <w:szCs w:val="22"/>
        </w:rPr>
        <w:t xml:space="preserve">francophone </w:t>
      </w:r>
      <w:r w:rsidR="00581913">
        <w:rPr>
          <w:szCs w:val="22"/>
        </w:rPr>
        <w:t xml:space="preserve">à tous les niveaux et </w:t>
      </w:r>
      <w:r w:rsidR="00520E45">
        <w:rPr>
          <w:szCs w:val="22"/>
        </w:rPr>
        <w:t xml:space="preserve">en </w:t>
      </w:r>
      <w:r w:rsidR="00581913">
        <w:rPr>
          <w:szCs w:val="22"/>
        </w:rPr>
        <w:t>particuli</w:t>
      </w:r>
      <w:r w:rsidR="00520E45">
        <w:rPr>
          <w:szCs w:val="22"/>
        </w:rPr>
        <w:t xml:space="preserve">er </w:t>
      </w:r>
      <w:r w:rsidR="00581913">
        <w:rPr>
          <w:szCs w:val="22"/>
        </w:rPr>
        <w:t>les cycles primaire et secondaire</w:t>
      </w:r>
      <w:r w:rsidR="002E477A">
        <w:rPr>
          <w:szCs w:val="22"/>
        </w:rPr>
        <w:t xml:space="preserve"> jusqu’en 2</w:t>
      </w:r>
      <w:r w:rsidR="002E477A" w:rsidRPr="002E477A">
        <w:rPr>
          <w:szCs w:val="22"/>
          <w:vertAlign w:val="superscript"/>
        </w:rPr>
        <w:t>ème</w:t>
      </w:r>
      <w:r w:rsidR="002E477A">
        <w:rPr>
          <w:szCs w:val="22"/>
        </w:rPr>
        <w:t xml:space="preserve"> secondaire</w:t>
      </w:r>
      <w:r w:rsidR="00581913">
        <w:rPr>
          <w:szCs w:val="22"/>
        </w:rPr>
        <w:t xml:space="preserve">, le cycle maternel restant en progression constante depuis 2011. </w:t>
      </w:r>
      <w:r w:rsidR="00520E45">
        <w:rPr>
          <w:szCs w:val="22"/>
        </w:rPr>
        <w:t xml:space="preserve">En outre, </w:t>
      </w:r>
      <w:r w:rsidR="00581913">
        <w:rPr>
          <w:szCs w:val="22"/>
        </w:rPr>
        <w:t>la demande en m</w:t>
      </w:r>
      <w:r w:rsidR="00520E45">
        <w:rPr>
          <w:szCs w:val="22"/>
        </w:rPr>
        <w:t xml:space="preserve">aternelle germanophone </w:t>
      </w:r>
      <w:r w:rsidR="002E477A">
        <w:rPr>
          <w:szCs w:val="22"/>
        </w:rPr>
        <w:t xml:space="preserve">se maintient. </w:t>
      </w:r>
    </w:p>
    <w:p w:rsidR="00567D49" w:rsidRDefault="00627307" w:rsidP="004A45D5">
      <w:pPr>
        <w:spacing w:line="276" w:lineRule="auto"/>
      </w:pPr>
      <w:r>
        <w:t xml:space="preserve">Les statistiques figurant en Annexe I, </w:t>
      </w:r>
      <w:r w:rsidR="00CB4BBA">
        <w:t xml:space="preserve">qui concernent les </w:t>
      </w:r>
      <w:r>
        <w:t xml:space="preserve">demandes </w:t>
      </w:r>
      <w:r w:rsidR="00CB4BBA">
        <w:t xml:space="preserve">reçues lors </w:t>
      </w:r>
      <w:r>
        <w:t>de la première phase</w:t>
      </w:r>
      <w:r w:rsidR="00CB4BBA">
        <w:t>, sont les</w:t>
      </w:r>
      <w:r>
        <w:t xml:space="preserve"> </w:t>
      </w:r>
      <w:r w:rsidR="00CB4BBA">
        <w:t xml:space="preserve">suivantes </w:t>
      </w:r>
      <w:r>
        <w:t xml:space="preserve">: </w:t>
      </w:r>
    </w:p>
    <w:p w:rsidR="00627307" w:rsidRDefault="00627307" w:rsidP="004A45D5">
      <w:pPr>
        <w:pStyle w:val="ListParagraph"/>
        <w:numPr>
          <w:ilvl w:val="0"/>
          <w:numId w:val="37"/>
        </w:numPr>
        <w:spacing w:line="276" w:lineRule="auto"/>
      </w:pPr>
      <w:r>
        <w:lastRenderedPageBreak/>
        <w:t>Pour les quatre Ecoles européennes de Bruxelles, le nombre de demandes d’inscription de nouveaux élèves dans toutes les années d’études et par section linguistique reçues pendant la première phase d’inscription.</w:t>
      </w:r>
    </w:p>
    <w:p w:rsidR="00954D05" w:rsidRDefault="00954D05" w:rsidP="00954D05">
      <w:pPr>
        <w:pStyle w:val="ListParagraph"/>
        <w:spacing w:line="276" w:lineRule="auto"/>
      </w:pPr>
    </w:p>
    <w:p w:rsidR="00627307" w:rsidRDefault="00627307" w:rsidP="004A45D5">
      <w:pPr>
        <w:pStyle w:val="ListParagraph"/>
        <w:numPr>
          <w:ilvl w:val="0"/>
          <w:numId w:val="37"/>
        </w:numPr>
        <w:spacing w:before="0" w:after="0" w:line="276" w:lineRule="auto"/>
      </w:pPr>
      <w:r>
        <w:t xml:space="preserve">Par école, le nombre de demandes d’inscription de nouveaux élèves de catégorie I et II (Eurocontrol à partir de la </w:t>
      </w:r>
      <w:r w:rsidR="006E6DC2">
        <w:t>1</w:t>
      </w:r>
      <w:r w:rsidR="006E6DC2" w:rsidRPr="006E6DC2">
        <w:rPr>
          <w:vertAlign w:val="superscript"/>
        </w:rPr>
        <w:t>ère</w:t>
      </w:r>
      <w:r w:rsidR="006E6DC2">
        <w:t xml:space="preserve"> </w:t>
      </w:r>
      <w:r>
        <w:t xml:space="preserve">primaire), par année d’études et par section linguistique.  </w:t>
      </w:r>
    </w:p>
    <w:p w:rsidR="00906627" w:rsidRDefault="00906627" w:rsidP="004A45D5">
      <w:pPr>
        <w:spacing w:before="240" w:line="276" w:lineRule="auto"/>
      </w:pPr>
      <w:r>
        <w:t>L</w:t>
      </w:r>
      <w:r w:rsidR="00C92441">
        <w:t xml:space="preserve">e </w:t>
      </w:r>
      <w:r w:rsidR="006E6DC2">
        <w:t xml:space="preserve">27 avril 2015 </w:t>
      </w:r>
      <w:r w:rsidR="00812D69">
        <w:t>l</w:t>
      </w:r>
      <w:r w:rsidR="00C92441">
        <w:t>’</w:t>
      </w:r>
      <w:r>
        <w:t xml:space="preserve">Autorité centrale des inscriptions </w:t>
      </w:r>
      <w:r w:rsidR="006E6DC2">
        <w:t xml:space="preserve">se réunira </w:t>
      </w:r>
      <w:r w:rsidR="00812D69">
        <w:t>p</w:t>
      </w:r>
      <w:r>
        <w:t xml:space="preserve">our examiner, conformément aux dispositions de la Politique d’inscription, les demandes d’inscription faisant valoir des critères particuliers de priorité, parmi lesquels figurent des circonstances particulières en vue de l’inscription ou du transfert de l’élève dans l’école de son choix.  </w:t>
      </w:r>
    </w:p>
    <w:p w:rsidR="00FA6551" w:rsidRPr="00FA6551" w:rsidRDefault="00FA6551" w:rsidP="004A45D5">
      <w:pPr>
        <w:spacing w:after="0" w:line="276" w:lineRule="auto"/>
      </w:pPr>
      <w:r>
        <w:t>Cette année, seules les demandes de transfert d’élèves inscrits en P5 et au cycle secondaire des sections linguistiques DE, EN, IT et NL dans les écoles de Bruxelles I, II et III sont autorisé</w:t>
      </w:r>
      <w:r w:rsidR="00EC0E4C">
        <w:t>e</w:t>
      </w:r>
      <w:r>
        <w:t xml:space="preserve">s </w:t>
      </w:r>
      <w:r w:rsidR="00747160" w:rsidRPr="00FA6551">
        <w:t xml:space="preserve">sans justification de circonstances particulières </w:t>
      </w:r>
      <w:r w:rsidR="004764C6" w:rsidRPr="00FA6551">
        <w:t>vers l’Ecole de Bruxelles IV</w:t>
      </w:r>
      <w:r>
        <w:t xml:space="preserve">. </w:t>
      </w:r>
      <w:r w:rsidR="00747160" w:rsidRPr="002B3711">
        <w:rPr>
          <w:i/>
        </w:rPr>
        <w:t xml:space="preserve"> </w:t>
      </w:r>
      <w:r>
        <w:t xml:space="preserve">Toutefois, aucune demande </w:t>
      </w:r>
      <w:r w:rsidR="00C0300C">
        <w:t xml:space="preserve">remplissant ces conditions </w:t>
      </w:r>
      <w:r>
        <w:t xml:space="preserve">n’a été reçue. </w:t>
      </w:r>
    </w:p>
    <w:p w:rsidR="00676550" w:rsidRPr="00FA6551" w:rsidRDefault="00747160" w:rsidP="004A45D5">
      <w:pPr>
        <w:spacing w:after="0" w:line="276" w:lineRule="auto"/>
      </w:pPr>
      <w:r w:rsidRPr="00FA6551">
        <w:t xml:space="preserve">Pour les </w:t>
      </w:r>
      <w:r w:rsidR="00653632" w:rsidRPr="00FA6551">
        <w:t xml:space="preserve">autres </w:t>
      </w:r>
      <w:r w:rsidR="00906627" w:rsidRPr="00FA6551">
        <w:t xml:space="preserve">demandes de transfert d’une école </w:t>
      </w:r>
      <w:r w:rsidR="00FA6551">
        <w:t xml:space="preserve">de Bruxelles </w:t>
      </w:r>
      <w:r w:rsidR="00906627" w:rsidRPr="00FA6551">
        <w:t>vers une autre</w:t>
      </w:r>
      <w:r w:rsidR="00653632" w:rsidRPr="00FA6551">
        <w:t xml:space="preserve"> école de Bruxelles</w:t>
      </w:r>
      <w:r w:rsidRPr="00FA6551">
        <w:t>, qui</w:t>
      </w:r>
      <w:r w:rsidR="00466A09" w:rsidRPr="00FA6551">
        <w:t xml:space="preserve"> sont examinées sur la base de circonstances particulières</w:t>
      </w:r>
      <w:r w:rsidRPr="00FA6551">
        <w:t xml:space="preserve">, </w:t>
      </w:r>
      <w:r w:rsidR="00C0300C">
        <w:t xml:space="preserve">sur </w:t>
      </w:r>
      <w:r w:rsidR="00FA6551" w:rsidRPr="00FA6551">
        <w:t>48</w:t>
      </w:r>
      <w:r w:rsidR="00906627" w:rsidRPr="00FA6551">
        <w:t xml:space="preserve"> demandes</w:t>
      </w:r>
      <w:r w:rsidRPr="00FA6551">
        <w:t xml:space="preserve"> reçues</w:t>
      </w:r>
      <w:r w:rsidR="00906627" w:rsidRPr="00FA6551">
        <w:t xml:space="preserve">, </w:t>
      </w:r>
      <w:r w:rsidR="00FA6551" w:rsidRPr="00FA6551">
        <w:t>30</w:t>
      </w:r>
      <w:r w:rsidR="00812D69" w:rsidRPr="00FA6551">
        <w:t xml:space="preserve"> </w:t>
      </w:r>
      <w:r w:rsidRPr="00FA6551">
        <w:t xml:space="preserve">d’entre elles, en </w:t>
      </w:r>
      <w:r w:rsidR="00812D69" w:rsidRPr="00FA6551">
        <w:t>prov</w:t>
      </w:r>
      <w:r w:rsidRPr="00FA6551">
        <w:t xml:space="preserve">enance </w:t>
      </w:r>
      <w:r w:rsidR="00906627" w:rsidRPr="00FA6551">
        <w:t>de l’école de Bruxelles IV</w:t>
      </w:r>
      <w:r w:rsidRPr="00FA6551">
        <w:t>,</w:t>
      </w:r>
      <w:r w:rsidR="00906627" w:rsidRPr="00FA6551">
        <w:t xml:space="preserve"> </w:t>
      </w:r>
      <w:r w:rsidR="00466A09" w:rsidRPr="00FA6551">
        <w:t xml:space="preserve">ont été introduites dans </w:t>
      </w:r>
      <w:r w:rsidR="00676550" w:rsidRPr="00FA6551">
        <w:t>les écoles de Bruxelles I</w:t>
      </w:r>
      <w:r w:rsidR="00653632" w:rsidRPr="00FA6551">
        <w:t xml:space="preserve"> (1</w:t>
      </w:r>
      <w:r w:rsidR="00FA6551" w:rsidRPr="00FA6551">
        <w:t>3</w:t>
      </w:r>
      <w:r w:rsidR="00676550" w:rsidRPr="00FA6551">
        <w:t xml:space="preserve">), </w:t>
      </w:r>
      <w:r w:rsidR="00C0300C">
        <w:t xml:space="preserve">Bruxelles II (2) et </w:t>
      </w:r>
      <w:r w:rsidR="00676550" w:rsidRPr="00FA6551">
        <w:t xml:space="preserve">Bruxelles </w:t>
      </w:r>
      <w:r w:rsidR="00653632" w:rsidRPr="00FA6551">
        <w:t>II</w:t>
      </w:r>
      <w:r w:rsidR="00676550" w:rsidRPr="00FA6551">
        <w:t>I (</w:t>
      </w:r>
      <w:r w:rsidR="00FA6551" w:rsidRPr="00FA6551">
        <w:t>1</w:t>
      </w:r>
      <w:r w:rsidR="00C0300C">
        <w:t>5</w:t>
      </w:r>
      <w:r w:rsidR="00653632" w:rsidRPr="00FA6551">
        <w:t>)</w:t>
      </w:r>
      <w:r w:rsidR="00466A09" w:rsidRPr="00FA6551">
        <w:t xml:space="preserve">. </w:t>
      </w:r>
      <w:r w:rsidR="00676550" w:rsidRPr="00FA6551">
        <w:t xml:space="preserve"> </w:t>
      </w:r>
    </w:p>
    <w:p w:rsidR="002B3711" w:rsidRDefault="002F30EC" w:rsidP="004A45D5">
      <w:pPr>
        <w:spacing w:line="276" w:lineRule="auto"/>
      </w:pPr>
      <w:r>
        <w:t>Dans la semaine du 7 avril 2015, il est procédé à u</w:t>
      </w:r>
      <w:r w:rsidR="00C0300C">
        <w:t xml:space="preserve">n </w:t>
      </w:r>
      <w:r w:rsidR="002B3711">
        <w:t>classement aléatoire</w:t>
      </w:r>
      <w:r>
        <w:t xml:space="preserve"> pour </w:t>
      </w:r>
      <w:r w:rsidR="002B3711">
        <w:t xml:space="preserve">attribuer à toutes les demandes d’inscription et de transfert de catégorie I et de catégorie II (Eurocontrol, à partir de la </w:t>
      </w:r>
      <w:r w:rsidR="00C0300C">
        <w:t>1</w:t>
      </w:r>
      <w:r w:rsidR="00C0300C" w:rsidRPr="00C0300C">
        <w:rPr>
          <w:vertAlign w:val="superscript"/>
        </w:rPr>
        <w:t>ère</w:t>
      </w:r>
      <w:r w:rsidR="00C0300C">
        <w:t xml:space="preserve"> </w:t>
      </w:r>
      <w:r w:rsidR="002B3711">
        <w:t>primaire) un numéro d’ordre, qui sert de base lors de l’attribution des places pour les demandes ne présentant pas de critère particulier de priorité, lorsque l’inscription peut être envisagée dans plusieurs écoles et chaque fois que le nombre de demandes d’inscription est supérieur aux places disponibles. Les propositions de places, qui seront notifiées aux demandeurs d’inscription ou de transfert à partir du 1</w:t>
      </w:r>
      <w:r w:rsidR="002B3711" w:rsidRPr="00E924C1">
        <w:rPr>
          <w:vertAlign w:val="superscript"/>
        </w:rPr>
        <w:t>er</w:t>
      </w:r>
      <w:r w:rsidR="002B3711">
        <w:t xml:space="preserve"> juin 2015, feront l’objet d’une publication préalable le 29 mai 2015 sur le site internet des Ecoles.</w:t>
      </w:r>
    </w:p>
    <w:p w:rsidR="006E6DC2" w:rsidRDefault="00635329" w:rsidP="004A45D5">
      <w:pPr>
        <w:spacing w:after="0" w:line="276" w:lineRule="auto"/>
      </w:pPr>
      <w:r>
        <w:t>L’Autorité centrale des inscriptions s</w:t>
      </w:r>
      <w:r w:rsidR="006E6DC2">
        <w:t>e réunira</w:t>
      </w:r>
      <w:r>
        <w:t xml:space="preserve"> une deuxième fois le </w:t>
      </w:r>
      <w:r w:rsidR="006E6DC2">
        <w:t>30 avril 2015</w:t>
      </w:r>
      <w:r>
        <w:t xml:space="preserve"> pour examiner les demandes d’inscription ne présentant pas de critère particulier de priorité. </w:t>
      </w:r>
      <w:r w:rsidR="006E6DC2">
        <w:t xml:space="preserve">A ce stade, il n’est pas possible </w:t>
      </w:r>
      <w:r w:rsidR="006F3796">
        <w:t xml:space="preserve">de déterminer </w:t>
      </w:r>
      <w:r w:rsidR="002E477A">
        <w:t xml:space="preserve">avec précision </w:t>
      </w:r>
      <w:r w:rsidR="006F3796">
        <w:t xml:space="preserve">quelles mesures devront être envisagées pour accueillir la demande. Cependant, </w:t>
      </w:r>
      <w:r w:rsidR="002E477A">
        <w:t xml:space="preserve">il apparaît déjà que des classes de maternelle DE et FR devront être créées et qu’il sera également nécessaire d’utiliser la réserve de plusieurs classes de maternelle et de primaire dans toutes les écoles, en particulier en section francophone.  </w:t>
      </w:r>
      <w:r w:rsidR="006F3796">
        <w:t xml:space="preserve">  </w:t>
      </w:r>
    </w:p>
    <w:p w:rsidR="0025346A" w:rsidRDefault="00676550" w:rsidP="004A45D5">
      <w:pPr>
        <w:spacing w:after="240" w:line="276" w:lineRule="auto"/>
      </w:pPr>
      <w:r>
        <w:t>L</w:t>
      </w:r>
      <w:r w:rsidR="00813658">
        <w:t xml:space="preserve">a deuxième phase d’inscription est ouverte depuis le </w:t>
      </w:r>
      <w:r w:rsidR="00E924C1">
        <w:t xml:space="preserve">7 </w:t>
      </w:r>
      <w:r w:rsidR="00B04A51">
        <w:t xml:space="preserve">mars </w:t>
      </w:r>
      <w:r w:rsidR="00813658">
        <w:t xml:space="preserve">et sera clôturée le </w:t>
      </w:r>
      <w:r w:rsidR="00E924C1">
        <w:t xml:space="preserve">4 </w:t>
      </w:r>
      <w:r w:rsidR="00B04A51">
        <w:t>septembre</w:t>
      </w:r>
      <w:r w:rsidR="00813658">
        <w:t xml:space="preserve"> 201</w:t>
      </w:r>
      <w:r w:rsidR="00B04A51">
        <w:t>5</w:t>
      </w:r>
      <w:r w:rsidR="00813658">
        <w:t>.</w:t>
      </w:r>
    </w:p>
    <w:p w:rsidR="0025346A" w:rsidRDefault="0025346A" w:rsidP="004A45D5">
      <w:pPr>
        <w:spacing w:before="360" w:after="240"/>
        <w:rPr>
          <w:b/>
        </w:rPr>
      </w:pPr>
      <w:r w:rsidRPr="00CB4BBA">
        <w:rPr>
          <w:b/>
        </w:rPr>
        <w:tab/>
      </w:r>
      <w:r w:rsidR="00CB4BBA" w:rsidRPr="00CB4BBA">
        <w:rPr>
          <w:b/>
        </w:rPr>
        <w:t>2.3.</w:t>
      </w:r>
      <w:r w:rsidRPr="0025346A">
        <w:rPr>
          <w:b/>
        </w:rPr>
        <w:t xml:space="preserve"> Evolution</w:t>
      </w:r>
    </w:p>
    <w:p w:rsidR="00AF3B64" w:rsidRDefault="00801895" w:rsidP="004A45D5">
      <w:pPr>
        <w:spacing w:line="276" w:lineRule="auto"/>
        <w:rPr>
          <w:szCs w:val="22"/>
        </w:rPr>
      </w:pPr>
      <w:r>
        <w:rPr>
          <w:szCs w:val="22"/>
        </w:rPr>
        <w:t>Compte tenu des</w:t>
      </w:r>
      <w:r w:rsidR="00AF3B64">
        <w:rPr>
          <w:szCs w:val="22"/>
        </w:rPr>
        <w:t xml:space="preserve"> données de cette première phase d’inscription, il est nécessaire de souligner </w:t>
      </w:r>
      <w:r w:rsidR="002E477A">
        <w:rPr>
          <w:szCs w:val="22"/>
        </w:rPr>
        <w:t xml:space="preserve">de nouveau </w:t>
      </w:r>
      <w:r w:rsidR="00AF3B64">
        <w:rPr>
          <w:szCs w:val="22"/>
        </w:rPr>
        <w:t xml:space="preserve">à quel point la mise à disposition de nouvelles infrastructures devient </w:t>
      </w:r>
      <w:r w:rsidR="002E477A">
        <w:rPr>
          <w:szCs w:val="22"/>
        </w:rPr>
        <w:t>cruciale à la rentrée de septembre 2016</w:t>
      </w:r>
      <w:r w:rsidR="00AF3B64">
        <w:rPr>
          <w:szCs w:val="22"/>
        </w:rPr>
        <w:t>. En effet, l</w:t>
      </w:r>
      <w:r w:rsidR="002E477A">
        <w:rPr>
          <w:szCs w:val="22"/>
        </w:rPr>
        <w:t xml:space="preserve">a progression du </w:t>
      </w:r>
      <w:r w:rsidR="00AF3B64">
        <w:rPr>
          <w:szCs w:val="22"/>
        </w:rPr>
        <w:t>nombre de demandes reçues au cycle maternel et en 1</w:t>
      </w:r>
      <w:r w:rsidR="00AF3B64" w:rsidRPr="00F1659C">
        <w:rPr>
          <w:szCs w:val="22"/>
          <w:vertAlign w:val="superscript"/>
        </w:rPr>
        <w:t>ère</w:t>
      </w:r>
      <w:r w:rsidR="00AF3B64">
        <w:rPr>
          <w:szCs w:val="22"/>
        </w:rPr>
        <w:t xml:space="preserve"> primaire </w:t>
      </w:r>
      <w:r w:rsidR="002E477A">
        <w:rPr>
          <w:szCs w:val="22"/>
        </w:rPr>
        <w:t>est constante</w:t>
      </w:r>
      <w:r w:rsidR="00AF3B64">
        <w:rPr>
          <w:szCs w:val="22"/>
        </w:rPr>
        <w:t xml:space="preserve"> </w:t>
      </w:r>
      <w:r>
        <w:rPr>
          <w:szCs w:val="22"/>
        </w:rPr>
        <w:t xml:space="preserve">depuis </w:t>
      </w:r>
      <w:r w:rsidR="002E477A">
        <w:rPr>
          <w:szCs w:val="22"/>
        </w:rPr>
        <w:t>cinq</w:t>
      </w:r>
      <w:r>
        <w:rPr>
          <w:szCs w:val="22"/>
        </w:rPr>
        <w:t xml:space="preserve"> ans, les demandes en maternelle représentant près de la moitié de l’ensemble des demandes. De plus, </w:t>
      </w:r>
      <w:r w:rsidR="007550A6">
        <w:rPr>
          <w:szCs w:val="22"/>
        </w:rPr>
        <w:t>l’on constate régulièrement qu</w:t>
      </w:r>
      <w:r w:rsidR="00285838">
        <w:rPr>
          <w:szCs w:val="22"/>
        </w:rPr>
        <w:t>e plus d’</w:t>
      </w:r>
      <w:r w:rsidR="007550A6">
        <w:rPr>
          <w:szCs w:val="22"/>
        </w:rPr>
        <w:t xml:space="preserve">une trentaine de demandes en section francophone sont </w:t>
      </w:r>
      <w:r w:rsidR="007550A6">
        <w:rPr>
          <w:szCs w:val="22"/>
        </w:rPr>
        <w:lastRenderedPageBreak/>
        <w:t xml:space="preserve">introduites au </w:t>
      </w:r>
      <w:r w:rsidR="00AF3B64">
        <w:rPr>
          <w:szCs w:val="22"/>
        </w:rPr>
        <w:t>primaire</w:t>
      </w:r>
      <w:r w:rsidR="007550A6">
        <w:rPr>
          <w:szCs w:val="22"/>
        </w:rPr>
        <w:t>,</w:t>
      </w:r>
      <w:r w:rsidR="00AF3B64">
        <w:rPr>
          <w:szCs w:val="22"/>
        </w:rPr>
        <w:t xml:space="preserve"> à partir de la deuxième année</w:t>
      </w:r>
      <w:r w:rsidR="00F2430D">
        <w:rPr>
          <w:szCs w:val="22"/>
        </w:rPr>
        <w:t xml:space="preserve">. Cette quantité de demandes </w:t>
      </w:r>
      <w:r w:rsidR="00AF3B64">
        <w:rPr>
          <w:szCs w:val="22"/>
        </w:rPr>
        <w:t xml:space="preserve">correspond </w:t>
      </w:r>
      <w:r w:rsidR="00F2430D">
        <w:rPr>
          <w:szCs w:val="22"/>
        </w:rPr>
        <w:t xml:space="preserve">de fait à l’effectif </w:t>
      </w:r>
      <w:r w:rsidR="00AF3B64">
        <w:rPr>
          <w:szCs w:val="22"/>
        </w:rPr>
        <w:t xml:space="preserve">d’une nouvelle classe </w:t>
      </w:r>
      <w:r w:rsidR="00DE0EA6">
        <w:rPr>
          <w:szCs w:val="22"/>
        </w:rPr>
        <w:t>susceptible d’être créée</w:t>
      </w:r>
      <w:r w:rsidR="00AF3B64">
        <w:rPr>
          <w:szCs w:val="22"/>
        </w:rPr>
        <w:t xml:space="preserve">. </w:t>
      </w:r>
    </w:p>
    <w:p w:rsidR="004E5A95" w:rsidRDefault="00AF3B64" w:rsidP="004A45D5">
      <w:pPr>
        <w:spacing w:before="0" w:line="276" w:lineRule="auto"/>
        <w:rPr>
          <w:szCs w:val="22"/>
        </w:rPr>
      </w:pPr>
      <w:r>
        <w:rPr>
          <w:szCs w:val="22"/>
        </w:rPr>
        <w:t>S’agissant des</w:t>
      </w:r>
      <w:r w:rsidR="00653632">
        <w:rPr>
          <w:szCs w:val="22"/>
        </w:rPr>
        <w:t xml:space="preserve"> deman</w:t>
      </w:r>
      <w:r w:rsidR="004E5A95">
        <w:rPr>
          <w:szCs w:val="22"/>
        </w:rPr>
        <w:t>des d’inscription en maternelle d</w:t>
      </w:r>
      <w:r w:rsidR="00653632">
        <w:rPr>
          <w:szCs w:val="22"/>
        </w:rPr>
        <w:t>’</w:t>
      </w:r>
      <w:r w:rsidR="004E5A95">
        <w:rPr>
          <w:szCs w:val="22"/>
        </w:rPr>
        <w:t>élèves SWALS</w:t>
      </w:r>
      <w:r>
        <w:rPr>
          <w:szCs w:val="22"/>
        </w:rPr>
        <w:t>, leur nombre</w:t>
      </w:r>
      <w:r w:rsidR="004E5A95">
        <w:rPr>
          <w:szCs w:val="22"/>
        </w:rPr>
        <w:t xml:space="preserve"> </w:t>
      </w:r>
      <w:r w:rsidR="00653632">
        <w:rPr>
          <w:szCs w:val="22"/>
        </w:rPr>
        <w:t xml:space="preserve">continue </w:t>
      </w:r>
      <w:r w:rsidR="00ED5F21">
        <w:rPr>
          <w:szCs w:val="22"/>
        </w:rPr>
        <w:t>d’</w:t>
      </w:r>
      <w:r w:rsidR="00653632">
        <w:rPr>
          <w:szCs w:val="22"/>
        </w:rPr>
        <w:t>être important</w:t>
      </w:r>
      <w:r w:rsidR="009B1622">
        <w:rPr>
          <w:szCs w:val="22"/>
        </w:rPr>
        <w:t>.</w:t>
      </w:r>
      <w:r w:rsidR="004A45D5">
        <w:rPr>
          <w:szCs w:val="22"/>
        </w:rPr>
        <w:t xml:space="preserve"> A noter que le nombre de demandes reçues en 1</w:t>
      </w:r>
      <w:r w:rsidR="004A45D5" w:rsidRPr="004A45D5">
        <w:rPr>
          <w:szCs w:val="22"/>
          <w:vertAlign w:val="superscript"/>
        </w:rPr>
        <w:t>ère</w:t>
      </w:r>
      <w:r w:rsidR="004A45D5">
        <w:rPr>
          <w:szCs w:val="22"/>
        </w:rPr>
        <w:t xml:space="preserve"> phase n’est pas significatif, puisque ces demandes ne peuvent être accueillies que dans certaines écoles et qu’en conséquence celles-ci sont introduites tout au long de la campagne d’inscription.</w:t>
      </w:r>
    </w:p>
    <w:p w:rsidR="00FF4646" w:rsidRPr="00FF4646" w:rsidRDefault="00FF4646" w:rsidP="00653632">
      <w:pPr>
        <w:spacing w:before="0"/>
        <w:rPr>
          <w:sz w:val="16"/>
          <w:szCs w:val="16"/>
        </w:rPr>
      </w:pPr>
    </w:p>
    <w:tbl>
      <w:tblPr>
        <w:tblW w:w="5626" w:type="dxa"/>
        <w:jc w:val="center"/>
        <w:tblInd w:w="93" w:type="dxa"/>
        <w:tblLayout w:type="fixed"/>
        <w:tblLook w:val="04A0" w:firstRow="1" w:lastRow="0" w:firstColumn="1" w:lastColumn="0" w:noHBand="0" w:noVBand="1"/>
      </w:tblPr>
      <w:tblGrid>
        <w:gridCol w:w="1206"/>
        <w:gridCol w:w="1105"/>
        <w:gridCol w:w="1105"/>
        <w:gridCol w:w="1105"/>
        <w:gridCol w:w="1105"/>
      </w:tblGrid>
      <w:tr w:rsidR="00EF15AE" w:rsidRPr="00EF15AE" w:rsidTr="00C820E1">
        <w:trPr>
          <w:trHeight w:val="255"/>
          <w:jc w:val="center"/>
        </w:trPr>
        <w:tc>
          <w:tcPr>
            <w:tcW w:w="1206" w:type="dxa"/>
            <w:tcBorders>
              <w:top w:val="nil"/>
              <w:left w:val="nil"/>
              <w:bottom w:val="single" w:sz="12" w:space="0" w:color="FFFFFF"/>
              <w:right w:val="single" w:sz="4" w:space="0" w:color="FFFFFF"/>
            </w:tcBorders>
            <w:shd w:val="clear" w:color="4F81BD" w:fill="4F81BD"/>
            <w:noWrap/>
            <w:vAlign w:val="center"/>
            <w:hideMark/>
          </w:tcPr>
          <w:p w:rsidR="00EF15AE" w:rsidRPr="00EF15AE" w:rsidRDefault="00EF15AE" w:rsidP="00C820E1">
            <w:pPr>
              <w:spacing w:before="0" w:after="0"/>
              <w:jc w:val="left"/>
              <w:rPr>
                <w:rFonts w:cs="Arial"/>
                <w:b/>
                <w:bCs/>
                <w:i/>
                <w:iCs/>
                <w:color w:val="FFFFFF"/>
                <w:sz w:val="20"/>
                <w:lang w:val="en-US" w:eastAsia="zh-CN"/>
              </w:rPr>
            </w:pPr>
            <w:proofErr w:type="spellStart"/>
            <w:r w:rsidRPr="00EF15AE">
              <w:rPr>
                <w:rFonts w:cs="Arial"/>
                <w:b/>
                <w:bCs/>
                <w:i/>
                <w:iCs/>
                <w:color w:val="FFFFFF"/>
                <w:sz w:val="20"/>
                <w:lang w:val="en-US" w:eastAsia="zh-CN"/>
              </w:rPr>
              <w:t>Maternelle</w:t>
            </w:r>
            <w:proofErr w:type="spellEnd"/>
          </w:p>
        </w:tc>
        <w:tc>
          <w:tcPr>
            <w:tcW w:w="1105" w:type="dxa"/>
            <w:tcBorders>
              <w:top w:val="nil"/>
              <w:left w:val="single" w:sz="4" w:space="0" w:color="FFFFFF"/>
              <w:bottom w:val="single" w:sz="12" w:space="0" w:color="FFFFFF"/>
              <w:right w:val="single" w:sz="4" w:space="0" w:color="FFFFFF"/>
            </w:tcBorders>
            <w:shd w:val="clear" w:color="4F81BD" w:fill="4F81BD"/>
            <w:noWrap/>
            <w:vAlign w:val="bottom"/>
            <w:hideMark/>
          </w:tcPr>
          <w:p w:rsidR="00C820E1" w:rsidRDefault="00C820E1" w:rsidP="00EF15AE">
            <w:pPr>
              <w:spacing w:before="0" w:after="0"/>
              <w:jc w:val="center"/>
              <w:rPr>
                <w:rFonts w:cs="Arial"/>
                <w:b/>
                <w:bCs/>
                <w:color w:val="FFFFFF"/>
                <w:sz w:val="20"/>
                <w:lang w:val="en-US" w:eastAsia="zh-CN"/>
              </w:rPr>
            </w:pPr>
            <w:r>
              <w:rPr>
                <w:rFonts w:cs="Arial"/>
                <w:b/>
                <w:bCs/>
                <w:color w:val="FFFFFF"/>
                <w:sz w:val="20"/>
                <w:lang w:val="en-US" w:eastAsia="zh-CN"/>
              </w:rPr>
              <w:t>EO</w:t>
            </w:r>
          </w:p>
          <w:p w:rsidR="00EF15AE" w:rsidRPr="00C820E1" w:rsidRDefault="00C820E1" w:rsidP="00EF15AE">
            <w:pPr>
              <w:spacing w:before="0" w:after="0"/>
              <w:jc w:val="center"/>
              <w:rPr>
                <w:rFonts w:cs="Arial"/>
                <w:bCs/>
                <w:i/>
                <w:color w:val="FFFFFF"/>
                <w:sz w:val="18"/>
                <w:szCs w:val="18"/>
                <w:lang w:val="en-US" w:eastAsia="zh-CN"/>
              </w:rPr>
            </w:pPr>
            <w:r w:rsidRPr="00C820E1">
              <w:rPr>
                <w:rFonts w:cs="Arial"/>
                <w:bCs/>
                <w:i/>
                <w:color w:val="FFFFFF"/>
                <w:sz w:val="18"/>
                <w:szCs w:val="18"/>
                <w:lang w:val="en-US" w:eastAsia="zh-CN"/>
              </w:rPr>
              <w:t>(</w:t>
            </w:r>
            <w:proofErr w:type="spellStart"/>
            <w:r w:rsidR="00EF15AE" w:rsidRPr="00C820E1">
              <w:rPr>
                <w:rFonts w:cs="Arial"/>
                <w:bCs/>
                <w:i/>
                <w:color w:val="FFFFFF"/>
                <w:sz w:val="18"/>
                <w:szCs w:val="18"/>
                <w:lang w:val="en-US" w:eastAsia="zh-CN"/>
              </w:rPr>
              <w:t>estonien</w:t>
            </w:r>
            <w:proofErr w:type="spellEnd"/>
            <w:r w:rsidRPr="00C820E1">
              <w:rPr>
                <w:rFonts w:cs="Arial"/>
                <w:bCs/>
                <w:i/>
                <w:color w:val="FFFFFF"/>
                <w:sz w:val="18"/>
                <w:szCs w:val="18"/>
                <w:lang w:val="en-US" w:eastAsia="zh-CN"/>
              </w:rPr>
              <w:t>)</w:t>
            </w:r>
          </w:p>
        </w:tc>
        <w:tc>
          <w:tcPr>
            <w:tcW w:w="1105" w:type="dxa"/>
            <w:tcBorders>
              <w:top w:val="nil"/>
              <w:left w:val="single" w:sz="4" w:space="0" w:color="FFFFFF"/>
              <w:bottom w:val="single" w:sz="12" w:space="0" w:color="FFFFFF"/>
              <w:right w:val="single" w:sz="4" w:space="0" w:color="FFFFFF"/>
            </w:tcBorders>
            <w:shd w:val="clear" w:color="4F81BD" w:fill="4F81BD"/>
            <w:noWrap/>
            <w:vAlign w:val="bottom"/>
            <w:hideMark/>
          </w:tcPr>
          <w:p w:rsidR="00C820E1" w:rsidRDefault="00C820E1" w:rsidP="00EF15AE">
            <w:pPr>
              <w:spacing w:before="0" w:after="0"/>
              <w:jc w:val="center"/>
              <w:rPr>
                <w:rFonts w:cs="Arial"/>
                <w:b/>
                <w:bCs/>
                <w:color w:val="FFFFFF"/>
                <w:sz w:val="20"/>
                <w:lang w:val="en-US" w:eastAsia="zh-CN"/>
              </w:rPr>
            </w:pPr>
            <w:r>
              <w:rPr>
                <w:rFonts w:cs="Arial"/>
                <w:b/>
                <w:bCs/>
                <w:color w:val="FFFFFF"/>
                <w:sz w:val="20"/>
                <w:lang w:val="en-US" w:eastAsia="zh-CN"/>
              </w:rPr>
              <w:t>LE</w:t>
            </w:r>
          </w:p>
          <w:p w:rsidR="00EF15AE" w:rsidRPr="00EF15AE" w:rsidRDefault="00C820E1" w:rsidP="00EF15AE">
            <w:pPr>
              <w:spacing w:before="0" w:after="0"/>
              <w:jc w:val="center"/>
              <w:rPr>
                <w:rFonts w:cs="Arial"/>
                <w:b/>
                <w:bCs/>
                <w:color w:val="FFFFFF"/>
                <w:sz w:val="20"/>
                <w:lang w:val="en-US" w:eastAsia="zh-CN"/>
              </w:rPr>
            </w:pPr>
            <w:r>
              <w:rPr>
                <w:rFonts w:cs="Arial"/>
                <w:bCs/>
                <w:i/>
                <w:color w:val="FFFFFF"/>
                <w:sz w:val="18"/>
                <w:szCs w:val="18"/>
                <w:lang w:val="en-US" w:eastAsia="zh-CN"/>
              </w:rPr>
              <w:t>(</w:t>
            </w:r>
            <w:proofErr w:type="spellStart"/>
            <w:r w:rsidR="00EF15AE" w:rsidRPr="00C820E1">
              <w:rPr>
                <w:rFonts w:cs="Arial"/>
                <w:bCs/>
                <w:i/>
                <w:color w:val="FFFFFF"/>
                <w:sz w:val="18"/>
                <w:szCs w:val="18"/>
                <w:lang w:val="en-US" w:eastAsia="zh-CN"/>
              </w:rPr>
              <w:t>letton</w:t>
            </w:r>
            <w:proofErr w:type="spellEnd"/>
            <w:r>
              <w:rPr>
                <w:rFonts w:cs="Arial"/>
                <w:bCs/>
                <w:i/>
                <w:color w:val="FFFFFF"/>
                <w:sz w:val="18"/>
                <w:szCs w:val="18"/>
                <w:lang w:val="en-US" w:eastAsia="zh-CN"/>
              </w:rPr>
              <w:t>)</w:t>
            </w:r>
          </w:p>
        </w:tc>
        <w:tc>
          <w:tcPr>
            <w:tcW w:w="1105" w:type="dxa"/>
            <w:tcBorders>
              <w:top w:val="nil"/>
              <w:left w:val="single" w:sz="4" w:space="0" w:color="FFFFFF"/>
              <w:bottom w:val="single" w:sz="12" w:space="0" w:color="FFFFFF"/>
              <w:right w:val="single" w:sz="4" w:space="0" w:color="FFFFFF"/>
            </w:tcBorders>
            <w:shd w:val="clear" w:color="4F81BD" w:fill="4F81BD"/>
            <w:noWrap/>
            <w:vAlign w:val="bottom"/>
            <w:hideMark/>
          </w:tcPr>
          <w:p w:rsidR="00C820E1" w:rsidRDefault="00C820E1" w:rsidP="00EF15AE">
            <w:pPr>
              <w:spacing w:before="0" w:after="0"/>
              <w:jc w:val="center"/>
              <w:rPr>
                <w:rFonts w:cs="Arial"/>
                <w:b/>
                <w:bCs/>
                <w:color w:val="FFFFFF"/>
                <w:sz w:val="20"/>
                <w:lang w:val="en-US" w:eastAsia="zh-CN"/>
              </w:rPr>
            </w:pPr>
            <w:r>
              <w:rPr>
                <w:rFonts w:cs="Arial"/>
                <w:b/>
                <w:bCs/>
                <w:color w:val="FFFFFF"/>
                <w:sz w:val="20"/>
                <w:lang w:val="en-US" w:eastAsia="zh-CN"/>
              </w:rPr>
              <w:t>SL</w:t>
            </w:r>
          </w:p>
          <w:p w:rsidR="00EF15AE" w:rsidRPr="00EF15AE" w:rsidRDefault="00C820E1" w:rsidP="00EF15AE">
            <w:pPr>
              <w:spacing w:before="0" w:after="0"/>
              <w:jc w:val="center"/>
              <w:rPr>
                <w:rFonts w:cs="Arial"/>
                <w:b/>
                <w:bCs/>
                <w:color w:val="FFFFFF"/>
                <w:sz w:val="20"/>
                <w:lang w:val="en-US" w:eastAsia="zh-CN"/>
              </w:rPr>
            </w:pPr>
            <w:r>
              <w:rPr>
                <w:rFonts w:cs="Arial"/>
                <w:bCs/>
                <w:i/>
                <w:color w:val="FFFFFF"/>
                <w:sz w:val="18"/>
                <w:szCs w:val="18"/>
                <w:lang w:val="en-US" w:eastAsia="zh-CN"/>
              </w:rPr>
              <w:t>(</w:t>
            </w:r>
            <w:proofErr w:type="spellStart"/>
            <w:r w:rsidR="00EF15AE" w:rsidRPr="00C820E1">
              <w:rPr>
                <w:rFonts w:cs="Arial"/>
                <w:bCs/>
                <w:i/>
                <w:color w:val="FFFFFF"/>
                <w:sz w:val="18"/>
                <w:szCs w:val="18"/>
                <w:lang w:val="en-US" w:eastAsia="zh-CN"/>
              </w:rPr>
              <w:t>slovaque</w:t>
            </w:r>
            <w:proofErr w:type="spellEnd"/>
            <w:r>
              <w:rPr>
                <w:rFonts w:cs="Arial"/>
                <w:bCs/>
                <w:i/>
                <w:color w:val="FFFFFF"/>
                <w:sz w:val="18"/>
                <w:szCs w:val="18"/>
                <w:lang w:val="en-US" w:eastAsia="zh-CN"/>
              </w:rPr>
              <w:t>)</w:t>
            </w:r>
          </w:p>
        </w:tc>
        <w:tc>
          <w:tcPr>
            <w:tcW w:w="1105" w:type="dxa"/>
            <w:tcBorders>
              <w:top w:val="nil"/>
              <w:left w:val="single" w:sz="4" w:space="0" w:color="FFFFFF"/>
              <w:bottom w:val="single" w:sz="12" w:space="0" w:color="FFFFFF"/>
              <w:right w:val="nil"/>
            </w:tcBorders>
            <w:shd w:val="clear" w:color="4F81BD" w:fill="4F81BD"/>
            <w:noWrap/>
            <w:vAlign w:val="bottom"/>
            <w:hideMark/>
          </w:tcPr>
          <w:p w:rsidR="00C820E1" w:rsidRPr="00C820E1" w:rsidRDefault="00C820E1" w:rsidP="00EF15AE">
            <w:pPr>
              <w:spacing w:before="0" w:after="0"/>
              <w:jc w:val="center"/>
              <w:rPr>
                <w:rFonts w:cs="Arial"/>
                <w:b/>
                <w:bCs/>
                <w:color w:val="FFFFFF"/>
                <w:sz w:val="20"/>
                <w:lang w:val="en-US" w:eastAsia="zh-CN"/>
              </w:rPr>
            </w:pPr>
            <w:r w:rsidRPr="00C820E1">
              <w:rPr>
                <w:rFonts w:cs="Arial"/>
                <w:b/>
                <w:bCs/>
                <w:color w:val="FFFFFF"/>
                <w:sz w:val="20"/>
                <w:lang w:val="en-US" w:eastAsia="zh-CN"/>
              </w:rPr>
              <w:t>SO</w:t>
            </w:r>
          </w:p>
          <w:p w:rsidR="00EF15AE" w:rsidRPr="00C820E1" w:rsidRDefault="00C820E1" w:rsidP="00EF15AE">
            <w:pPr>
              <w:spacing w:before="0" w:after="0"/>
              <w:jc w:val="center"/>
              <w:rPr>
                <w:rFonts w:cs="Arial"/>
                <w:bCs/>
                <w:i/>
                <w:color w:val="FFFFFF"/>
                <w:sz w:val="18"/>
                <w:szCs w:val="18"/>
                <w:lang w:val="en-US" w:eastAsia="zh-CN"/>
              </w:rPr>
            </w:pPr>
            <w:r>
              <w:rPr>
                <w:rFonts w:cs="Arial"/>
                <w:bCs/>
                <w:i/>
                <w:color w:val="FFFFFF"/>
                <w:sz w:val="18"/>
                <w:szCs w:val="18"/>
                <w:lang w:val="en-US" w:eastAsia="zh-CN"/>
              </w:rPr>
              <w:t>(</w:t>
            </w:r>
            <w:proofErr w:type="spellStart"/>
            <w:r w:rsidR="00EF15AE" w:rsidRPr="00C820E1">
              <w:rPr>
                <w:rFonts w:cs="Arial"/>
                <w:bCs/>
                <w:i/>
                <w:color w:val="FFFFFF"/>
                <w:sz w:val="18"/>
                <w:szCs w:val="18"/>
                <w:lang w:val="en-US" w:eastAsia="zh-CN"/>
              </w:rPr>
              <w:t>slovène</w:t>
            </w:r>
            <w:proofErr w:type="spellEnd"/>
            <w:r>
              <w:rPr>
                <w:rFonts w:cs="Arial"/>
                <w:bCs/>
                <w:i/>
                <w:color w:val="FFFFFF"/>
                <w:sz w:val="18"/>
                <w:szCs w:val="18"/>
                <w:lang w:val="en-US" w:eastAsia="zh-CN"/>
              </w:rPr>
              <w:t>)</w:t>
            </w:r>
          </w:p>
        </w:tc>
      </w:tr>
      <w:tr w:rsidR="00EF15AE" w:rsidRPr="00EF15AE" w:rsidTr="00C820E1">
        <w:trPr>
          <w:trHeight w:val="255"/>
          <w:jc w:val="center"/>
        </w:trPr>
        <w:tc>
          <w:tcPr>
            <w:tcW w:w="1206" w:type="dxa"/>
            <w:tcBorders>
              <w:top w:val="single" w:sz="4" w:space="0" w:color="FFFFFF"/>
              <w:left w:val="nil"/>
              <w:bottom w:val="single" w:sz="4" w:space="0" w:color="FFFFFF"/>
              <w:right w:val="single" w:sz="4" w:space="0" w:color="FFFFFF"/>
            </w:tcBorders>
            <w:shd w:val="clear" w:color="B8CCE4" w:fill="B8CCE4"/>
            <w:noWrap/>
            <w:vAlign w:val="bottom"/>
            <w:hideMark/>
          </w:tcPr>
          <w:p w:rsidR="00EF15AE" w:rsidRPr="00EF15AE" w:rsidRDefault="00EF15AE" w:rsidP="00EF15AE">
            <w:pPr>
              <w:spacing w:before="0" w:after="0"/>
              <w:jc w:val="center"/>
              <w:rPr>
                <w:rFonts w:cs="Arial"/>
                <w:b/>
                <w:bCs/>
                <w:color w:val="000000"/>
                <w:sz w:val="20"/>
                <w:lang w:val="en-US" w:eastAsia="zh-CN"/>
              </w:rPr>
            </w:pPr>
            <w:r w:rsidRPr="00EF15AE">
              <w:rPr>
                <w:rFonts w:cs="Arial"/>
                <w:b/>
                <w:bCs/>
                <w:color w:val="000000"/>
                <w:sz w:val="20"/>
                <w:lang w:val="en-US" w:eastAsia="zh-CN"/>
              </w:rPr>
              <w:t>2010-2011</w:t>
            </w:r>
          </w:p>
        </w:tc>
        <w:tc>
          <w:tcPr>
            <w:tcW w:w="110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6</w:t>
            </w:r>
          </w:p>
        </w:tc>
        <w:tc>
          <w:tcPr>
            <w:tcW w:w="110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6</w:t>
            </w:r>
          </w:p>
        </w:tc>
        <w:tc>
          <w:tcPr>
            <w:tcW w:w="110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8</w:t>
            </w:r>
          </w:p>
        </w:tc>
        <w:tc>
          <w:tcPr>
            <w:tcW w:w="1105" w:type="dxa"/>
            <w:tcBorders>
              <w:top w:val="single" w:sz="4" w:space="0" w:color="FFFFFF"/>
              <w:left w:val="single" w:sz="4" w:space="0" w:color="FFFFFF"/>
              <w:bottom w:val="single" w:sz="4" w:space="0" w:color="FFFFFF"/>
              <w:right w:val="nil"/>
            </w:tcBorders>
            <w:shd w:val="clear" w:color="B8CCE4" w:fill="B8CCE4"/>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7</w:t>
            </w:r>
          </w:p>
        </w:tc>
      </w:tr>
      <w:tr w:rsidR="00EF15AE" w:rsidRPr="00EF15AE" w:rsidTr="00C820E1">
        <w:trPr>
          <w:trHeight w:val="255"/>
          <w:jc w:val="center"/>
        </w:trPr>
        <w:tc>
          <w:tcPr>
            <w:tcW w:w="1206" w:type="dxa"/>
            <w:tcBorders>
              <w:top w:val="single" w:sz="4" w:space="0" w:color="FFFFFF"/>
              <w:left w:val="nil"/>
              <w:bottom w:val="single" w:sz="4" w:space="0" w:color="FFFFFF"/>
              <w:right w:val="single" w:sz="4" w:space="0" w:color="FFFFFF"/>
            </w:tcBorders>
            <w:shd w:val="clear" w:color="DCE6F1" w:fill="DCE6F1"/>
            <w:noWrap/>
            <w:vAlign w:val="bottom"/>
            <w:hideMark/>
          </w:tcPr>
          <w:p w:rsidR="00EF15AE" w:rsidRPr="00EF15AE" w:rsidRDefault="00EF15AE" w:rsidP="00EF15AE">
            <w:pPr>
              <w:spacing w:before="0" w:after="0"/>
              <w:jc w:val="center"/>
              <w:rPr>
                <w:rFonts w:cs="Arial"/>
                <w:b/>
                <w:bCs/>
                <w:color w:val="000000"/>
                <w:sz w:val="20"/>
                <w:lang w:val="en-US" w:eastAsia="zh-CN"/>
              </w:rPr>
            </w:pPr>
            <w:r w:rsidRPr="00EF15AE">
              <w:rPr>
                <w:rFonts w:cs="Arial"/>
                <w:b/>
                <w:bCs/>
                <w:color w:val="000000"/>
                <w:sz w:val="20"/>
                <w:lang w:val="en-US" w:eastAsia="zh-CN"/>
              </w:rPr>
              <w:t>2011-2012</w:t>
            </w:r>
          </w:p>
        </w:tc>
        <w:tc>
          <w:tcPr>
            <w:tcW w:w="110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11</w:t>
            </w:r>
          </w:p>
        </w:tc>
        <w:tc>
          <w:tcPr>
            <w:tcW w:w="110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11</w:t>
            </w:r>
          </w:p>
        </w:tc>
        <w:tc>
          <w:tcPr>
            <w:tcW w:w="110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11</w:t>
            </w:r>
          </w:p>
        </w:tc>
        <w:tc>
          <w:tcPr>
            <w:tcW w:w="1105" w:type="dxa"/>
            <w:tcBorders>
              <w:top w:val="single" w:sz="4" w:space="0" w:color="FFFFFF"/>
              <w:left w:val="single" w:sz="4" w:space="0" w:color="FFFFFF"/>
              <w:bottom w:val="single" w:sz="4" w:space="0" w:color="FFFFFF"/>
              <w:right w:val="nil"/>
            </w:tcBorders>
            <w:shd w:val="clear" w:color="DCE6F1" w:fill="DCE6F1"/>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6</w:t>
            </w:r>
          </w:p>
        </w:tc>
      </w:tr>
      <w:tr w:rsidR="00EF15AE" w:rsidRPr="00EF15AE" w:rsidTr="00C820E1">
        <w:trPr>
          <w:trHeight w:val="255"/>
          <w:jc w:val="center"/>
        </w:trPr>
        <w:tc>
          <w:tcPr>
            <w:tcW w:w="1206" w:type="dxa"/>
            <w:tcBorders>
              <w:top w:val="single" w:sz="4" w:space="0" w:color="FFFFFF"/>
              <w:left w:val="nil"/>
              <w:bottom w:val="single" w:sz="4" w:space="0" w:color="FFFFFF"/>
              <w:right w:val="single" w:sz="4" w:space="0" w:color="FFFFFF"/>
            </w:tcBorders>
            <w:shd w:val="clear" w:color="B8CCE4" w:fill="B8CCE4"/>
            <w:noWrap/>
            <w:vAlign w:val="bottom"/>
            <w:hideMark/>
          </w:tcPr>
          <w:p w:rsidR="00EF15AE" w:rsidRPr="00EF15AE" w:rsidRDefault="00EF15AE" w:rsidP="00EF15AE">
            <w:pPr>
              <w:spacing w:before="0" w:after="0"/>
              <w:jc w:val="center"/>
              <w:rPr>
                <w:rFonts w:cs="Arial"/>
                <w:b/>
                <w:bCs/>
                <w:color w:val="000000"/>
                <w:sz w:val="20"/>
                <w:lang w:val="en-US" w:eastAsia="zh-CN"/>
              </w:rPr>
            </w:pPr>
            <w:r w:rsidRPr="00EF15AE">
              <w:rPr>
                <w:rFonts w:cs="Arial"/>
                <w:b/>
                <w:bCs/>
                <w:color w:val="000000"/>
                <w:sz w:val="20"/>
                <w:lang w:val="en-US" w:eastAsia="zh-CN"/>
              </w:rPr>
              <w:t>2012-2013</w:t>
            </w:r>
          </w:p>
        </w:tc>
        <w:tc>
          <w:tcPr>
            <w:tcW w:w="110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9</w:t>
            </w:r>
          </w:p>
        </w:tc>
        <w:tc>
          <w:tcPr>
            <w:tcW w:w="110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12</w:t>
            </w:r>
          </w:p>
        </w:tc>
        <w:tc>
          <w:tcPr>
            <w:tcW w:w="110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17</w:t>
            </w:r>
          </w:p>
        </w:tc>
        <w:tc>
          <w:tcPr>
            <w:tcW w:w="1105" w:type="dxa"/>
            <w:tcBorders>
              <w:top w:val="single" w:sz="4" w:space="0" w:color="FFFFFF"/>
              <w:left w:val="single" w:sz="4" w:space="0" w:color="FFFFFF"/>
              <w:bottom w:val="single" w:sz="4" w:space="0" w:color="FFFFFF"/>
              <w:right w:val="nil"/>
            </w:tcBorders>
            <w:shd w:val="clear" w:color="B8CCE4" w:fill="B8CCE4"/>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9</w:t>
            </w:r>
          </w:p>
        </w:tc>
      </w:tr>
      <w:tr w:rsidR="00EF15AE" w:rsidRPr="00EF15AE" w:rsidTr="00C820E1">
        <w:trPr>
          <w:trHeight w:val="255"/>
          <w:jc w:val="center"/>
        </w:trPr>
        <w:tc>
          <w:tcPr>
            <w:tcW w:w="1206" w:type="dxa"/>
            <w:tcBorders>
              <w:top w:val="single" w:sz="4" w:space="0" w:color="FFFFFF"/>
              <w:left w:val="nil"/>
              <w:bottom w:val="single" w:sz="4" w:space="0" w:color="FFFFFF"/>
              <w:right w:val="single" w:sz="4" w:space="0" w:color="FFFFFF"/>
            </w:tcBorders>
            <w:shd w:val="clear" w:color="DCE6F1" w:fill="DCE6F1"/>
            <w:noWrap/>
            <w:vAlign w:val="bottom"/>
            <w:hideMark/>
          </w:tcPr>
          <w:p w:rsidR="00EF15AE" w:rsidRPr="00EF15AE" w:rsidRDefault="00EF15AE" w:rsidP="00EF15AE">
            <w:pPr>
              <w:spacing w:before="0" w:after="0"/>
              <w:jc w:val="center"/>
              <w:rPr>
                <w:rFonts w:cs="Arial"/>
                <w:b/>
                <w:bCs/>
                <w:color w:val="000000"/>
                <w:sz w:val="20"/>
                <w:lang w:val="en-US" w:eastAsia="zh-CN"/>
              </w:rPr>
            </w:pPr>
            <w:r w:rsidRPr="00EF15AE">
              <w:rPr>
                <w:rFonts w:cs="Arial"/>
                <w:b/>
                <w:bCs/>
                <w:color w:val="000000"/>
                <w:sz w:val="20"/>
                <w:lang w:val="en-US" w:eastAsia="zh-CN"/>
              </w:rPr>
              <w:t>2013-2014</w:t>
            </w:r>
          </w:p>
        </w:tc>
        <w:tc>
          <w:tcPr>
            <w:tcW w:w="110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16</w:t>
            </w:r>
          </w:p>
        </w:tc>
        <w:tc>
          <w:tcPr>
            <w:tcW w:w="110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17</w:t>
            </w:r>
          </w:p>
        </w:tc>
        <w:tc>
          <w:tcPr>
            <w:tcW w:w="110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20</w:t>
            </w:r>
          </w:p>
        </w:tc>
        <w:tc>
          <w:tcPr>
            <w:tcW w:w="1105" w:type="dxa"/>
            <w:tcBorders>
              <w:top w:val="single" w:sz="4" w:space="0" w:color="FFFFFF"/>
              <w:left w:val="single" w:sz="4" w:space="0" w:color="FFFFFF"/>
              <w:bottom w:val="single" w:sz="4" w:space="0" w:color="FFFFFF"/>
              <w:right w:val="nil"/>
            </w:tcBorders>
            <w:shd w:val="clear" w:color="DCE6F1" w:fill="DCE6F1"/>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6</w:t>
            </w:r>
          </w:p>
        </w:tc>
      </w:tr>
      <w:tr w:rsidR="00EF15AE" w:rsidRPr="00EF15AE" w:rsidTr="004A45D5">
        <w:trPr>
          <w:trHeight w:val="255"/>
          <w:jc w:val="center"/>
        </w:trPr>
        <w:tc>
          <w:tcPr>
            <w:tcW w:w="1206" w:type="dxa"/>
            <w:tcBorders>
              <w:top w:val="single" w:sz="4" w:space="0" w:color="FFFFFF"/>
              <w:left w:val="nil"/>
              <w:bottom w:val="single" w:sz="4" w:space="0" w:color="FFFFFF"/>
              <w:right w:val="single" w:sz="4" w:space="0" w:color="FFFFFF"/>
            </w:tcBorders>
            <w:shd w:val="clear" w:color="B8CCE4" w:fill="B8CCE4"/>
            <w:noWrap/>
            <w:vAlign w:val="bottom"/>
            <w:hideMark/>
          </w:tcPr>
          <w:p w:rsidR="00EF15AE" w:rsidRPr="00EF15AE" w:rsidRDefault="00EF15AE" w:rsidP="00EF15AE">
            <w:pPr>
              <w:spacing w:before="0" w:after="0"/>
              <w:jc w:val="center"/>
              <w:rPr>
                <w:rFonts w:cs="Arial"/>
                <w:b/>
                <w:bCs/>
                <w:color w:val="000000"/>
                <w:sz w:val="20"/>
                <w:lang w:val="en-US" w:eastAsia="zh-CN"/>
              </w:rPr>
            </w:pPr>
            <w:r w:rsidRPr="00EF15AE">
              <w:rPr>
                <w:rFonts w:cs="Arial"/>
                <w:b/>
                <w:bCs/>
                <w:color w:val="000000"/>
                <w:sz w:val="20"/>
                <w:lang w:val="en-US" w:eastAsia="zh-CN"/>
              </w:rPr>
              <w:t>2014-2015</w:t>
            </w:r>
          </w:p>
        </w:tc>
        <w:tc>
          <w:tcPr>
            <w:tcW w:w="110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8</w:t>
            </w:r>
          </w:p>
        </w:tc>
        <w:tc>
          <w:tcPr>
            <w:tcW w:w="110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13</w:t>
            </w:r>
          </w:p>
        </w:tc>
        <w:tc>
          <w:tcPr>
            <w:tcW w:w="110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15</w:t>
            </w:r>
          </w:p>
        </w:tc>
        <w:tc>
          <w:tcPr>
            <w:tcW w:w="1105" w:type="dxa"/>
            <w:tcBorders>
              <w:top w:val="single" w:sz="4" w:space="0" w:color="FFFFFF"/>
              <w:left w:val="single" w:sz="4" w:space="0" w:color="FFFFFF"/>
              <w:bottom w:val="single" w:sz="4" w:space="0" w:color="FFFFFF"/>
              <w:right w:val="nil"/>
            </w:tcBorders>
            <w:shd w:val="clear" w:color="B8CCE4" w:fill="B8CCE4"/>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19</w:t>
            </w:r>
          </w:p>
        </w:tc>
      </w:tr>
      <w:tr w:rsidR="004A45D5" w:rsidRPr="00EF15AE" w:rsidTr="00834CB2">
        <w:trPr>
          <w:trHeight w:val="255"/>
          <w:jc w:val="center"/>
        </w:trPr>
        <w:tc>
          <w:tcPr>
            <w:tcW w:w="1206" w:type="dxa"/>
            <w:tcBorders>
              <w:top w:val="single" w:sz="4" w:space="0" w:color="FFFFFF"/>
              <w:left w:val="nil"/>
              <w:bottom w:val="nil"/>
              <w:right w:val="single" w:sz="4" w:space="0" w:color="FFFFFF"/>
            </w:tcBorders>
            <w:shd w:val="clear" w:color="auto" w:fill="DBE5F1" w:themeFill="accent1" w:themeFillTint="33"/>
            <w:noWrap/>
            <w:vAlign w:val="bottom"/>
          </w:tcPr>
          <w:p w:rsidR="004A45D5" w:rsidRPr="00EF15AE" w:rsidRDefault="004A45D5" w:rsidP="00EF15AE">
            <w:pPr>
              <w:spacing w:before="0" w:after="0"/>
              <w:jc w:val="center"/>
              <w:rPr>
                <w:rFonts w:cs="Arial"/>
                <w:b/>
                <w:bCs/>
                <w:color w:val="000000"/>
                <w:sz w:val="20"/>
                <w:lang w:val="en-US" w:eastAsia="zh-CN"/>
              </w:rPr>
            </w:pPr>
            <w:r>
              <w:rPr>
                <w:rFonts w:cs="Arial"/>
                <w:b/>
                <w:bCs/>
                <w:color w:val="000000"/>
                <w:sz w:val="20"/>
                <w:lang w:val="en-US" w:eastAsia="zh-CN"/>
              </w:rPr>
              <w:t>2015-2016</w:t>
            </w:r>
          </w:p>
        </w:tc>
        <w:tc>
          <w:tcPr>
            <w:tcW w:w="1105" w:type="dxa"/>
            <w:tcBorders>
              <w:top w:val="single" w:sz="4" w:space="0" w:color="FFFFFF"/>
              <w:left w:val="single" w:sz="4" w:space="0" w:color="FFFFFF"/>
              <w:bottom w:val="nil"/>
              <w:right w:val="single" w:sz="4" w:space="0" w:color="FFFFFF"/>
            </w:tcBorders>
            <w:shd w:val="clear" w:color="auto" w:fill="DBE5F1" w:themeFill="accent1" w:themeFillTint="33"/>
            <w:noWrap/>
            <w:vAlign w:val="bottom"/>
          </w:tcPr>
          <w:p w:rsidR="004A45D5" w:rsidRPr="00EF15AE" w:rsidRDefault="004A45D5" w:rsidP="00EF15AE">
            <w:pPr>
              <w:spacing w:before="0" w:after="0"/>
              <w:jc w:val="right"/>
              <w:rPr>
                <w:rFonts w:cs="Arial"/>
                <w:color w:val="000000"/>
                <w:sz w:val="20"/>
                <w:lang w:val="en-US" w:eastAsia="zh-CN"/>
              </w:rPr>
            </w:pPr>
            <w:r>
              <w:rPr>
                <w:rFonts w:cs="Arial"/>
                <w:color w:val="000000"/>
                <w:sz w:val="20"/>
                <w:lang w:val="en-US" w:eastAsia="zh-CN"/>
              </w:rPr>
              <w:t>9</w:t>
            </w:r>
          </w:p>
        </w:tc>
        <w:tc>
          <w:tcPr>
            <w:tcW w:w="1105" w:type="dxa"/>
            <w:tcBorders>
              <w:top w:val="single" w:sz="4" w:space="0" w:color="FFFFFF"/>
              <w:left w:val="single" w:sz="4" w:space="0" w:color="FFFFFF"/>
              <w:bottom w:val="nil"/>
              <w:right w:val="single" w:sz="4" w:space="0" w:color="FFFFFF"/>
            </w:tcBorders>
            <w:shd w:val="clear" w:color="auto" w:fill="DBE5F1" w:themeFill="accent1" w:themeFillTint="33"/>
            <w:noWrap/>
            <w:vAlign w:val="bottom"/>
          </w:tcPr>
          <w:p w:rsidR="004A45D5" w:rsidRPr="00EF15AE" w:rsidRDefault="004A45D5" w:rsidP="00EF15AE">
            <w:pPr>
              <w:spacing w:before="0" w:after="0"/>
              <w:jc w:val="right"/>
              <w:rPr>
                <w:rFonts w:cs="Arial"/>
                <w:color w:val="000000"/>
                <w:sz w:val="20"/>
                <w:lang w:val="en-US" w:eastAsia="zh-CN"/>
              </w:rPr>
            </w:pPr>
            <w:r>
              <w:rPr>
                <w:rFonts w:cs="Arial"/>
                <w:color w:val="000000"/>
                <w:sz w:val="20"/>
                <w:lang w:val="en-US" w:eastAsia="zh-CN"/>
              </w:rPr>
              <w:t>10</w:t>
            </w:r>
          </w:p>
        </w:tc>
        <w:tc>
          <w:tcPr>
            <w:tcW w:w="1105" w:type="dxa"/>
            <w:tcBorders>
              <w:top w:val="single" w:sz="4" w:space="0" w:color="FFFFFF"/>
              <w:left w:val="single" w:sz="4" w:space="0" w:color="FFFFFF"/>
              <w:bottom w:val="nil"/>
              <w:right w:val="single" w:sz="4" w:space="0" w:color="FFFFFF"/>
            </w:tcBorders>
            <w:shd w:val="clear" w:color="auto" w:fill="DBE5F1" w:themeFill="accent1" w:themeFillTint="33"/>
            <w:noWrap/>
            <w:vAlign w:val="bottom"/>
          </w:tcPr>
          <w:p w:rsidR="004A45D5" w:rsidRPr="00EF15AE" w:rsidRDefault="004A45D5" w:rsidP="00EF15AE">
            <w:pPr>
              <w:spacing w:before="0" w:after="0"/>
              <w:jc w:val="right"/>
              <w:rPr>
                <w:rFonts w:cs="Arial"/>
                <w:color w:val="000000"/>
                <w:sz w:val="20"/>
                <w:lang w:val="en-US" w:eastAsia="zh-CN"/>
              </w:rPr>
            </w:pPr>
            <w:r>
              <w:rPr>
                <w:rFonts w:cs="Arial"/>
                <w:color w:val="000000"/>
                <w:sz w:val="20"/>
                <w:lang w:val="en-US" w:eastAsia="zh-CN"/>
              </w:rPr>
              <w:t>16</w:t>
            </w:r>
          </w:p>
        </w:tc>
        <w:tc>
          <w:tcPr>
            <w:tcW w:w="1105" w:type="dxa"/>
            <w:tcBorders>
              <w:top w:val="single" w:sz="4" w:space="0" w:color="FFFFFF"/>
              <w:left w:val="single" w:sz="4" w:space="0" w:color="FFFFFF"/>
              <w:bottom w:val="nil"/>
              <w:right w:val="nil"/>
            </w:tcBorders>
            <w:shd w:val="clear" w:color="auto" w:fill="DBE5F1" w:themeFill="accent1" w:themeFillTint="33"/>
            <w:noWrap/>
            <w:vAlign w:val="bottom"/>
          </w:tcPr>
          <w:p w:rsidR="004A45D5" w:rsidRPr="00EF15AE" w:rsidRDefault="00FD5C50" w:rsidP="00EF15AE">
            <w:pPr>
              <w:spacing w:before="0" w:after="0"/>
              <w:jc w:val="right"/>
              <w:rPr>
                <w:rFonts w:cs="Arial"/>
                <w:color w:val="000000"/>
                <w:sz w:val="20"/>
                <w:lang w:val="en-US" w:eastAsia="zh-CN"/>
              </w:rPr>
            </w:pPr>
            <w:r>
              <w:rPr>
                <w:rFonts w:cs="Arial"/>
                <w:color w:val="000000"/>
                <w:sz w:val="20"/>
                <w:lang w:val="en-US" w:eastAsia="zh-CN"/>
              </w:rPr>
              <w:t>8</w:t>
            </w:r>
          </w:p>
        </w:tc>
      </w:tr>
    </w:tbl>
    <w:p w:rsidR="004A45D5" w:rsidRDefault="004A45D5" w:rsidP="004E5A95">
      <w:pPr>
        <w:spacing w:before="0"/>
        <w:rPr>
          <w:szCs w:val="22"/>
        </w:rPr>
      </w:pPr>
    </w:p>
    <w:p w:rsidR="0032381A" w:rsidRDefault="004A45D5" w:rsidP="004A45D5">
      <w:pPr>
        <w:spacing w:before="0" w:line="276" w:lineRule="auto"/>
        <w:rPr>
          <w:szCs w:val="22"/>
        </w:rPr>
      </w:pPr>
      <w:r>
        <w:rPr>
          <w:szCs w:val="22"/>
        </w:rPr>
        <w:t>A partir de septembre 2016, la section estonienne sera créée à l’Ecole de Bruxelles IV</w:t>
      </w:r>
      <w:r w:rsidR="008E1874">
        <w:rPr>
          <w:szCs w:val="22"/>
        </w:rPr>
        <w:t xml:space="preserve"> </w:t>
      </w:r>
      <w:r w:rsidR="00426794">
        <w:rPr>
          <w:szCs w:val="22"/>
        </w:rPr>
        <w:t xml:space="preserve">en commençant par la maternelle </w:t>
      </w:r>
      <w:r w:rsidR="008E1874">
        <w:rPr>
          <w:szCs w:val="22"/>
        </w:rPr>
        <w:t>conformément à la décision du Conseil supérieur</w:t>
      </w:r>
      <w:r w:rsidR="00BA5E76">
        <w:rPr>
          <w:rStyle w:val="FootnoteReference"/>
          <w:szCs w:val="22"/>
        </w:rPr>
        <w:footnoteReference w:id="1"/>
      </w:r>
      <w:r>
        <w:rPr>
          <w:szCs w:val="22"/>
        </w:rPr>
        <w:t xml:space="preserve">, </w:t>
      </w:r>
      <w:r w:rsidR="00466A09">
        <w:rPr>
          <w:szCs w:val="22"/>
        </w:rPr>
        <w:t xml:space="preserve">la </w:t>
      </w:r>
      <w:r w:rsidR="0032381A">
        <w:rPr>
          <w:szCs w:val="22"/>
        </w:rPr>
        <w:t xml:space="preserve">création </w:t>
      </w:r>
      <w:r w:rsidR="003540F0">
        <w:rPr>
          <w:szCs w:val="22"/>
        </w:rPr>
        <w:t>de</w:t>
      </w:r>
      <w:r>
        <w:rPr>
          <w:szCs w:val="22"/>
        </w:rPr>
        <w:t>s s</w:t>
      </w:r>
      <w:r w:rsidR="003540F0">
        <w:rPr>
          <w:szCs w:val="22"/>
        </w:rPr>
        <w:t xml:space="preserve">ections </w:t>
      </w:r>
      <w:r>
        <w:rPr>
          <w:szCs w:val="22"/>
        </w:rPr>
        <w:t xml:space="preserve">lettone et slovaque étant restée en suspens notamment en raison </w:t>
      </w:r>
      <w:r w:rsidR="0032381A">
        <w:rPr>
          <w:szCs w:val="22"/>
        </w:rPr>
        <w:t xml:space="preserve">du </w:t>
      </w:r>
      <w:r>
        <w:rPr>
          <w:szCs w:val="22"/>
        </w:rPr>
        <w:t xml:space="preserve">manque de </w:t>
      </w:r>
      <w:r w:rsidR="0032381A">
        <w:rPr>
          <w:szCs w:val="22"/>
        </w:rPr>
        <w:t>ressources supplémentaires en locaux</w:t>
      </w:r>
      <w:r>
        <w:rPr>
          <w:szCs w:val="22"/>
        </w:rPr>
        <w:t xml:space="preserve">. </w:t>
      </w:r>
    </w:p>
    <w:p w:rsidR="00567D49" w:rsidRDefault="00567D49" w:rsidP="004A45D5">
      <w:pPr>
        <w:spacing w:before="0" w:after="0" w:line="276" w:lineRule="auto"/>
        <w:jc w:val="left"/>
        <w:rPr>
          <w:szCs w:val="22"/>
        </w:rPr>
      </w:pPr>
    </w:p>
    <w:p w:rsidR="00EF2673" w:rsidRDefault="00785384" w:rsidP="004A45D5">
      <w:pPr>
        <w:spacing w:after="240" w:line="276" w:lineRule="auto"/>
        <w:rPr>
          <w:b/>
          <w:sz w:val="24"/>
          <w:szCs w:val="24"/>
          <w:u w:val="single"/>
        </w:rPr>
      </w:pPr>
      <w:r>
        <w:rPr>
          <w:b/>
          <w:sz w:val="24"/>
          <w:szCs w:val="24"/>
        </w:rPr>
        <w:t>III</w:t>
      </w:r>
      <w:r w:rsidR="00EF2673" w:rsidRPr="00EF2673">
        <w:rPr>
          <w:b/>
          <w:sz w:val="24"/>
          <w:szCs w:val="24"/>
        </w:rPr>
        <w:t xml:space="preserve">. </w:t>
      </w:r>
      <w:r w:rsidR="00627307">
        <w:rPr>
          <w:b/>
          <w:sz w:val="24"/>
          <w:szCs w:val="24"/>
          <w:u w:val="single"/>
        </w:rPr>
        <w:t>Conclusion</w:t>
      </w:r>
    </w:p>
    <w:p w:rsidR="00EF6F21" w:rsidRDefault="0025346A" w:rsidP="009262FB">
      <w:pPr>
        <w:spacing w:line="276" w:lineRule="auto"/>
        <w:rPr>
          <w:b/>
          <w:sz w:val="24"/>
          <w:szCs w:val="24"/>
          <w:u w:val="single"/>
        </w:rPr>
      </w:pPr>
      <w:r>
        <w:rPr>
          <w:szCs w:val="22"/>
        </w:rPr>
        <w:t>L</w:t>
      </w:r>
      <w:r w:rsidR="00FA3799">
        <w:rPr>
          <w:szCs w:val="22"/>
        </w:rPr>
        <w:t xml:space="preserve">’Autorité se réunira de nouveau </w:t>
      </w:r>
      <w:r w:rsidR="00A235F4">
        <w:rPr>
          <w:szCs w:val="22"/>
        </w:rPr>
        <w:t xml:space="preserve">en juillet et </w:t>
      </w:r>
      <w:r w:rsidR="002B3711">
        <w:rPr>
          <w:szCs w:val="22"/>
        </w:rPr>
        <w:t xml:space="preserve">en </w:t>
      </w:r>
      <w:r w:rsidR="00A235F4">
        <w:rPr>
          <w:szCs w:val="22"/>
        </w:rPr>
        <w:t>août 201</w:t>
      </w:r>
      <w:r w:rsidR="00213E25">
        <w:rPr>
          <w:szCs w:val="22"/>
        </w:rPr>
        <w:t>5</w:t>
      </w:r>
      <w:r w:rsidR="00A235F4">
        <w:rPr>
          <w:szCs w:val="22"/>
        </w:rPr>
        <w:t xml:space="preserve"> </w:t>
      </w:r>
      <w:r w:rsidR="00FA3799">
        <w:rPr>
          <w:szCs w:val="22"/>
        </w:rPr>
        <w:t xml:space="preserve">pour </w:t>
      </w:r>
      <w:r w:rsidR="00213E25">
        <w:rPr>
          <w:szCs w:val="22"/>
        </w:rPr>
        <w:t xml:space="preserve">examiner </w:t>
      </w:r>
      <w:r w:rsidR="00FA3799">
        <w:rPr>
          <w:szCs w:val="22"/>
        </w:rPr>
        <w:t xml:space="preserve">les demandes </w:t>
      </w:r>
      <w:r w:rsidR="00466A09">
        <w:rPr>
          <w:szCs w:val="22"/>
        </w:rPr>
        <w:t xml:space="preserve">introduites </w:t>
      </w:r>
      <w:r w:rsidR="00FA3799">
        <w:rPr>
          <w:szCs w:val="22"/>
        </w:rPr>
        <w:t>lors de</w:t>
      </w:r>
      <w:r w:rsidR="00213E25">
        <w:rPr>
          <w:szCs w:val="22"/>
        </w:rPr>
        <w:t xml:space="preserve"> la d</w:t>
      </w:r>
      <w:r w:rsidR="00FA3799">
        <w:rPr>
          <w:szCs w:val="22"/>
        </w:rPr>
        <w:t xml:space="preserve">euxième phase d’inscription dont le traitement est prévu </w:t>
      </w:r>
      <w:r w:rsidR="00466A09">
        <w:rPr>
          <w:szCs w:val="22"/>
        </w:rPr>
        <w:t xml:space="preserve">selon </w:t>
      </w:r>
      <w:r w:rsidR="00FA3799">
        <w:rPr>
          <w:szCs w:val="22"/>
        </w:rPr>
        <w:t xml:space="preserve">la procédure </w:t>
      </w:r>
      <w:r w:rsidR="00466A09">
        <w:rPr>
          <w:szCs w:val="22"/>
        </w:rPr>
        <w:t xml:space="preserve">fixée </w:t>
      </w:r>
      <w:r w:rsidR="00FA3799">
        <w:rPr>
          <w:szCs w:val="22"/>
        </w:rPr>
        <w:t>dans la Politique d’inscription 201</w:t>
      </w:r>
      <w:r w:rsidR="00213E25">
        <w:rPr>
          <w:szCs w:val="22"/>
        </w:rPr>
        <w:t>5</w:t>
      </w:r>
      <w:r w:rsidR="00FA3799">
        <w:rPr>
          <w:szCs w:val="22"/>
        </w:rPr>
        <w:t>-201</w:t>
      </w:r>
      <w:r w:rsidR="00213E25">
        <w:rPr>
          <w:szCs w:val="22"/>
        </w:rPr>
        <w:t>6</w:t>
      </w:r>
      <w:r w:rsidR="00FA3799">
        <w:rPr>
          <w:szCs w:val="22"/>
        </w:rPr>
        <w:t xml:space="preserve">. </w:t>
      </w:r>
    </w:p>
    <w:p w:rsidR="00497AA8" w:rsidRDefault="00FA3799" w:rsidP="006B0D2F">
      <w:pPr>
        <w:spacing w:line="276" w:lineRule="auto"/>
        <w:rPr>
          <w:b/>
          <w:sz w:val="24"/>
          <w:szCs w:val="24"/>
          <w:u w:val="single"/>
        </w:rPr>
      </w:pPr>
      <w:r>
        <w:rPr>
          <w:b/>
          <w:sz w:val="24"/>
          <w:szCs w:val="24"/>
          <w:u w:val="single"/>
        </w:rPr>
        <w:br w:type="page"/>
      </w:r>
      <w:r w:rsidR="00497AA8" w:rsidRPr="00497AA8">
        <w:rPr>
          <w:b/>
          <w:sz w:val="24"/>
          <w:szCs w:val="24"/>
          <w:u w:val="single"/>
        </w:rPr>
        <w:lastRenderedPageBreak/>
        <w:t>Annexe I</w:t>
      </w:r>
    </w:p>
    <w:p w:rsidR="00213E25" w:rsidRPr="00497AA8" w:rsidRDefault="00213E25" w:rsidP="006B0D2F">
      <w:pPr>
        <w:spacing w:line="276" w:lineRule="auto"/>
        <w:rPr>
          <w:b/>
          <w:sz w:val="24"/>
          <w:szCs w:val="24"/>
          <w:u w:val="single"/>
        </w:rPr>
      </w:pPr>
    </w:p>
    <w:p w:rsidR="00EA4025" w:rsidRPr="00567D49" w:rsidRDefault="00567D49" w:rsidP="006B0D2F">
      <w:pPr>
        <w:pStyle w:val="ListParagraph"/>
        <w:numPr>
          <w:ilvl w:val="0"/>
          <w:numId w:val="38"/>
        </w:numPr>
        <w:spacing w:line="276" w:lineRule="auto"/>
        <w:jc w:val="left"/>
        <w:rPr>
          <w:b/>
        </w:rPr>
      </w:pPr>
      <w:r>
        <w:rPr>
          <w:b/>
        </w:rPr>
        <w:t xml:space="preserve">- </w:t>
      </w:r>
      <w:r w:rsidR="00EA4025" w:rsidRPr="00567D49">
        <w:rPr>
          <w:b/>
        </w:rPr>
        <w:t xml:space="preserve">Nombre de demandes, par niveau d’études et par section linguistique, reçues </w:t>
      </w:r>
      <w:r>
        <w:rPr>
          <w:b/>
        </w:rPr>
        <w:t xml:space="preserve">  </w:t>
      </w:r>
      <w:r w:rsidR="00EA4025" w:rsidRPr="00567D49">
        <w:rPr>
          <w:b/>
        </w:rPr>
        <w:t xml:space="preserve">entre le </w:t>
      </w:r>
      <w:r w:rsidR="00A8045D" w:rsidRPr="00567D49">
        <w:rPr>
          <w:b/>
        </w:rPr>
        <w:t>1</w:t>
      </w:r>
      <w:r w:rsidR="002D6073">
        <w:rPr>
          <w:b/>
        </w:rPr>
        <w:t>2 février</w:t>
      </w:r>
      <w:r w:rsidR="00C11569" w:rsidRPr="00567D49">
        <w:rPr>
          <w:b/>
        </w:rPr>
        <w:t xml:space="preserve"> </w:t>
      </w:r>
      <w:r w:rsidR="00EA4025" w:rsidRPr="00567D49">
        <w:rPr>
          <w:b/>
        </w:rPr>
        <w:t xml:space="preserve">et le </w:t>
      </w:r>
      <w:r w:rsidR="002D6073">
        <w:rPr>
          <w:b/>
        </w:rPr>
        <w:t>6</w:t>
      </w:r>
      <w:r w:rsidR="00EA4025" w:rsidRPr="00567D49">
        <w:rPr>
          <w:b/>
        </w:rPr>
        <w:t xml:space="preserve"> </w:t>
      </w:r>
      <w:r w:rsidR="002D6073">
        <w:rPr>
          <w:b/>
        </w:rPr>
        <w:t>mars</w:t>
      </w:r>
      <w:r w:rsidR="00EA4025" w:rsidRPr="00567D49">
        <w:rPr>
          <w:b/>
        </w:rPr>
        <w:t xml:space="preserve"> 20</w:t>
      </w:r>
      <w:r w:rsidR="00C11569" w:rsidRPr="00567D49">
        <w:rPr>
          <w:b/>
        </w:rPr>
        <w:t>1</w:t>
      </w:r>
      <w:r w:rsidR="002D6073">
        <w:rPr>
          <w:b/>
        </w:rPr>
        <w:t>5</w:t>
      </w:r>
      <w:r w:rsidR="00EA4025" w:rsidRPr="00567D49">
        <w:rPr>
          <w:b/>
        </w:rPr>
        <w:t xml:space="preserve"> </w:t>
      </w:r>
      <w:r w:rsidR="00EA4025" w:rsidRPr="00213E25">
        <w:t>(</w:t>
      </w:r>
      <w:r w:rsidR="00EA4025" w:rsidRPr="00213E25">
        <w:rPr>
          <w:i/>
        </w:rPr>
        <w:t>première phase d’inscription</w:t>
      </w:r>
      <w:r w:rsidR="00213E25">
        <w:t>)</w:t>
      </w:r>
    </w:p>
    <w:p w:rsidR="00C11569" w:rsidRPr="00782B9D" w:rsidRDefault="002D6073" w:rsidP="00987FB9">
      <w:pPr>
        <w:jc w:val="center"/>
        <w:rPr>
          <w:rFonts w:ascii="Arial-BoldMT-Identity-H" w:hAnsi="Arial-BoldMT-Identity-H" w:cs="Arial-BoldMT-Identity-H"/>
          <w:b/>
          <w:bCs/>
          <w:color w:val="FFFFFF"/>
          <w:sz w:val="20"/>
        </w:rPr>
      </w:pPr>
      <w:r>
        <w:rPr>
          <w:noProof/>
          <w:lang w:val="fr-BE" w:eastAsia="fr-BE"/>
        </w:rPr>
        <w:drawing>
          <wp:inline distT="0" distB="0" distL="0" distR="0" wp14:anchorId="330DEAE5" wp14:editId="0196B439">
            <wp:extent cx="5760085" cy="285604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085" cy="2856042"/>
                    </a:xfrm>
                    <a:prstGeom prst="rect">
                      <a:avLst/>
                    </a:prstGeom>
                  </pic:spPr>
                </pic:pic>
              </a:graphicData>
            </a:graphic>
          </wp:inline>
        </w:drawing>
      </w:r>
    </w:p>
    <w:p w:rsidR="00DD5D3B" w:rsidRPr="00DD5D3B" w:rsidRDefault="00DD5D3B" w:rsidP="006B0D2F">
      <w:pPr>
        <w:spacing w:line="276" w:lineRule="auto"/>
        <w:ind w:left="360"/>
      </w:pPr>
    </w:p>
    <w:p w:rsidR="00BE15B0" w:rsidRPr="00782B9D" w:rsidRDefault="005673D5" w:rsidP="006B0D2F">
      <w:pPr>
        <w:pStyle w:val="ListParagraph"/>
        <w:numPr>
          <w:ilvl w:val="0"/>
          <w:numId w:val="39"/>
        </w:numPr>
        <w:spacing w:line="276" w:lineRule="auto"/>
        <w:ind w:left="709" w:hanging="283"/>
      </w:pPr>
      <w:r w:rsidRPr="00567D49">
        <w:rPr>
          <w:b/>
        </w:rPr>
        <w:t>Nombre de demandes</w:t>
      </w:r>
      <w:r w:rsidR="0008030B" w:rsidRPr="00567D49">
        <w:rPr>
          <w:b/>
        </w:rPr>
        <w:t xml:space="preserve"> de catégorie I et II (Eurocontrol, à partir de la première primaire)</w:t>
      </w:r>
      <w:r w:rsidRPr="00567D49">
        <w:rPr>
          <w:b/>
        </w:rPr>
        <w:t xml:space="preserve">, par niveau d’études et par section linguistique, reçues entre le </w:t>
      </w:r>
      <w:r w:rsidR="002D6073">
        <w:rPr>
          <w:b/>
        </w:rPr>
        <w:t>12 février</w:t>
      </w:r>
      <w:r w:rsidR="00782B9D" w:rsidRPr="00567D49">
        <w:rPr>
          <w:b/>
        </w:rPr>
        <w:t xml:space="preserve"> et le </w:t>
      </w:r>
      <w:r w:rsidR="002D6073">
        <w:rPr>
          <w:b/>
        </w:rPr>
        <w:t>6 mars 2015</w:t>
      </w:r>
      <w:r w:rsidR="00782B9D" w:rsidRPr="00567D49">
        <w:rPr>
          <w:b/>
        </w:rPr>
        <w:t xml:space="preserve"> </w:t>
      </w:r>
      <w:r w:rsidRPr="00213E25">
        <w:rPr>
          <w:i/>
        </w:rPr>
        <w:t>(première phase d’inscription)</w:t>
      </w:r>
    </w:p>
    <w:p w:rsidR="00782B9D" w:rsidRDefault="002D6073" w:rsidP="00EA4025">
      <w:pPr>
        <w:rPr>
          <w:noProof/>
          <w:lang w:val="en-US" w:eastAsia="zh-CN"/>
        </w:rPr>
      </w:pPr>
      <w:r>
        <w:rPr>
          <w:noProof/>
          <w:lang w:val="fr-BE" w:eastAsia="fr-BE"/>
        </w:rPr>
        <w:drawing>
          <wp:inline distT="0" distB="0" distL="0" distR="0" wp14:anchorId="021DC1C3" wp14:editId="13D22C7C">
            <wp:extent cx="5760085" cy="283511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085" cy="2835119"/>
                    </a:xfrm>
                    <a:prstGeom prst="rect">
                      <a:avLst/>
                    </a:prstGeom>
                  </pic:spPr>
                </pic:pic>
              </a:graphicData>
            </a:graphic>
          </wp:inline>
        </w:drawing>
      </w:r>
    </w:p>
    <w:p w:rsidR="00F053DE" w:rsidRDefault="00F053DE" w:rsidP="00EA4025">
      <w:pPr>
        <w:rPr>
          <w:noProof/>
          <w:lang w:val="en-US" w:eastAsia="zh-CN"/>
        </w:rPr>
      </w:pPr>
    </w:p>
    <w:p w:rsidR="00F053DE" w:rsidRDefault="00F053DE" w:rsidP="00EA4025">
      <w:pPr>
        <w:rPr>
          <w:noProof/>
          <w:lang w:val="en-US" w:eastAsia="zh-CN"/>
        </w:rPr>
      </w:pPr>
    </w:p>
    <w:p w:rsidR="002D762B" w:rsidRDefault="002D762B">
      <w:pPr>
        <w:spacing w:before="0" w:after="0"/>
        <w:jc w:val="left"/>
        <w:rPr>
          <w:noProof/>
          <w:lang w:val="en-US" w:eastAsia="zh-CN"/>
        </w:rPr>
      </w:pPr>
      <w:r>
        <w:rPr>
          <w:noProof/>
          <w:lang w:val="en-US" w:eastAsia="zh-CN"/>
        </w:rPr>
        <w:br w:type="page"/>
      </w:r>
    </w:p>
    <w:p w:rsidR="005377D4" w:rsidRPr="00ED08CE" w:rsidRDefault="005377D4" w:rsidP="006B0D2F">
      <w:pPr>
        <w:pStyle w:val="ListParagraph"/>
        <w:numPr>
          <w:ilvl w:val="0"/>
          <w:numId w:val="38"/>
        </w:numPr>
        <w:spacing w:line="276" w:lineRule="auto"/>
      </w:pPr>
      <w:r w:rsidRPr="00567D49">
        <w:rPr>
          <w:b/>
        </w:rPr>
        <w:lastRenderedPageBreak/>
        <w:t>Nombre de demandes</w:t>
      </w:r>
      <w:r w:rsidR="0008030B" w:rsidRPr="00567D49">
        <w:rPr>
          <w:b/>
        </w:rPr>
        <w:t xml:space="preserve"> </w:t>
      </w:r>
      <w:r w:rsidRPr="00567D49">
        <w:rPr>
          <w:b/>
        </w:rPr>
        <w:t xml:space="preserve">de catégorie I et II (Eurocontrol, à partir de la </w:t>
      </w:r>
      <w:r w:rsidR="00213E25">
        <w:rPr>
          <w:b/>
        </w:rPr>
        <w:t>1</w:t>
      </w:r>
      <w:r w:rsidR="00213E25" w:rsidRPr="00213E25">
        <w:rPr>
          <w:b/>
          <w:vertAlign w:val="superscript"/>
        </w:rPr>
        <w:t>ère</w:t>
      </w:r>
      <w:r w:rsidR="00213E25">
        <w:rPr>
          <w:b/>
        </w:rPr>
        <w:t xml:space="preserve"> </w:t>
      </w:r>
      <w:r w:rsidRPr="00567D49">
        <w:rPr>
          <w:b/>
        </w:rPr>
        <w:t>primaire)</w:t>
      </w:r>
      <w:r w:rsidR="0008030B" w:rsidRPr="00567D49">
        <w:rPr>
          <w:b/>
        </w:rPr>
        <w:t xml:space="preserve">, par niveau d’études et par section </w:t>
      </w:r>
      <w:r w:rsidR="00FF306E" w:rsidRPr="00567D49">
        <w:rPr>
          <w:b/>
        </w:rPr>
        <w:t xml:space="preserve">linguistique, </w:t>
      </w:r>
      <w:r w:rsidRPr="00567D49">
        <w:rPr>
          <w:b/>
        </w:rPr>
        <w:t xml:space="preserve">reçues entre le </w:t>
      </w:r>
      <w:r w:rsidR="00683C5D" w:rsidRPr="00567D49">
        <w:rPr>
          <w:b/>
        </w:rPr>
        <w:t>1</w:t>
      </w:r>
      <w:r w:rsidR="002D6073">
        <w:rPr>
          <w:b/>
        </w:rPr>
        <w:t>2 février</w:t>
      </w:r>
      <w:r w:rsidR="00683C5D" w:rsidRPr="00567D49">
        <w:rPr>
          <w:b/>
        </w:rPr>
        <w:t xml:space="preserve"> et le </w:t>
      </w:r>
      <w:r w:rsidR="002D6073">
        <w:rPr>
          <w:b/>
        </w:rPr>
        <w:t xml:space="preserve">6 mars </w:t>
      </w:r>
      <w:r w:rsidR="00683C5D" w:rsidRPr="00567D49">
        <w:rPr>
          <w:b/>
        </w:rPr>
        <w:t>201</w:t>
      </w:r>
      <w:r w:rsidR="002D6073">
        <w:rPr>
          <w:b/>
        </w:rPr>
        <w:t>5</w:t>
      </w:r>
      <w:r w:rsidR="00683C5D" w:rsidRPr="00567D49">
        <w:rPr>
          <w:b/>
        </w:rPr>
        <w:t xml:space="preserve"> </w:t>
      </w:r>
      <w:r w:rsidRPr="00213E25">
        <w:rPr>
          <w:i/>
        </w:rPr>
        <w:t>(première phase d’inscription)</w:t>
      </w:r>
      <w:r w:rsidR="00213E25">
        <w:rPr>
          <w:b/>
        </w:rPr>
        <w:t xml:space="preserve">, </w:t>
      </w:r>
      <w:r w:rsidRPr="00567D49">
        <w:rPr>
          <w:b/>
        </w:rPr>
        <w:t>par école</w:t>
      </w:r>
    </w:p>
    <w:p w:rsidR="002D3C3B" w:rsidRPr="002D3C3B" w:rsidRDefault="002D3C3B" w:rsidP="002D3C3B">
      <w:pPr>
        <w:spacing w:before="0"/>
        <w:rPr>
          <w:b/>
          <w:sz w:val="16"/>
          <w:szCs w:val="16"/>
          <w:u w:val="single"/>
        </w:rPr>
      </w:pPr>
    </w:p>
    <w:p w:rsidR="002D3C3B" w:rsidRDefault="00EC37F9" w:rsidP="002D3C3B">
      <w:pPr>
        <w:spacing w:before="0"/>
        <w:rPr>
          <w:b/>
          <w:u w:val="single"/>
        </w:rPr>
      </w:pPr>
      <w:r>
        <w:rPr>
          <w:b/>
          <w:u w:val="single"/>
        </w:rPr>
        <w:t>Bruxelles I</w:t>
      </w:r>
    </w:p>
    <w:p w:rsidR="00885C81" w:rsidRDefault="002D6073" w:rsidP="002D3C3B">
      <w:pPr>
        <w:rPr>
          <w:b/>
          <w:u w:val="single"/>
        </w:rPr>
      </w:pPr>
      <w:r>
        <w:rPr>
          <w:noProof/>
          <w:lang w:val="fr-BE" w:eastAsia="fr-BE"/>
        </w:rPr>
        <w:drawing>
          <wp:inline distT="0" distB="0" distL="0" distR="0" wp14:anchorId="49B3F4A1" wp14:editId="37E24768">
            <wp:extent cx="4133850" cy="3555279"/>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133850" cy="3555279"/>
                    </a:xfrm>
                    <a:prstGeom prst="rect">
                      <a:avLst/>
                    </a:prstGeom>
                  </pic:spPr>
                </pic:pic>
              </a:graphicData>
            </a:graphic>
          </wp:inline>
        </w:drawing>
      </w:r>
    </w:p>
    <w:p w:rsidR="00683C5D" w:rsidRDefault="00683C5D" w:rsidP="002D3C3B">
      <w:pPr>
        <w:rPr>
          <w:b/>
          <w:u w:val="single"/>
        </w:rPr>
      </w:pPr>
    </w:p>
    <w:p w:rsidR="002D3C3B" w:rsidRDefault="002D3C3B" w:rsidP="002D3C3B">
      <w:pPr>
        <w:rPr>
          <w:b/>
          <w:u w:val="single"/>
        </w:rPr>
      </w:pPr>
      <w:r w:rsidRPr="00A8045D">
        <w:rPr>
          <w:b/>
          <w:u w:val="single"/>
        </w:rPr>
        <w:t xml:space="preserve">Bruxelles II </w:t>
      </w:r>
    </w:p>
    <w:p w:rsidR="00683C5D" w:rsidRDefault="002D6073" w:rsidP="00EA4025">
      <w:r>
        <w:rPr>
          <w:noProof/>
          <w:lang w:val="fr-BE" w:eastAsia="fr-BE"/>
        </w:rPr>
        <w:drawing>
          <wp:inline distT="0" distB="0" distL="0" distR="0" wp14:anchorId="7BCF05F7" wp14:editId="5024CB1E">
            <wp:extent cx="4412411" cy="35433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412970" cy="3543749"/>
                    </a:xfrm>
                    <a:prstGeom prst="rect">
                      <a:avLst/>
                    </a:prstGeom>
                  </pic:spPr>
                </pic:pic>
              </a:graphicData>
            </a:graphic>
          </wp:inline>
        </w:drawing>
      </w:r>
    </w:p>
    <w:p w:rsidR="005053E1" w:rsidRDefault="005053E1">
      <w:pPr>
        <w:spacing w:before="0" w:after="0"/>
        <w:jc w:val="left"/>
        <w:rPr>
          <w:b/>
          <w:u w:val="single"/>
        </w:rPr>
      </w:pPr>
      <w:r>
        <w:rPr>
          <w:b/>
          <w:u w:val="single"/>
        </w:rPr>
        <w:br w:type="page"/>
      </w:r>
    </w:p>
    <w:p w:rsidR="007D1EC2" w:rsidRDefault="00EC37F9" w:rsidP="007D1EC2">
      <w:pPr>
        <w:rPr>
          <w:b/>
          <w:u w:val="single"/>
        </w:rPr>
      </w:pPr>
      <w:r>
        <w:rPr>
          <w:b/>
          <w:u w:val="single"/>
        </w:rPr>
        <w:lastRenderedPageBreak/>
        <w:t xml:space="preserve">Bruxelles III </w:t>
      </w:r>
    </w:p>
    <w:p w:rsidR="00885C81" w:rsidRDefault="002D6073" w:rsidP="00EA4025">
      <w:pPr>
        <w:rPr>
          <w:b/>
        </w:rPr>
      </w:pPr>
      <w:r>
        <w:rPr>
          <w:noProof/>
          <w:lang w:val="fr-BE" w:eastAsia="fr-BE"/>
        </w:rPr>
        <w:drawing>
          <wp:inline distT="0" distB="0" distL="0" distR="0" wp14:anchorId="1520249C" wp14:editId="011DF2A6">
            <wp:extent cx="3724119" cy="3533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724119" cy="3533775"/>
                    </a:xfrm>
                    <a:prstGeom prst="rect">
                      <a:avLst/>
                    </a:prstGeom>
                  </pic:spPr>
                </pic:pic>
              </a:graphicData>
            </a:graphic>
          </wp:inline>
        </w:drawing>
      </w:r>
    </w:p>
    <w:p w:rsidR="00CD419C" w:rsidRDefault="00CD419C" w:rsidP="007D1EC2">
      <w:pPr>
        <w:rPr>
          <w:b/>
          <w:u w:val="single"/>
        </w:rPr>
      </w:pPr>
    </w:p>
    <w:p w:rsidR="007D1EC2" w:rsidRDefault="007D1EC2" w:rsidP="007D1EC2">
      <w:pPr>
        <w:rPr>
          <w:b/>
          <w:u w:val="single"/>
        </w:rPr>
      </w:pPr>
      <w:r>
        <w:rPr>
          <w:b/>
          <w:u w:val="single"/>
        </w:rPr>
        <w:t>Bruxelles IV</w:t>
      </w:r>
    </w:p>
    <w:p w:rsidR="00CC6CBE" w:rsidRPr="00CC6CBE" w:rsidRDefault="00CC6CBE" w:rsidP="00CC6CBE">
      <w:pPr>
        <w:spacing w:before="0" w:after="0"/>
        <w:rPr>
          <w:b/>
          <w:sz w:val="16"/>
          <w:szCs w:val="16"/>
          <w:u w:val="single"/>
        </w:rPr>
      </w:pPr>
    </w:p>
    <w:p w:rsidR="00CD419C" w:rsidRPr="00987FB9" w:rsidRDefault="002D6073" w:rsidP="00EA4025">
      <w:pPr>
        <w:rPr>
          <w:b/>
        </w:rPr>
      </w:pPr>
      <w:r>
        <w:rPr>
          <w:noProof/>
          <w:lang w:val="fr-BE" w:eastAsia="fr-BE"/>
        </w:rPr>
        <w:drawing>
          <wp:inline distT="0" distB="0" distL="0" distR="0" wp14:anchorId="0C330038" wp14:editId="4C1CFE0D">
            <wp:extent cx="3683121" cy="34004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683121" cy="3400425"/>
                    </a:xfrm>
                    <a:prstGeom prst="rect">
                      <a:avLst/>
                    </a:prstGeom>
                  </pic:spPr>
                </pic:pic>
              </a:graphicData>
            </a:graphic>
          </wp:inline>
        </w:drawing>
      </w:r>
    </w:p>
    <w:sectPr w:rsidR="00CD419C" w:rsidRPr="00987FB9" w:rsidSect="00C01338">
      <w:headerReference w:type="default" r:id="rId17"/>
      <w:footerReference w:type="default" r:id="rId18"/>
      <w:footerReference w:type="first" r:id="rId19"/>
      <w:pgSz w:w="11906" w:h="16838"/>
      <w:pgMar w:top="680" w:right="1701" w:bottom="680" w:left="1134"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23D" w:rsidRDefault="00BA023D">
      <w:r>
        <w:separator/>
      </w:r>
    </w:p>
  </w:endnote>
  <w:endnote w:type="continuationSeparator" w:id="0">
    <w:p w:rsidR="00BA023D" w:rsidRDefault="00BA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ahoma"/>
    <w:panose1 w:val="00000000000000000000"/>
    <w:charset w:val="00"/>
    <w:family w:val="roman"/>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BoldMT-Identity-H">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D69" w:rsidRDefault="00812D69">
    <w:pPr>
      <w:pStyle w:val="Footer"/>
      <w:pBdr>
        <w:top w:val="single" w:sz="4" w:space="1" w:color="auto"/>
      </w:pBdr>
      <w:tabs>
        <w:tab w:val="left" w:pos="8364"/>
      </w:tabs>
      <w:ind w:right="-29"/>
    </w:pPr>
    <w:r>
      <w:t>2</w:t>
    </w:r>
    <w:r w:rsidR="005E2995">
      <w:t>015</w:t>
    </w:r>
    <w:r>
      <w:t>-03-D</w:t>
    </w:r>
    <w:r w:rsidR="00D6159A">
      <w:t>-</w:t>
    </w:r>
    <w:r w:rsidR="002D6073">
      <w:t>13</w:t>
    </w:r>
    <w:r>
      <w:t>-fr-1</w:t>
    </w:r>
    <w:r>
      <w:tab/>
    </w:r>
    <w:r>
      <w:rPr>
        <w:rStyle w:val="PageNumber"/>
      </w:rPr>
      <w:fldChar w:fldCharType="begin"/>
    </w:r>
    <w:r>
      <w:rPr>
        <w:rStyle w:val="PageNumber"/>
      </w:rPr>
      <w:instrText xml:space="preserve"> PAGE </w:instrText>
    </w:r>
    <w:r>
      <w:rPr>
        <w:rStyle w:val="PageNumber"/>
      </w:rPr>
      <w:fldChar w:fldCharType="separate"/>
    </w:r>
    <w:r w:rsidR="00E22E4A">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22E4A">
      <w:rPr>
        <w:rStyle w:val="PageNumber"/>
        <w:noProof/>
      </w:rPr>
      <w:t>7</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D69" w:rsidRPr="008E3B7D" w:rsidRDefault="00812D69">
    <w:pPr>
      <w:pStyle w:val="Footer"/>
      <w:pBdr>
        <w:top w:val="single" w:sz="4" w:space="1" w:color="auto"/>
      </w:pBdr>
      <w:tabs>
        <w:tab w:val="center" w:pos="4253"/>
        <w:tab w:val="left" w:pos="8222"/>
      </w:tabs>
      <w:ind w:right="-29"/>
      <w:rPr>
        <w:rStyle w:val="PageNumber"/>
        <w:lang w:val="en-GB"/>
      </w:rPr>
    </w:pPr>
    <w:r w:rsidRPr="008E3B7D">
      <w:rPr>
        <w:lang w:val="en-GB"/>
      </w:rPr>
      <w:tab/>
    </w:r>
    <w:r w:rsidRPr="008E3B7D">
      <w:rPr>
        <w:lang w:val="en-GB"/>
      </w:rPr>
      <w:tab/>
    </w:r>
    <w:r w:rsidRPr="008E3B7D">
      <w:rPr>
        <w:rStyle w:val="PageNumber"/>
        <w:lang w:val="en-GB"/>
      </w:rPr>
      <w:fldChar w:fldCharType="begin"/>
    </w:r>
    <w:r w:rsidRPr="008E3B7D">
      <w:rPr>
        <w:rStyle w:val="PageNumber"/>
        <w:lang w:val="en-GB"/>
      </w:rPr>
      <w:instrText xml:space="preserve"> PAGE </w:instrText>
    </w:r>
    <w:r w:rsidRPr="008E3B7D">
      <w:rPr>
        <w:rStyle w:val="PageNumber"/>
        <w:lang w:val="en-GB"/>
      </w:rPr>
      <w:fldChar w:fldCharType="separate"/>
    </w:r>
    <w:r w:rsidR="00E22E4A">
      <w:rPr>
        <w:rStyle w:val="PageNumber"/>
        <w:noProof/>
        <w:lang w:val="en-GB"/>
      </w:rPr>
      <w:t>1</w:t>
    </w:r>
    <w:r w:rsidRPr="008E3B7D">
      <w:rPr>
        <w:rStyle w:val="PageNumber"/>
        <w:lang w:val="en-GB"/>
      </w:rPr>
      <w:fldChar w:fldCharType="end"/>
    </w:r>
    <w:r w:rsidRPr="008E3B7D">
      <w:rPr>
        <w:rStyle w:val="PageNumber"/>
        <w:lang w:val="en-GB"/>
      </w:rPr>
      <w:t>/</w:t>
    </w:r>
    <w:r w:rsidRPr="008E3B7D">
      <w:rPr>
        <w:rStyle w:val="PageNumber"/>
        <w:lang w:val="en-GB"/>
      </w:rPr>
      <w:fldChar w:fldCharType="begin"/>
    </w:r>
    <w:r w:rsidRPr="008E3B7D">
      <w:rPr>
        <w:rStyle w:val="PageNumber"/>
        <w:lang w:val="en-GB"/>
      </w:rPr>
      <w:instrText xml:space="preserve"> NUMPAGES </w:instrText>
    </w:r>
    <w:r w:rsidRPr="008E3B7D">
      <w:rPr>
        <w:rStyle w:val="PageNumber"/>
        <w:lang w:val="en-GB"/>
      </w:rPr>
      <w:fldChar w:fldCharType="separate"/>
    </w:r>
    <w:r w:rsidR="00E22E4A">
      <w:rPr>
        <w:rStyle w:val="PageNumber"/>
        <w:noProof/>
        <w:lang w:val="en-GB"/>
      </w:rPr>
      <w:t>1</w:t>
    </w:r>
    <w:r w:rsidRPr="008E3B7D">
      <w:rPr>
        <w:rStyle w:val="PageNumber"/>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23D" w:rsidRDefault="00BA023D">
      <w:r>
        <w:separator/>
      </w:r>
    </w:p>
  </w:footnote>
  <w:footnote w:type="continuationSeparator" w:id="0">
    <w:p w:rsidR="00BA023D" w:rsidRDefault="00BA023D">
      <w:r>
        <w:continuationSeparator/>
      </w:r>
    </w:p>
  </w:footnote>
  <w:footnote w:id="1">
    <w:p w:rsidR="00BA5E76" w:rsidRPr="00BA5E76" w:rsidRDefault="00BA5E76">
      <w:pPr>
        <w:pStyle w:val="FootnoteText"/>
        <w:rPr>
          <w:lang w:val="fr-BE"/>
        </w:rPr>
      </w:pPr>
      <w:r>
        <w:rPr>
          <w:rStyle w:val="FootnoteReference"/>
        </w:rPr>
        <w:footnoteRef/>
      </w:r>
      <w:r>
        <w:t xml:space="preserve"> </w:t>
      </w:r>
      <w:proofErr w:type="gramStart"/>
      <w:r w:rsidR="00313002">
        <w:t>p</w:t>
      </w:r>
      <w:r w:rsidR="00F438F9">
        <w:t>ar</w:t>
      </w:r>
      <w:proofErr w:type="gramEnd"/>
      <w:r w:rsidR="00F438F9">
        <w:t xml:space="preserve"> </w:t>
      </w:r>
      <w:r w:rsidRPr="00BA5E76">
        <w:t xml:space="preserve">procédure écrite achevée le </w:t>
      </w:r>
      <w:r w:rsidR="004A1DDA">
        <w:t>19</w:t>
      </w:r>
      <w:r w:rsidRPr="00BA5E76">
        <w:t xml:space="preserve"> décembre 2014</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D69" w:rsidRDefault="00812D69">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9B77CC"/>
    <w:multiLevelType w:val="hybridMultilevel"/>
    <w:tmpl w:val="1CB6F670"/>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2"/>
      <w:lvlText w:val="–"/>
      <w:lvlJc w:val="left"/>
      <w:pPr>
        <w:tabs>
          <w:tab w:val="num" w:pos="4042"/>
        </w:tabs>
        <w:ind w:left="4042" w:hanging="709"/>
      </w:pPr>
      <w:rPr>
        <w:rFonts w:ascii="Times New Roman" w:hAnsi="Times New Roman"/>
      </w:rPr>
    </w:lvl>
    <w:lvl w:ilvl="3">
      <w:start w:val="1"/>
      <w:numFmt w:val="bullet"/>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90F23C6"/>
    <w:multiLevelType w:val="hybridMultilevel"/>
    <w:tmpl w:val="A364B8B6"/>
    <w:lvl w:ilvl="0" w:tplc="4BCAF94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042CB5"/>
    <w:multiLevelType w:val="hybridMultilevel"/>
    <w:tmpl w:val="96FEF6B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1521813"/>
    <w:multiLevelType w:val="hybridMultilevel"/>
    <w:tmpl w:val="34D05E44"/>
    <w:lvl w:ilvl="0" w:tplc="116472C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0">
    <w:nsid w:val="12D248F2"/>
    <w:multiLevelType w:val="hybridMultilevel"/>
    <w:tmpl w:val="23F867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2">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nsid w:val="26FE0FE8"/>
    <w:multiLevelType w:val="hybridMultilevel"/>
    <w:tmpl w:val="79226DDE"/>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279250AA"/>
    <w:multiLevelType w:val="hybridMultilevel"/>
    <w:tmpl w:val="B928AE3C"/>
    <w:lvl w:ilvl="0" w:tplc="A5C2AC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86D6380"/>
    <w:multiLevelType w:val="hybridMultilevel"/>
    <w:tmpl w:val="F320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A123BE"/>
    <w:multiLevelType w:val="hybridMultilevel"/>
    <w:tmpl w:val="9B8A7BD8"/>
    <w:lvl w:ilvl="0" w:tplc="DE1C87F8">
      <w:start w:val="2"/>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9">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2"/>
      <w:lvlText w:val="–"/>
      <w:lvlJc w:val="left"/>
      <w:pPr>
        <w:tabs>
          <w:tab w:val="num" w:pos="3203"/>
        </w:tabs>
        <w:ind w:left="3203" w:hanging="709"/>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2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2"/>
      <w:lvlText w:val="–"/>
      <w:lvlJc w:val="left"/>
      <w:pPr>
        <w:tabs>
          <w:tab w:val="num" w:pos="5006"/>
        </w:tabs>
        <w:ind w:left="5006" w:hanging="709"/>
      </w:pPr>
      <w:rPr>
        <w:rFonts w:ascii="Times New Roman" w:hAnsi="Times New Roman"/>
      </w:rPr>
    </w:lvl>
    <w:lvl w:ilvl="3">
      <w:start w:val="1"/>
      <w:numFmt w:val="bullet"/>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BB24164"/>
    <w:multiLevelType w:val="hybridMultilevel"/>
    <w:tmpl w:val="EDE627E6"/>
    <w:lvl w:ilvl="0" w:tplc="7354F5F8">
      <w:start w:val="2007"/>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nsid w:val="4CA6531E"/>
    <w:multiLevelType w:val="hybridMultilevel"/>
    <w:tmpl w:val="83CCC33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4DC3198"/>
    <w:multiLevelType w:val="hybridMultilevel"/>
    <w:tmpl w:val="F2347700"/>
    <w:lvl w:ilvl="0" w:tplc="BF70E16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033EEB"/>
    <w:multiLevelType w:val="multilevel"/>
    <w:tmpl w:val="073A78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8D35E84"/>
    <w:multiLevelType w:val="hybridMultilevel"/>
    <w:tmpl w:val="6A944F8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34">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5">
    <w:nsid w:val="7B3A2019"/>
    <w:multiLevelType w:val="hybridMultilevel"/>
    <w:tmpl w:val="A71ED268"/>
    <w:lvl w:ilvl="0" w:tplc="99748B68">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7FBA676F"/>
    <w:multiLevelType w:val="hybridMultilevel"/>
    <w:tmpl w:val="856E708A"/>
    <w:lvl w:ilvl="0" w:tplc="EA1CCDA4">
      <w:start w:val="1"/>
      <w:numFmt w:val="lowerRoman"/>
      <w:lvlText w:val="%1."/>
      <w:lvlJc w:val="left"/>
      <w:pPr>
        <w:tabs>
          <w:tab w:val="num" w:pos="1500"/>
        </w:tabs>
        <w:ind w:left="1500" w:hanging="72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1"/>
  </w:num>
  <w:num w:numId="2">
    <w:abstractNumId w:val="0"/>
  </w:num>
  <w:num w:numId="3">
    <w:abstractNumId w:val="18"/>
  </w:num>
  <w:num w:numId="4">
    <w:abstractNumId w:val="11"/>
  </w:num>
  <w:num w:numId="5">
    <w:abstractNumId w:val="9"/>
  </w:num>
  <w:num w:numId="6">
    <w:abstractNumId w:val="30"/>
  </w:num>
  <w:num w:numId="7">
    <w:abstractNumId w:val="32"/>
  </w:num>
  <w:num w:numId="8">
    <w:abstractNumId w:val="31"/>
  </w:num>
  <w:num w:numId="9">
    <w:abstractNumId w:val="34"/>
  </w:num>
  <w:num w:numId="10">
    <w:abstractNumId w:val="13"/>
  </w:num>
  <w:num w:numId="11">
    <w:abstractNumId w:val="19"/>
  </w:num>
  <w:num w:numId="12">
    <w:abstractNumId w:val="21"/>
  </w:num>
  <w:num w:numId="13">
    <w:abstractNumId w:val="20"/>
  </w:num>
  <w:num w:numId="14">
    <w:abstractNumId w:val="5"/>
  </w:num>
  <w:num w:numId="15">
    <w:abstractNumId w:val="23"/>
  </w:num>
  <w:num w:numId="16">
    <w:abstractNumId w:val="22"/>
  </w:num>
  <w:num w:numId="17">
    <w:abstractNumId w:val="12"/>
  </w:num>
  <w:num w:numId="18">
    <w:abstractNumId w:val="3"/>
  </w:num>
  <w:num w:numId="19">
    <w:abstractNumId w:val="2"/>
  </w:num>
  <w:num w:numId="20">
    <w:abstractNumId w:val="29"/>
  </w:num>
  <w:num w:numId="21">
    <w:abstractNumId w:val="33"/>
  </w:num>
  <w:num w:numId="22">
    <w:abstractNumId w:val="28"/>
  </w:num>
  <w:num w:numId="23">
    <w:abstractNumId w:val="36"/>
  </w:num>
  <w:num w:numId="24">
    <w:abstractNumId w:val="8"/>
  </w:num>
  <w:num w:numId="25">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4"/>
  </w:num>
  <w:num w:numId="28">
    <w:abstractNumId w:val="25"/>
  </w:num>
  <w:num w:numId="29">
    <w:abstractNumId w:val="7"/>
  </w:num>
  <w:num w:numId="30">
    <w:abstractNumId w:val="4"/>
  </w:num>
  <w:num w:numId="31">
    <w:abstractNumId w:val="35"/>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6"/>
  </w:num>
  <w:num w:numId="35">
    <w:abstractNumId w:val="15"/>
  </w:num>
  <w:num w:numId="36">
    <w:abstractNumId w:val="27"/>
  </w:num>
  <w:num w:numId="37">
    <w:abstractNumId w:val="10"/>
  </w:num>
  <w:num w:numId="38">
    <w:abstractNumId w:val="26"/>
  </w:num>
  <w:num w:numId="39">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F6"/>
    <w:rsid w:val="00000053"/>
    <w:rsid w:val="00005771"/>
    <w:rsid w:val="00010421"/>
    <w:rsid w:val="00013B94"/>
    <w:rsid w:val="00014435"/>
    <w:rsid w:val="000157AF"/>
    <w:rsid w:val="000158FF"/>
    <w:rsid w:val="00020D25"/>
    <w:rsid w:val="00020FFC"/>
    <w:rsid w:val="00025289"/>
    <w:rsid w:val="00027098"/>
    <w:rsid w:val="000351A2"/>
    <w:rsid w:val="00035365"/>
    <w:rsid w:val="00042C69"/>
    <w:rsid w:val="00044A56"/>
    <w:rsid w:val="000450F4"/>
    <w:rsid w:val="00045319"/>
    <w:rsid w:val="00051224"/>
    <w:rsid w:val="00054281"/>
    <w:rsid w:val="000609D5"/>
    <w:rsid w:val="00061B2E"/>
    <w:rsid w:val="000640DF"/>
    <w:rsid w:val="00066FCD"/>
    <w:rsid w:val="0008030B"/>
    <w:rsid w:val="00090323"/>
    <w:rsid w:val="00090BEF"/>
    <w:rsid w:val="00091DAE"/>
    <w:rsid w:val="00097961"/>
    <w:rsid w:val="000A4C09"/>
    <w:rsid w:val="000B438D"/>
    <w:rsid w:val="000B77B7"/>
    <w:rsid w:val="000B7DE0"/>
    <w:rsid w:val="000C283B"/>
    <w:rsid w:val="000D1EA8"/>
    <w:rsid w:val="000D474D"/>
    <w:rsid w:val="000D7434"/>
    <w:rsid w:val="000E0C27"/>
    <w:rsid w:val="000E3577"/>
    <w:rsid w:val="000E3A09"/>
    <w:rsid w:val="000E4600"/>
    <w:rsid w:val="000E6A54"/>
    <w:rsid w:val="000E7105"/>
    <w:rsid w:val="000F053F"/>
    <w:rsid w:val="000F4F21"/>
    <w:rsid w:val="00100C02"/>
    <w:rsid w:val="00102A57"/>
    <w:rsid w:val="00104882"/>
    <w:rsid w:val="00107990"/>
    <w:rsid w:val="001100A9"/>
    <w:rsid w:val="00116F87"/>
    <w:rsid w:val="00121FA0"/>
    <w:rsid w:val="00130F5C"/>
    <w:rsid w:val="001315C2"/>
    <w:rsid w:val="00132A4D"/>
    <w:rsid w:val="00141163"/>
    <w:rsid w:val="00145D7F"/>
    <w:rsid w:val="00146402"/>
    <w:rsid w:val="0015227C"/>
    <w:rsid w:val="0016194F"/>
    <w:rsid w:val="00161A36"/>
    <w:rsid w:val="00164449"/>
    <w:rsid w:val="001650F2"/>
    <w:rsid w:val="0017790E"/>
    <w:rsid w:val="0018223C"/>
    <w:rsid w:val="00182D38"/>
    <w:rsid w:val="00191E47"/>
    <w:rsid w:val="00197A61"/>
    <w:rsid w:val="00197C36"/>
    <w:rsid w:val="001A1E63"/>
    <w:rsid w:val="001A5459"/>
    <w:rsid w:val="001B3FCB"/>
    <w:rsid w:val="001C13A6"/>
    <w:rsid w:val="001C5F47"/>
    <w:rsid w:val="001C68CC"/>
    <w:rsid w:val="001D797B"/>
    <w:rsid w:val="001E09B2"/>
    <w:rsid w:val="001E4547"/>
    <w:rsid w:val="001F2CCD"/>
    <w:rsid w:val="001F365F"/>
    <w:rsid w:val="001F3B00"/>
    <w:rsid w:val="00211B59"/>
    <w:rsid w:val="00211E74"/>
    <w:rsid w:val="00213E25"/>
    <w:rsid w:val="002162DB"/>
    <w:rsid w:val="00225A63"/>
    <w:rsid w:val="00225D67"/>
    <w:rsid w:val="00234262"/>
    <w:rsid w:val="0023781A"/>
    <w:rsid w:val="0024188C"/>
    <w:rsid w:val="00242B27"/>
    <w:rsid w:val="0025094B"/>
    <w:rsid w:val="00251FEF"/>
    <w:rsid w:val="0025346A"/>
    <w:rsid w:val="002677ED"/>
    <w:rsid w:val="00276436"/>
    <w:rsid w:val="00283438"/>
    <w:rsid w:val="002856A4"/>
    <w:rsid w:val="00285838"/>
    <w:rsid w:val="00286840"/>
    <w:rsid w:val="00287FAA"/>
    <w:rsid w:val="00290773"/>
    <w:rsid w:val="00291E05"/>
    <w:rsid w:val="00292256"/>
    <w:rsid w:val="00292421"/>
    <w:rsid w:val="00295E0A"/>
    <w:rsid w:val="0029799D"/>
    <w:rsid w:val="002A28BD"/>
    <w:rsid w:val="002A4601"/>
    <w:rsid w:val="002B1F16"/>
    <w:rsid w:val="002B31B6"/>
    <w:rsid w:val="002B3711"/>
    <w:rsid w:val="002B3A55"/>
    <w:rsid w:val="002B7B3C"/>
    <w:rsid w:val="002B7B45"/>
    <w:rsid w:val="002B7CDE"/>
    <w:rsid w:val="002C46DD"/>
    <w:rsid w:val="002D1028"/>
    <w:rsid w:val="002D2253"/>
    <w:rsid w:val="002D3C3B"/>
    <w:rsid w:val="002D6073"/>
    <w:rsid w:val="002D762B"/>
    <w:rsid w:val="002E0DF8"/>
    <w:rsid w:val="002E477A"/>
    <w:rsid w:val="002E6629"/>
    <w:rsid w:val="002F2013"/>
    <w:rsid w:val="002F30EC"/>
    <w:rsid w:val="00303F63"/>
    <w:rsid w:val="0030736D"/>
    <w:rsid w:val="00313002"/>
    <w:rsid w:val="003140DE"/>
    <w:rsid w:val="00315095"/>
    <w:rsid w:val="00320B42"/>
    <w:rsid w:val="003221C6"/>
    <w:rsid w:val="003224A2"/>
    <w:rsid w:val="0032381A"/>
    <w:rsid w:val="00335F17"/>
    <w:rsid w:val="00340764"/>
    <w:rsid w:val="003411F1"/>
    <w:rsid w:val="00341273"/>
    <w:rsid w:val="003426D7"/>
    <w:rsid w:val="00344187"/>
    <w:rsid w:val="0034568C"/>
    <w:rsid w:val="003540F0"/>
    <w:rsid w:val="003541B8"/>
    <w:rsid w:val="00360855"/>
    <w:rsid w:val="0036651D"/>
    <w:rsid w:val="00366C54"/>
    <w:rsid w:val="00371A39"/>
    <w:rsid w:val="003753A3"/>
    <w:rsid w:val="00384C8D"/>
    <w:rsid w:val="00386B7E"/>
    <w:rsid w:val="003940AB"/>
    <w:rsid w:val="00395EA7"/>
    <w:rsid w:val="003A5A06"/>
    <w:rsid w:val="003B0DFB"/>
    <w:rsid w:val="003B1737"/>
    <w:rsid w:val="003B35D6"/>
    <w:rsid w:val="003C16E9"/>
    <w:rsid w:val="003C4B35"/>
    <w:rsid w:val="003C4D0C"/>
    <w:rsid w:val="003D31A1"/>
    <w:rsid w:val="003D5262"/>
    <w:rsid w:val="003D61AA"/>
    <w:rsid w:val="003D78CD"/>
    <w:rsid w:val="003F43AB"/>
    <w:rsid w:val="003F477E"/>
    <w:rsid w:val="00401B1F"/>
    <w:rsid w:val="004110B1"/>
    <w:rsid w:val="0041232B"/>
    <w:rsid w:val="00414F62"/>
    <w:rsid w:val="00417FFE"/>
    <w:rsid w:val="004232BB"/>
    <w:rsid w:val="00423320"/>
    <w:rsid w:val="0042636B"/>
    <w:rsid w:val="00426794"/>
    <w:rsid w:val="0042770E"/>
    <w:rsid w:val="0043084F"/>
    <w:rsid w:val="0043142E"/>
    <w:rsid w:val="004336AD"/>
    <w:rsid w:val="00434535"/>
    <w:rsid w:val="00442FFF"/>
    <w:rsid w:val="00443FAC"/>
    <w:rsid w:val="004442CD"/>
    <w:rsid w:val="0044451B"/>
    <w:rsid w:val="00446A61"/>
    <w:rsid w:val="00446E17"/>
    <w:rsid w:val="00452E5E"/>
    <w:rsid w:val="004603D2"/>
    <w:rsid w:val="004604FC"/>
    <w:rsid w:val="0046373B"/>
    <w:rsid w:val="004651EC"/>
    <w:rsid w:val="00466A09"/>
    <w:rsid w:val="00467D8C"/>
    <w:rsid w:val="004710DD"/>
    <w:rsid w:val="004740BB"/>
    <w:rsid w:val="004764C6"/>
    <w:rsid w:val="00476C72"/>
    <w:rsid w:val="004814F6"/>
    <w:rsid w:val="00487D38"/>
    <w:rsid w:val="00497AA8"/>
    <w:rsid w:val="004A15CD"/>
    <w:rsid w:val="004A1DDA"/>
    <w:rsid w:val="004A45D5"/>
    <w:rsid w:val="004B3525"/>
    <w:rsid w:val="004C43F8"/>
    <w:rsid w:val="004D0581"/>
    <w:rsid w:val="004D2487"/>
    <w:rsid w:val="004D31ED"/>
    <w:rsid w:val="004E218F"/>
    <w:rsid w:val="004E5A95"/>
    <w:rsid w:val="004F240A"/>
    <w:rsid w:val="004F494B"/>
    <w:rsid w:val="004F4E00"/>
    <w:rsid w:val="004F63BB"/>
    <w:rsid w:val="00501692"/>
    <w:rsid w:val="00502E48"/>
    <w:rsid w:val="00503CDF"/>
    <w:rsid w:val="00503F56"/>
    <w:rsid w:val="005053E1"/>
    <w:rsid w:val="00505543"/>
    <w:rsid w:val="005067DC"/>
    <w:rsid w:val="005100A9"/>
    <w:rsid w:val="0051104B"/>
    <w:rsid w:val="00511FB3"/>
    <w:rsid w:val="0051403D"/>
    <w:rsid w:val="00514D0B"/>
    <w:rsid w:val="00520E45"/>
    <w:rsid w:val="00521C83"/>
    <w:rsid w:val="00530FE5"/>
    <w:rsid w:val="005314DD"/>
    <w:rsid w:val="005339ED"/>
    <w:rsid w:val="0053432B"/>
    <w:rsid w:val="005377D4"/>
    <w:rsid w:val="00541E9C"/>
    <w:rsid w:val="00543588"/>
    <w:rsid w:val="0054667F"/>
    <w:rsid w:val="0055154E"/>
    <w:rsid w:val="005518CE"/>
    <w:rsid w:val="00551935"/>
    <w:rsid w:val="0055327D"/>
    <w:rsid w:val="00555487"/>
    <w:rsid w:val="00557C38"/>
    <w:rsid w:val="00563253"/>
    <w:rsid w:val="00565C12"/>
    <w:rsid w:val="005673D5"/>
    <w:rsid w:val="00567542"/>
    <w:rsid w:val="00567D49"/>
    <w:rsid w:val="00572541"/>
    <w:rsid w:val="005725FF"/>
    <w:rsid w:val="00575BA0"/>
    <w:rsid w:val="00580C5B"/>
    <w:rsid w:val="00581913"/>
    <w:rsid w:val="00582169"/>
    <w:rsid w:val="00583452"/>
    <w:rsid w:val="00592430"/>
    <w:rsid w:val="005934A6"/>
    <w:rsid w:val="005942A1"/>
    <w:rsid w:val="00595977"/>
    <w:rsid w:val="005B0E65"/>
    <w:rsid w:val="005B1491"/>
    <w:rsid w:val="005B1708"/>
    <w:rsid w:val="005B275E"/>
    <w:rsid w:val="005B36FC"/>
    <w:rsid w:val="005B4840"/>
    <w:rsid w:val="005C022B"/>
    <w:rsid w:val="005C0ACF"/>
    <w:rsid w:val="005C51CD"/>
    <w:rsid w:val="005C73DA"/>
    <w:rsid w:val="005C7F07"/>
    <w:rsid w:val="005D07FE"/>
    <w:rsid w:val="005D5453"/>
    <w:rsid w:val="005D5693"/>
    <w:rsid w:val="005E2995"/>
    <w:rsid w:val="005E42B3"/>
    <w:rsid w:val="005E582E"/>
    <w:rsid w:val="005F216F"/>
    <w:rsid w:val="005F5D83"/>
    <w:rsid w:val="005F6007"/>
    <w:rsid w:val="005F68FD"/>
    <w:rsid w:val="00601332"/>
    <w:rsid w:val="00602512"/>
    <w:rsid w:val="00611D8E"/>
    <w:rsid w:val="00627307"/>
    <w:rsid w:val="0063288C"/>
    <w:rsid w:val="00635329"/>
    <w:rsid w:val="00636893"/>
    <w:rsid w:val="00636B04"/>
    <w:rsid w:val="006415B3"/>
    <w:rsid w:val="006426F3"/>
    <w:rsid w:val="0064329F"/>
    <w:rsid w:val="00651BC3"/>
    <w:rsid w:val="00653632"/>
    <w:rsid w:val="00664AE3"/>
    <w:rsid w:val="00667032"/>
    <w:rsid w:val="00673EE8"/>
    <w:rsid w:val="00676550"/>
    <w:rsid w:val="00680CEF"/>
    <w:rsid w:val="00682397"/>
    <w:rsid w:val="00683500"/>
    <w:rsid w:val="00683C5D"/>
    <w:rsid w:val="00685CD9"/>
    <w:rsid w:val="006863BC"/>
    <w:rsid w:val="006866EB"/>
    <w:rsid w:val="0068737D"/>
    <w:rsid w:val="00691CC8"/>
    <w:rsid w:val="00697B98"/>
    <w:rsid w:val="006A1539"/>
    <w:rsid w:val="006A23F5"/>
    <w:rsid w:val="006A4CD7"/>
    <w:rsid w:val="006A5450"/>
    <w:rsid w:val="006A679E"/>
    <w:rsid w:val="006B0D2F"/>
    <w:rsid w:val="006B1390"/>
    <w:rsid w:val="006B1622"/>
    <w:rsid w:val="006B28DC"/>
    <w:rsid w:val="006B2F7D"/>
    <w:rsid w:val="006B33E1"/>
    <w:rsid w:val="006B3510"/>
    <w:rsid w:val="006B4E0B"/>
    <w:rsid w:val="006C579B"/>
    <w:rsid w:val="006D0B06"/>
    <w:rsid w:val="006D38D5"/>
    <w:rsid w:val="006D4828"/>
    <w:rsid w:val="006E6DC2"/>
    <w:rsid w:val="006F0B9A"/>
    <w:rsid w:val="006F197A"/>
    <w:rsid w:val="006F3796"/>
    <w:rsid w:val="0070659C"/>
    <w:rsid w:val="00713D4E"/>
    <w:rsid w:val="007206DF"/>
    <w:rsid w:val="00722BC3"/>
    <w:rsid w:val="00726FFA"/>
    <w:rsid w:val="00730B74"/>
    <w:rsid w:val="00731E26"/>
    <w:rsid w:val="007320CF"/>
    <w:rsid w:val="00740B66"/>
    <w:rsid w:val="007434E5"/>
    <w:rsid w:val="007446D7"/>
    <w:rsid w:val="00746054"/>
    <w:rsid w:val="0074631B"/>
    <w:rsid w:val="00746ECE"/>
    <w:rsid w:val="00747160"/>
    <w:rsid w:val="007500A1"/>
    <w:rsid w:val="00750C0F"/>
    <w:rsid w:val="00753C8B"/>
    <w:rsid w:val="007550A6"/>
    <w:rsid w:val="007628B0"/>
    <w:rsid w:val="00765073"/>
    <w:rsid w:val="00775C1B"/>
    <w:rsid w:val="00776AD5"/>
    <w:rsid w:val="00782B9D"/>
    <w:rsid w:val="00785384"/>
    <w:rsid w:val="0078595A"/>
    <w:rsid w:val="007918E5"/>
    <w:rsid w:val="007920AD"/>
    <w:rsid w:val="007A22AF"/>
    <w:rsid w:val="007A4B16"/>
    <w:rsid w:val="007B55DF"/>
    <w:rsid w:val="007B5C0D"/>
    <w:rsid w:val="007B652B"/>
    <w:rsid w:val="007B6853"/>
    <w:rsid w:val="007C3BF4"/>
    <w:rsid w:val="007C4BB3"/>
    <w:rsid w:val="007C5450"/>
    <w:rsid w:val="007C5608"/>
    <w:rsid w:val="007D1BCB"/>
    <w:rsid w:val="007D1EC2"/>
    <w:rsid w:val="007E1357"/>
    <w:rsid w:val="007E2006"/>
    <w:rsid w:val="007E59AB"/>
    <w:rsid w:val="007E5E02"/>
    <w:rsid w:val="007F3968"/>
    <w:rsid w:val="007F46A9"/>
    <w:rsid w:val="007F5783"/>
    <w:rsid w:val="007F7181"/>
    <w:rsid w:val="00801895"/>
    <w:rsid w:val="008048F2"/>
    <w:rsid w:val="00810BFF"/>
    <w:rsid w:val="00812D69"/>
    <w:rsid w:val="00813658"/>
    <w:rsid w:val="00813A75"/>
    <w:rsid w:val="008145F9"/>
    <w:rsid w:val="00817F24"/>
    <w:rsid w:val="0082331D"/>
    <w:rsid w:val="00825F7D"/>
    <w:rsid w:val="008268B8"/>
    <w:rsid w:val="008309A9"/>
    <w:rsid w:val="008311F1"/>
    <w:rsid w:val="00831326"/>
    <w:rsid w:val="00834CB2"/>
    <w:rsid w:val="00835D45"/>
    <w:rsid w:val="00843E0C"/>
    <w:rsid w:val="008459FE"/>
    <w:rsid w:val="00845BAC"/>
    <w:rsid w:val="00846503"/>
    <w:rsid w:val="00846996"/>
    <w:rsid w:val="008539E6"/>
    <w:rsid w:val="0086064B"/>
    <w:rsid w:val="0086193D"/>
    <w:rsid w:val="00865C1D"/>
    <w:rsid w:val="00872265"/>
    <w:rsid w:val="008732A6"/>
    <w:rsid w:val="00885C81"/>
    <w:rsid w:val="0089121E"/>
    <w:rsid w:val="00891497"/>
    <w:rsid w:val="00891A3F"/>
    <w:rsid w:val="0089347F"/>
    <w:rsid w:val="008937F7"/>
    <w:rsid w:val="008A6781"/>
    <w:rsid w:val="008B4ED4"/>
    <w:rsid w:val="008B5D34"/>
    <w:rsid w:val="008C4BFE"/>
    <w:rsid w:val="008D79CC"/>
    <w:rsid w:val="008E113E"/>
    <w:rsid w:val="008E1874"/>
    <w:rsid w:val="008E3B7D"/>
    <w:rsid w:val="008E5761"/>
    <w:rsid w:val="008F04B2"/>
    <w:rsid w:val="008F3996"/>
    <w:rsid w:val="008F4A45"/>
    <w:rsid w:val="00901E78"/>
    <w:rsid w:val="009030CD"/>
    <w:rsid w:val="00906627"/>
    <w:rsid w:val="00910792"/>
    <w:rsid w:val="00912F15"/>
    <w:rsid w:val="009130C5"/>
    <w:rsid w:val="009138A3"/>
    <w:rsid w:val="00915628"/>
    <w:rsid w:val="00916606"/>
    <w:rsid w:val="00916F30"/>
    <w:rsid w:val="00923281"/>
    <w:rsid w:val="009254C4"/>
    <w:rsid w:val="009262FB"/>
    <w:rsid w:val="009339ED"/>
    <w:rsid w:val="0094332F"/>
    <w:rsid w:val="009437AD"/>
    <w:rsid w:val="009440EC"/>
    <w:rsid w:val="00945A97"/>
    <w:rsid w:val="00945B45"/>
    <w:rsid w:val="00954D05"/>
    <w:rsid w:val="009558E5"/>
    <w:rsid w:val="00955E4D"/>
    <w:rsid w:val="00960EE5"/>
    <w:rsid w:val="00961984"/>
    <w:rsid w:val="009619E8"/>
    <w:rsid w:val="00964E68"/>
    <w:rsid w:val="0096534A"/>
    <w:rsid w:val="00966FC8"/>
    <w:rsid w:val="00971849"/>
    <w:rsid w:val="00972310"/>
    <w:rsid w:val="00974AFB"/>
    <w:rsid w:val="009814FE"/>
    <w:rsid w:val="009825E6"/>
    <w:rsid w:val="0098559A"/>
    <w:rsid w:val="00987211"/>
    <w:rsid w:val="00987FB9"/>
    <w:rsid w:val="00995E04"/>
    <w:rsid w:val="00996106"/>
    <w:rsid w:val="00997446"/>
    <w:rsid w:val="009A046B"/>
    <w:rsid w:val="009A090B"/>
    <w:rsid w:val="009A09FB"/>
    <w:rsid w:val="009A0FCB"/>
    <w:rsid w:val="009A6F70"/>
    <w:rsid w:val="009A7794"/>
    <w:rsid w:val="009B1622"/>
    <w:rsid w:val="009B2F23"/>
    <w:rsid w:val="009B3566"/>
    <w:rsid w:val="009C110F"/>
    <w:rsid w:val="009C1221"/>
    <w:rsid w:val="009C1BD8"/>
    <w:rsid w:val="009E27FB"/>
    <w:rsid w:val="009E5E7D"/>
    <w:rsid w:val="009F5572"/>
    <w:rsid w:val="009F79BD"/>
    <w:rsid w:val="00A02F78"/>
    <w:rsid w:val="00A02FC8"/>
    <w:rsid w:val="00A10167"/>
    <w:rsid w:val="00A1255B"/>
    <w:rsid w:val="00A16E98"/>
    <w:rsid w:val="00A209A1"/>
    <w:rsid w:val="00A235F4"/>
    <w:rsid w:val="00A25398"/>
    <w:rsid w:val="00A43131"/>
    <w:rsid w:val="00A46E5B"/>
    <w:rsid w:val="00A50DEE"/>
    <w:rsid w:val="00A6084D"/>
    <w:rsid w:val="00A63060"/>
    <w:rsid w:val="00A65871"/>
    <w:rsid w:val="00A67E4B"/>
    <w:rsid w:val="00A7083D"/>
    <w:rsid w:val="00A709B9"/>
    <w:rsid w:val="00A72CAE"/>
    <w:rsid w:val="00A80328"/>
    <w:rsid w:val="00A8045D"/>
    <w:rsid w:val="00A8337B"/>
    <w:rsid w:val="00A91BD9"/>
    <w:rsid w:val="00A91CC1"/>
    <w:rsid w:val="00A9707C"/>
    <w:rsid w:val="00AA5766"/>
    <w:rsid w:val="00AA76EE"/>
    <w:rsid w:val="00AB7FBE"/>
    <w:rsid w:val="00AC17DA"/>
    <w:rsid w:val="00AC3C17"/>
    <w:rsid w:val="00AC6DCC"/>
    <w:rsid w:val="00AC7C09"/>
    <w:rsid w:val="00AD034A"/>
    <w:rsid w:val="00AD658D"/>
    <w:rsid w:val="00AD7D5A"/>
    <w:rsid w:val="00AE09D7"/>
    <w:rsid w:val="00AE641F"/>
    <w:rsid w:val="00AF3930"/>
    <w:rsid w:val="00AF3B64"/>
    <w:rsid w:val="00B01325"/>
    <w:rsid w:val="00B04A51"/>
    <w:rsid w:val="00B1100C"/>
    <w:rsid w:val="00B15220"/>
    <w:rsid w:val="00B2345A"/>
    <w:rsid w:val="00B333FE"/>
    <w:rsid w:val="00B351D2"/>
    <w:rsid w:val="00B4053D"/>
    <w:rsid w:val="00B43CB4"/>
    <w:rsid w:val="00B46028"/>
    <w:rsid w:val="00B51724"/>
    <w:rsid w:val="00B52868"/>
    <w:rsid w:val="00B55EB4"/>
    <w:rsid w:val="00B700AF"/>
    <w:rsid w:val="00B72630"/>
    <w:rsid w:val="00B75C09"/>
    <w:rsid w:val="00B76BBB"/>
    <w:rsid w:val="00B86CCB"/>
    <w:rsid w:val="00B932E7"/>
    <w:rsid w:val="00B96B9B"/>
    <w:rsid w:val="00B9708F"/>
    <w:rsid w:val="00BA023D"/>
    <w:rsid w:val="00BA1A5A"/>
    <w:rsid w:val="00BA5E76"/>
    <w:rsid w:val="00BB4BFB"/>
    <w:rsid w:val="00BC1849"/>
    <w:rsid w:val="00BC1FE1"/>
    <w:rsid w:val="00BC611A"/>
    <w:rsid w:val="00BC7E32"/>
    <w:rsid w:val="00BD1240"/>
    <w:rsid w:val="00BD1DEA"/>
    <w:rsid w:val="00BD2148"/>
    <w:rsid w:val="00BD5EE3"/>
    <w:rsid w:val="00BD726E"/>
    <w:rsid w:val="00BE147C"/>
    <w:rsid w:val="00BE15B0"/>
    <w:rsid w:val="00BE199F"/>
    <w:rsid w:val="00BE503A"/>
    <w:rsid w:val="00BF0AD6"/>
    <w:rsid w:val="00BF1636"/>
    <w:rsid w:val="00BF253C"/>
    <w:rsid w:val="00BF5036"/>
    <w:rsid w:val="00C01338"/>
    <w:rsid w:val="00C0300C"/>
    <w:rsid w:val="00C11569"/>
    <w:rsid w:val="00C12969"/>
    <w:rsid w:val="00C13120"/>
    <w:rsid w:val="00C141F8"/>
    <w:rsid w:val="00C15FBE"/>
    <w:rsid w:val="00C1637C"/>
    <w:rsid w:val="00C17066"/>
    <w:rsid w:val="00C210D3"/>
    <w:rsid w:val="00C227D9"/>
    <w:rsid w:val="00C32551"/>
    <w:rsid w:val="00C326EF"/>
    <w:rsid w:val="00C33B93"/>
    <w:rsid w:val="00C40AF8"/>
    <w:rsid w:val="00C40E7F"/>
    <w:rsid w:val="00C4399D"/>
    <w:rsid w:val="00C5686D"/>
    <w:rsid w:val="00C67AED"/>
    <w:rsid w:val="00C77DE1"/>
    <w:rsid w:val="00C820E1"/>
    <w:rsid w:val="00C87BAF"/>
    <w:rsid w:val="00C87F71"/>
    <w:rsid w:val="00C91AB7"/>
    <w:rsid w:val="00C91CA4"/>
    <w:rsid w:val="00C92441"/>
    <w:rsid w:val="00CA253C"/>
    <w:rsid w:val="00CB393C"/>
    <w:rsid w:val="00CB4BBA"/>
    <w:rsid w:val="00CC5003"/>
    <w:rsid w:val="00CC6CBE"/>
    <w:rsid w:val="00CD0E34"/>
    <w:rsid w:val="00CD122B"/>
    <w:rsid w:val="00CD419C"/>
    <w:rsid w:val="00CD53F3"/>
    <w:rsid w:val="00CD6109"/>
    <w:rsid w:val="00CE004A"/>
    <w:rsid w:val="00CF3C80"/>
    <w:rsid w:val="00CF4243"/>
    <w:rsid w:val="00CF578B"/>
    <w:rsid w:val="00D00CBA"/>
    <w:rsid w:val="00D03A9E"/>
    <w:rsid w:val="00D10A76"/>
    <w:rsid w:val="00D20649"/>
    <w:rsid w:val="00D232BF"/>
    <w:rsid w:val="00D23782"/>
    <w:rsid w:val="00D261D5"/>
    <w:rsid w:val="00D26876"/>
    <w:rsid w:val="00D2717A"/>
    <w:rsid w:val="00D30CA0"/>
    <w:rsid w:val="00D37F3B"/>
    <w:rsid w:val="00D430C7"/>
    <w:rsid w:val="00D46874"/>
    <w:rsid w:val="00D5002D"/>
    <w:rsid w:val="00D5285B"/>
    <w:rsid w:val="00D55AAC"/>
    <w:rsid w:val="00D5672E"/>
    <w:rsid w:val="00D6159A"/>
    <w:rsid w:val="00D70B19"/>
    <w:rsid w:val="00D71538"/>
    <w:rsid w:val="00D72C8F"/>
    <w:rsid w:val="00D76871"/>
    <w:rsid w:val="00D775E1"/>
    <w:rsid w:val="00D81AED"/>
    <w:rsid w:val="00D86BBD"/>
    <w:rsid w:val="00D91F25"/>
    <w:rsid w:val="00D928CC"/>
    <w:rsid w:val="00D9320D"/>
    <w:rsid w:val="00D94D18"/>
    <w:rsid w:val="00DA1CE2"/>
    <w:rsid w:val="00DA4180"/>
    <w:rsid w:val="00DA707D"/>
    <w:rsid w:val="00DA78BF"/>
    <w:rsid w:val="00DB23CB"/>
    <w:rsid w:val="00DB286C"/>
    <w:rsid w:val="00DB726D"/>
    <w:rsid w:val="00DC15BC"/>
    <w:rsid w:val="00DC5E69"/>
    <w:rsid w:val="00DD2B20"/>
    <w:rsid w:val="00DD451C"/>
    <w:rsid w:val="00DD5AF2"/>
    <w:rsid w:val="00DD5D3B"/>
    <w:rsid w:val="00DE0EA6"/>
    <w:rsid w:val="00DE6883"/>
    <w:rsid w:val="00DE79A9"/>
    <w:rsid w:val="00DF03F7"/>
    <w:rsid w:val="00DF501F"/>
    <w:rsid w:val="00DF758C"/>
    <w:rsid w:val="00E015C1"/>
    <w:rsid w:val="00E0249E"/>
    <w:rsid w:val="00E0287F"/>
    <w:rsid w:val="00E03C17"/>
    <w:rsid w:val="00E06D8A"/>
    <w:rsid w:val="00E15C31"/>
    <w:rsid w:val="00E218D8"/>
    <w:rsid w:val="00E22E4A"/>
    <w:rsid w:val="00E3207D"/>
    <w:rsid w:val="00E3518E"/>
    <w:rsid w:val="00E36874"/>
    <w:rsid w:val="00E43C47"/>
    <w:rsid w:val="00E47B2A"/>
    <w:rsid w:val="00E51007"/>
    <w:rsid w:val="00E52C4D"/>
    <w:rsid w:val="00E549E8"/>
    <w:rsid w:val="00E65FC3"/>
    <w:rsid w:val="00E7034D"/>
    <w:rsid w:val="00E70CBB"/>
    <w:rsid w:val="00E70E95"/>
    <w:rsid w:val="00E74671"/>
    <w:rsid w:val="00E83E21"/>
    <w:rsid w:val="00E84144"/>
    <w:rsid w:val="00E84747"/>
    <w:rsid w:val="00E85CD2"/>
    <w:rsid w:val="00E87CF2"/>
    <w:rsid w:val="00E924C1"/>
    <w:rsid w:val="00E939C5"/>
    <w:rsid w:val="00E9498E"/>
    <w:rsid w:val="00EA21BD"/>
    <w:rsid w:val="00EA3B63"/>
    <w:rsid w:val="00EA3F5C"/>
    <w:rsid w:val="00EA4025"/>
    <w:rsid w:val="00EA4E9C"/>
    <w:rsid w:val="00EA6CD5"/>
    <w:rsid w:val="00EB23F2"/>
    <w:rsid w:val="00EB397B"/>
    <w:rsid w:val="00EB5F3D"/>
    <w:rsid w:val="00EC0E4C"/>
    <w:rsid w:val="00EC2D34"/>
    <w:rsid w:val="00EC37F9"/>
    <w:rsid w:val="00EC53AA"/>
    <w:rsid w:val="00EC563C"/>
    <w:rsid w:val="00EC6728"/>
    <w:rsid w:val="00ED08CE"/>
    <w:rsid w:val="00ED3F49"/>
    <w:rsid w:val="00ED5F21"/>
    <w:rsid w:val="00EE2991"/>
    <w:rsid w:val="00EE48DC"/>
    <w:rsid w:val="00EE4949"/>
    <w:rsid w:val="00EE75A7"/>
    <w:rsid w:val="00EF0720"/>
    <w:rsid w:val="00EF15AE"/>
    <w:rsid w:val="00EF2673"/>
    <w:rsid w:val="00EF4F90"/>
    <w:rsid w:val="00EF6F21"/>
    <w:rsid w:val="00EF7A07"/>
    <w:rsid w:val="00F01183"/>
    <w:rsid w:val="00F053DE"/>
    <w:rsid w:val="00F064FA"/>
    <w:rsid w:val="00F1659C"/>
    <w:rsid w:val="00F2136C"/>
    <w:rsid w:val="00F21E31"/>
    <w:rsid w:val="00F21E52"/>
    <w:rsid w:val="00F2430D"/>
    <w:rsid w:val="00F26E47"/>
    <w:rsid w:val="00F30638"/>
    <w:rsid w:val="00F350F6"/>
    <w:rsid w:val="00F358E4"/>
    <w:rsid w:val="00F36DBA"/>
    <w:rsid w:val="00F36EAD"/>
    <w:rsid w:val="00F37B86"/>
    <w:rsid w:val="00F37CD2"/>
    <w:rsid w:val="00F42B6F"/>
    <w:rsid w:val="00F438F9"/>
    <w:rsid w:val="00F4600F"/>
    <w:rsid w:val="00F47AF1"/>
    <w:rsid w:val="00F47E00"/>
    <w:rsid w:val="00F50918"/>
    <w:rsid w:val="00F5638E"/>
    <w:rsid w:val="00F616E7"/>
    <w:rsid w:val="00F61D5A"/>
    <w:rsid w:val="00F63D53"/>
    <w:rsid w:val="00F6491B"/>
    <w:rsid w:val="00F6678C"/>
    <w:rsid w:val="00F672CF"/>
    <w:rsid w:val="00F72019"/>
    <w:rsid w:val="00F77C6A"/>
    <w:rsid w:val="00F8095C"/>
    <w:rsid w:val="00F85B12"/>
    <w:rsid w:val="00F879EB"/>
    <w:rsid w:val="00F94815"/>
    <w:rsid w:val="00F96669"/>
    <w:rsid w:val="00FA3799"/>
    <w:rsid w:val="00FA6551"/>
    <w:rsid w:val="00FB0F53"/>
    <w:rsid w:val="00FB4C4F"/>
    <w:rsid w:val="00FB7967"/>
    <w:rsid w:val="00FD012F"/>
    <w:rsid w:val="00FD3D28"/>
    <w:rsid w:val="00FD5C50"/>
    <w:rsid w:val="00FE1B5B"/>
    <w:rsid w:val="00FE2091"/>
    <w:rsid w:val="00FE46AC"/>
    <w:rsid w:val="00FE57F1"/>
    <w:rsid w:val="00FF2094"/>
    <w:rsid w:val="00FF306E"/>
    <w:rsid w:val="00FF34C1"/>
    <w:rsid w:val="00FF44F0"/>
    <w:rsid w:val="00FF4646"/>
    <w:rsid w:val="00FF6E43"/>
    <w:rsid w:val="00FF6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F3B00"/>
    <w:pPr>
      <w:spacing w:before="120" w:after="120"/>
      <w:jc w:val="both"/>
    </w:pPr>
    <w:rPr>
      <w:rFonts w:ascii="Arial" w:hAnsi="Arial"/>
      <w:sz w:val="22"/>
      <w:lang w:val="fr-FR" w:eastAsia="fr-FR"/>
    </w:rPr>
  </w:style>
  <w:style w:type="paragraph" w:styleId="Heading1">
    <w:name w:val="heading 1"/>
    <w:basedOn w:val="Normal"/>
    <w:next w:val="Normal"/>
    <w:qFormat/>
    <w:pPr>
      <w:keepNext/>
      <w:numPr>
        <w:numId w:val="17"/>
      </w:numPr>
      <w:spacing w:before="240"/>
      <w:outlineLvl w:val="0"/>
    </w:pPr>
    <w:rPr>
      <w:b/>
    </w:rPr>
  </w:style>
  <w:style w:type="paragraph" w:styleId="Heading2">
    <w:name w:val="heading 2"/>
    <w:basedOn w:val="Normal"/>
    <w:next w:val="Normal"/>
    <w:qFormat/>
    <w:pPr>
      <w:keepNext/>
      <w:numPr>
        <w:ilvl w:val="1"/>
        <w:numId w:val="17"/>
      </w:numPr>
      <w:tabs>
        <w:tab w:val="left" w:pos="578"/>
      </w:tabs>
      <w:spacing w:before="240" w:after="60"/>
      <w:outlineLvl w:val="1"/>
    </w:pPr>
    <w:rPr>
      <w:b/>
    </w:rPr>
  </w:style>
  <w:style w:type="paragraph" w:styleId="Heading3">
    <w:name w:val="heading 3"/>
    <w:basedOn w:val="Normal"/>
    <w:next w:val="Normal"/>
    <w:qFormat/>
    <w:pPr>
      <w:keepNext/>
      <w:numPr>
        <w:ilvl w:val="2"/>
        <w:numId w:val="17"/>
      </w:numPr>
      <w:tabs>
        <w:tab w:val="left" w:pos="720"/>
      </w:tabs>
      <w:spacing w:before="240" w:after="60"/>
      <w:outlineLvl w:val="2"/>
    </w:pPr>
    <w:rPr>
      <w:b/>
    </w:rPr>
  </w:style>
  <w:style w:type="paragraph" w:styleId="Heading4">
    <w:name w:val="heading 4"/>
    <w:basedOn w:val="Normal"/>
    <w:next w:val="Normal"/>
    <w:qFormat/>
    <w:pPr>
      <w:keepNext/>
      <w:numPr>
        <w:ilvl w:val="3"/>
        <w:numId w:val="17"/>
      </w:numPr>
      <w:tabs>
        <w:tab w:val="left" w:pos="862"/>
      </w:tabs>
      <w:spacing w:before="240" w:after="60"/>
      <w:outlineLvl w:val="3"/>
    </w:pPr>
    <w:rPr>
      <w:b/>
    </w:r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outlineLvl w:val="5"/>
    </w:pPr>
  </w:style>
  <w:style w:type="paragraph" w:styleId="Heading7">
    <w:name w:val="heading 7"/>
    <w:basedOn w:val="Heading4"/>
    <w:next w:val="Normal"/>
    <w:qFormat/>
    <w:pPr>
      <w:numPr>
        <w:ilvl w:val="6"/>
      </w:numPr>
      <w:outlineLvl w:val="6"/>
    </w:pPr>
  </w:style>
  <w:style w:type="paragraph" w:styleId="Heading8">
    <w:name w:val="heading 8"/>
    <w:basedOn w:val="Heading4"/>
    <w:next w:val="Normal"/>
    <w:qFormat/>
    <w:pPr>
      <w:numPr>
        <w:ilvl w:val="7"/>
      </w:numPr>
      <w:outlineLvl w:val="7"/>
    </w:pPr>
  </w:style>
  <w:style w:type="paragraph" w:styleId="Heading9">
    <w:name w:val="heading 9"/>
    <w:basedOn w:val="Heading4"/>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next w:val="Normal"/>
    <w:pPr>
      <w:ind w:left="5103"/>
      <w:jc w:val="left"/>
    </w:pPr>
    <w:rPr>
      <w:sz w:val="20"/>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rPr>
      <w:b/>
    </w:rPr>
  </w:style>
  <w:style w:type="paragraph" w:styleId="Closing">
    <w:name w:val="Closing"/>
    <w:basedOn w:val="Normal"/>
    <w:pPr>
      <w:ind w:left="4252"/>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pPr>
      <w:keepNext/>
      <w:keepLines/>
      <w:tabs>
        <w:tab w:val="left" w:pos="5642"/>
      </w:tabs>
      <w:spacing w:before="480" w:after="0"/>
      <w:ind w:left="1191" w:hanging="1191"/>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semiHidden/>
  </w:style>
  <w:style w:type="paragraph" w:styleId="Date">
    <w:name w:val="Date"/>
    <w:basedOn w:val="Normal"/>
    <w:next w:val="Address"/>
    <w:pPr>
      <w:spacing w:after="0"/>
      <w:ind w:left="5103" w:right="-567"/>
      <w:jc w:val="left"/>
    </w:pPr>
  </w:style>
  <w:style w:type="paragraph" w:customStyle="1" w:styleId="References">
    <w:name w:val="References"/>
    <w:basedOn w:val="Normal"/>
    <w:pPr>
      <w:spacing w:after="0"/>
    </w:pPr>
    <w:rPr>
      <w:b/>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customStyle="1" w:styleId="Contact">
    <w:name w:val="Contact"/>
    <w:basedOn w:val="Normal"/>
    <w:next w:val="Enclosures"/>
    <w:pPr>
      <w:spacing w:before="480" w:after="0"/>
      <w:ind w:left="567" w:hanging="567"/>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jc w:val="left"/>
    </w:pPr>
    <w:rPr>
      <w:b/>
      <w:sz w:val="16"/>
    </w:rPr>
  </w:style>
  <w:style w:type="paragraph" w:styleId="FootnoteText">
    <w:name w:val="footnote text"/>
    <w:basedOn w:val="Normal"/>
    <w:semiHidden/>
    <w:pPr>
      <w:ind w:left="357" w:hanging="357"/>
    </w:pPr>
    <w:rPr>
      <w:sz w:val="20"/>
    </w:rPr>
  </w:style>
  <w:style w:type="paragraph" w:styleId="Header">
    <w:name w:val="header"/>
    <w:basedOn w:val="Normal"/>
    <w:pPr>
      <w:pBdr>
        <w:bottom w:val="single" w:sz="8" w:space="1" w:color="auto"/>
      </w:pBdr>
      <w:tabs>
        <w:tab w:val="center" w:pos="4153"/>
        <w:tab w:val="right" w:pos="8306"/>
      </w:tabs>
    </w:pPr>
    <w:rPr>
      <w:b/>
      <w:sz w:val="16"/>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Normal"/>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8"/>
      </w:numPr>
      <w:ind w:left="357" w:hanging="357"/>
    </w:pPr>
    <w:rPr>
      <w:rFonts w:eastAsia="Times"/>
    </w:rPr>
  </w:style>
  <w:style w:type="paragraph" w:styleId="ListBullet2">
    <w:name w:val="List Bullet 2"/>
    <w:basedOn w:val="Normal"/>
    <w:pPr>
      <w:numPr>
        <w:numId w:val="19"/>
      </w:numPr>
      <w:tabs>
        <w:tab w:val="clear" w:pos="643"/>
        <w:tab w:val="num" w:pos="360"/>
      </w:tabs>
      <w:ind w:left="360"/>
    </w:pPr>
    <w:rPr>
      <w:rFonts w:eastAsia="Times"/>
    </w:rPr>
  </w:style>
  <w:style w:type="paragraph" w:styleId="ListBullet3">
    <w:name w:val="List Bullet 3"/>
    <w:basedOn w:val="Text3"/>
    <w:pPr>
      <w:numPr>
        <w:numId w:val="4"/>
      </w:numPr>
      <w:tabs>
        <w:tab w:val="clear" w:pos="2302"/>
      </w:tabs>
    </w:pPr>
  </w:style>
  <w:style w:type="paragraph" w:styleId="ListBullet4">
    <w:name w:val="List Bullet 4"/>
    <w:basedOn w:val="Text4"/>
    <w:pPr>
      <w:numPr>
        <w:numId w:val="5"/>
      </w:numPr>
    </w:p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641"/>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aliases w:val="NumPar1"/>
    <w:basedOn w:val="Normal"/>
    <w:next w:val="Normal"/>
    <w:pPr>
      <w:numPr>
        <w:numId w:val="20"/>
      </w:numPr>
    </w:pPr>
    <w:rPr>
      <w:rFonts w:eastAsia="Times"/>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fr-FR"/>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rPr>
  </w:style>
  <w:style w:type="paragraph" w:customStyle="1" w:styleId="NumPar20">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left"/>
      <w:outlineLvl w:val="0"/>
    </w:pPr>
    <w:rPr>
      <w:b/>
      <w:kern w:val="28"/>
      <w:sz w:val="32"/>
    </w:rPr>
  </w:style>
  <w:style w:type="paragraph" w:styleId="TOAHeading">
    <w:name w:val="toa heading"/>
    <w:basedOn w:val="Normal"/>
    <w:next w:val="Normal"/>
    <w:semiHidden/>
    <w:rPr>
      <w:b/>
    </w:rPr>
  </w:style>
  <w:style w:type="paragraph" w:styleId="TOC1">
    <w:name w:val="toc 1"/>
    <w:basedOn w:val="Normal"/>
    <w:next w:val="Normal"/>
    <w:semiHidden/>
    <w:pPr>
      <w:keepNext/>
      <w:keepLines/>
      <w:tabs>
        <w:tab w:val="right" w:leader="dot" w:pos="8640"/>
      </w:tabs>
      <w:spacing w:before="240"/>
      <w:ind w:left="483" w:right="720" w:hanging="483"/>
    </w:pPr>
    <w:rPr>
      <w:caps/>
    </w:rPr>
  </w:style>
  <w:style w:type="paragraph" w:styleId="TOC2">
    <w:name w:val="toc 2"/>
    <w:basedOn w:val="Normal"/>
    <w:next w:val="Normal"/>
    <w:semiHidden/>
    <w:pPr>
      <w:keepLines/>
      <w:tabs>
        <w:tab w:val="right" w:leader="dot" w:pos="8640"/>
      </w:tabs>
      <w:ind w:left="1077" w:right="720" w:hanging="595"/>
    </w:pPr>
  </w:style>
  <w:style w:type="paragraph" w:styleId="TOC3">
    <w:name w:val="toc 3"/>
    <w:basedOn w:val="Normal"/>
    <w:next w:val="Normal"/>
    <w:semiHidden/>
    <w:pPr>
      <w:keepLines/>
      <w:tabs>
        <w:tab w:val="right" w:leader="dot" w:pos="8640"/>
      </w:tabs>
      <w:ind w:left="1916" w:right="720" w:hanging="839"/>
    </w:pPr>
  </w:style>
  <w:style w:type="paragraph" w:styleId="TOC4">
    <w:name w:val="toc 4"/>
    <w:basedOn w:val="Normal"/>
    <w:next w:val="Normal"/>
    <w:semiHidden/>
    <w:pPr>
      <w:keepLines/>
      <w:tabs>
        <w:tab w:val="right" w:leader="dot" w:pos="8641"/>
      </w:tabs>
      <w:ind w:left="2880" w:right="720" w:hanging="964"/>
    </w:p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pPr>
      <w:numPr>
        <w:numId w:val="6"/>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tabs>
        <w:tab w:val="num" w:pos="2126"/>
      </w:tabs>
      <w:ind w:left="2126" w:hanging="709"/>
    </w:pPr>
  </w:style>
  <w:style w:type="paragraph" w:customStyle="1" w:styleId="ListNumberLevel4">
    <w:name w:val="List Number (Level 4)"/>
    <w:basedOn w:val="Normal"/>
    <w:pPr>
      <w:tabs>
        <w:tab w:val="num" w:pos="2835"/>
      </w:tabs>
      <w:ind w:left="2835" w:hanging="709"/>
    </w:pPr>
  </w:style>
  <w:style w:type="paragraph" w:customStyle="1" w:styleId="ListNumber1">
    <w:name w:val="List Number 1"/>
    <w:basedOn w:val="Text1"/>
    <w:pPr>
      <w:numPr>
        <w:numId w:val="12"/>
      </w:numPr>
    </w:pPr>
  </w:style>
  <w:style w:type="paragraph" w:customStyle="1" w:styleId="ListNumber1Level2">
    <w:name w:val="List Number 1 (Level 2)"/>
    <w:basedOn w:val="Text1"/>
    <w:pPr>
      <w:tabs>
        <w:tab w:val="num" w:pos="1899"/>
      </w:tabs>
      <w:ind w:left="1899" w:hanging="708"/>
    </w:pPr>
  </w:style>
  <w:style w:type="paragraph" w:customStyle="1" w:styleId="ListNumber1Level3">
    <w:name w:val="List Number 1 (Level 3)"/>
    <w:basedOn w:val="Text1"/>
    <w:pPr>
      <w:tabs>
        <w:tab w:val="num" w:pos="2608"/>
      </w:tabs>
      <w:ind w:left="2608" w:hanging="709"/>
    </w:pPr>
  </w:style>
  <w:style w:type="paragraph" w:customStyle="1" w:styleId="ListNumber1Level4">
    <w:name w:val="List Number 1 (Level 4)"/>
    <w:basedOn w:val="Text1"/>
    <w:pPr>
      <w:tabs>
        <w:tab w:val="num" w:pos="3317"/>
      </w:tabs>
      <w:ind w:left="3317" w:hanging="709"/>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tabs>
        <w:tab w:val="clear" w:pos="2160"/>
        <w:tab w:val="num" w:pos="3203"/>
      </w:tabs>
      <w:ind w:left="3203" w:hanging="709"/>
    </w:pPr>
  </w:style>
  <w:style w:type="paragraph" w:customStyle="1" w:styleId="ListNumber2Level4">
    <w:name w:val="List Number 2 (Level 4)"/>
    <w:basedOn w:val="Text2"/>
    <w:pPr>
      <w:tabs>
        <w:tab w:val="clear" w:pos="2160"/>
        <w:tab w:val="num" w:pos="3912"/>
      </w:tabs>
      <w:ind w:left="3912" w:hanging="709"/>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tabs>
        <w:tab w:val="clear" w:pos="2302"/>
        <w:tab w:val="num" w:pos="4042"/>
      </w:tabs>
      <w:ind w:left="4042" w:hanging="709"/>
    </w:pPr>
  </w:style>
  <w:style w:type="paragraph" w:customStyle="1" w:styleId="ListNumber3Level4">
    <w:name w:val="List Number 3 (Level 4)"/>
    <w:basedOn w:val="Text3"/>
    <w:pPr>
      <w:tabs>
        <w:tab w:val="clear" w:pos="2302"/>
        <w:tab w:val="num" w:pos="4751"/>
      </w:tabs>
      <w:ind w:left="4751" w:hanging="709"/>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tabs>
        <w:tab w:val="num" w:pos="5006"/>
      </w:tabs>
      <w:ind w:left="5006" w:hanging="709"/>
    </w:pPr>
  </w:style>
  <w:style w:type="paragraph" w:customStyle="1" w:styleId="ListNumber4Level4">
    <w:name w:val="List Number 4 (Level 4)"/>
    <w:basedOn w:val="Text4"/>
    <w:pPr>
      <w:tabs>
        <w:tab w:val="num" w:pos="5715"/>
      </w:tabs>
      <w:ind w:left="5715" w:hanging="709"/>
    </w:pPr>
  </w:style>
  <w:style w:type="paragraph" w:styleId="TOCHeading">
    <w:name w:val="TOC Heading"/>
    <w:basedOn w:val="Normal"/>
    <w:next w:val="Normal"/>
    <w:qFormat/>
    <w:pPr>
      <w:keepNext/>
      <w:spacing w:before="240"/>
      <w:jc w:val="center"/>
    </w:pPr>
    <w:rPr>
      <w:b/>
    </w:rPr>
  </w:style>
  <w:style w:type="paragraph" w:customStyle="1" w:styleId="Article">
    <w:name w:val="Article"/>
    <w:basedOn w:val="Normal"/>
    <w:next w:val="Normal"/>
    <w:pPr>
      <w:numPr>
        <w:numId w:val="16"/>
      </w:numPr>
      <w:spacing w:before="240" w:after="60"/>
      <w:outlineLvl w:val="1"/>
    </w:pPr>
    <w:rPr>
      <w:rFonts w:eastAsia="Times"/>
    </w:rPr>
  </w:style>
  <w:style w:type="paragraph" w:customStyle="1" w:styleId="Disclaimer">
    <w:name w:val="Disclaimer"/>
    <w:basedOn w:val="Normal"/>
    <w:pPr>
      <w:keepLines/>
      <w:pBdr>
        <w:top w:val="single" w:sz="4" w:space="1" w:color="auto"/>
      </w:pBdr>
      <w:spacing w:before="480" w:after="0"/>
    </w:pPr>
    <w:rPr>
      <w:i/>
    </w:rPr>
  </w:style>
  <w:style w:type="character" w:styleId="CommentReference">
    <w:name w:val="annotation reference"/>
    <w:semiHidden/>
    <w:rPr>
      <w:sz w:val="16"/>
    </w:rPr>
  </w:style>
  <w:style w:type="paragraph" w:customStyle="1" w:styleId="DocumentTitle">
    <w:name w:val="Document Title"/>
    <w:basedOn w:val="Normal"/>
    <w:pPr>
      <w:pBdr>
        <w:bottom w:val="single" w:sz="4" w:space="1" w:color="auto"/>
      </w:pBdr>
      <w:spacing w:before="2400"/>
      <w:jc w:val="left"/>
      <w:outlineLvl w:val="0"/>
    </w:pPr>
    <w:rPr>
      <w:rFonts w:eastAsia="Times"/>
      <w:b/>
      <w:kern w:val="28"/>
      <w:sz w:val="32"/>
    </w:rPr>
  </w:style>
  <w:style w:type="character" w:styleId="FootnoteReference">
    <w:name w:val="footnote reference"/>
    <w:semiHidden/>
    <w:rPr>
      <w:vertAlign w:val="superscript"/>
    </w:rPr>
  </w:style>
  <w:style w:type="paragraph" w:customStyle="1" w:styleId="NumPar2">
    <w:name w:val="NumPar2"/>
    <w:basedOn w:val="ListNumber"/>
    <w:pPr>
      <w:numPr>
        <w:numId w:val="21"/>
      </w:numPr>
      <w:tabs>
        <w:tab w:val="clear" w:pos="2344"/>
        <w:tab w:val="num" w:pos="851"/>
        <w:tab w:val="num" w:pos="1047"/>
        <w:tab w:val="num" w:pos="1080"/>
      </w:tabs>
      <w:spacing w:before="240" w:after="60"/>
      <w:ind w:left="714" w:hanging="357"/>
    </w:pPr>
  </w:style>
  <w:style w:type="character" w:styleId="PageNumber">
    <w:name w:val="page number"/>
    <w:basedOn w:val="DefaultParagraphFont"/>
  </w:style>
  <w:style w:type="paragraph" w:customStyle="1" w:styleId="SectionTitle">
    <w:name w:val="SectionTitle"/>
    <w:basedOn w:val="Normal"/>
    <w:autoRedefine/>
    <w:pPr>
      <w:keepNext/>
      <w:pageBreakBefore/>
      <w:suppressAutoHyphens/>
      <w:spacing w:before="0" w:after="240"/>
      <w:jc w:val="center"/>
      <w:outlineLvl w:val="0"/>
    </w:pPr>
    <w:rPr>
      <w:rFonts w:eastAsia="Times"/>
      <w:b/>
      <w:sz w:val="26"/>
    </w:rPr>
  </w:style>
  <w:style w:type="paragraph" w:customStyle="1" w:styleId="SubTitle1">
    <w:name w:val="SubTitle1"/>
    <w:basedOn w:val="Normal"/>
    <w:pPr>
      <w:spacing w:before="0" w:after="720"/>
    </w:pPr>
    <w:rPr>
      <w:rFonts w:eastAsia="Times"/>
      <w:b/>
    </w:rPr>
  </w:style>
  <w:style w:type="paragraph" w:customStyle="1" w:styleId="SubTitle2">
    <w:name w:val="SubTitle2"/>
    <w:basedOn w:val="Normal"/>
    <w:next w:val="SubTitle1"/>
    <w:pPr>
      <w:pBdr>
        <w:bottom w:val="single" w:sz="4" w:space="1" w:color="auto"/>
      </w:pBdr>
      <w:spacing w:after="1000"/>
    </w:pPr>
    <w:rPr>
      <w:rFonts w:eastAsia="Times"/>
    </w:rPr>
  </w:style>
  <w:style w:type="paragraph" w:customStyle="1" w:styleId="ZCom">
    <w:name w:val="Z_Com"/>
    <w:basedOn w:val="Normal"/>
    <w:next w:val="Normal"/>
    <w:pPr>
      <w:widowControl w:val="0"/>
      <w:spacing w:before="0" w:after="0"/>
      <w:ind w:right="85"/>
    </w:pPr>
    <w:rPr>
      <w:snapToGrid w:val="0"/>
      <w:sz w:val="24"/>
      <w:lang w:eastAsia="en-US"/>
    </w:rPr>
  </w:style>
  <w:style w:type="paragraph" w:customStyle="1" w:styleId="ZDGName">
    <w:name w:val="Z_DGName"/>
    <w:basedOn w:val="Normal"/>
    <w:pPr>
      <w:widowControl w:val="0"/>
      <w:spacing w:before="0" w:after="0"/>
      <w:ind w:right="85"/>
    </w:pPr>
    <w:rPr>
      <w:snapToGrid w:val="0"/>
      <w:sz w:val="16"/>
      <w:lang w:eastAsia="en-US"/>
    </w:rPr>
  </w:style>
  <w:style w:type="paragraph" w:customStyle="1" w:styleId="ChapterTitle">
    <w:name w:val="ChapterTitle"/>
    <w:basedOn w:val="Title"/>
    <w:next w:val="Normal"/>
    <w:pPr>
      <w:keepNext/>
      <w:spacing w:before="0" w:after="480"/>
      <w:jc w:val="center"/>
    </w:pPr>
    <w:rPr>
      <w:rFonts w:ascii="Times New Roman" w:hAnsi="Times New Roman"/>
      <w:b w:val="0"/>
    </w:rPr>
  </w:style>
  <w:style w:type="character" w:styleId="Emphasis">
    <w:name w:val="Emphasis"/>
    <w:qFormat/>
    <w:rPr>
      <w:i/>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character" w:styleId="Hyperlink">
    <w:name w:val="Hyperlink"/>
    <w:rPr>
      <w:color w:val="0000FF"/>
      <w:u w:val="single"/>
    </w:rPr>
  </w:style>
  <w:style w:type="character" w:styleId="LineNumber">
    <w:name w:val="line number"/>
    <w:basedOn w:val="DefaultParagraphFont"/>
  </w:style>
  <w:style w:type="character" w:styleId="Strong">
    <w:name w:val="Strong"/>
    <w:qFormat/>
    <w:rPr>
      <w:b/>
    </w:rPr>
  </w:style>
  <w:style w:type="table" w:styleId="TableGrid">
    <w:name w:val="Table Grid"/>
    <w:basedOn w:val="TableNormal"/>
    <w:rsid w:val="00EC6728"/>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1569"/>
    <w:pPr>
      <w:widowControl w:val="0"/>
      <w:autoSpaceDE w:val="0"/>
      <w:autoSpaceDN w:val="0"/>
      <w:adjustRightInd w:val="0"/>
    </w:pPr>
    <w:rPr>
      <w:rFonts w:ascii="Arial" w:hAnsi="Arial" w:cs="Arial"/>
      <w:color w:val="000000"/>
      <w:sz w:val="24"/>
      <w:szCs w:val="24"/>
      <w:lang w:val="fr-FR" w:eastAsia="fr-FR"/>
    </w:rPr>
  </w:style>
  <w:style w:type="paragraph" w:styleId="BalloonText">
    <w:name w:val="Balloon Text"/>
    <w:basedOn w:val="Normal"/>
    <w:link w:val="BalloonTextChar"/>
    <w:rsid w:val="00FF6F44"/>
    <w:pPr>
      <w:spacing w:before="0" w:after="0"/>
    </w:pPr>
    <w:rPr>
      <w:rFonts w:ascii="Tahoma" w:hAnsi="Tahoma" w:cs="Tahoma"/>
      <w:sz w:val="16"/>
      <w:szCs w:val="16"/>
    </w:rPr>
  </w:style>
  <w:style w:type="character" w:customStyle="1" w:styleId="BalloonTextChar">
    <w:name w:val="Balloon Text Char"/>
    <w:link w:val="BalloonText"/>
    <w:rsid w:val="00FF6F44"/>
    <w:rPr>
      <w:rFonts w:ascii="Tahoma" w:hAnsi="Tahoma" w:cs="Tahoma"/>
      <w:sz w:val="16"/>
      <w:szCs w:val="16"/>
      <w:lang w:val="fr-FR" w:eastAsia="fr-FR"/>
    </w:rPr>
  </w:style>
  <w:style w:type="paragraph" w:styleId="ListParagraph">
    <w:name w:val="List Paragraph"/>
    <w:basedOn w:val="Normal"/>
    <w:uiPriority w:val="34"/>
    <w:qFormat/>
    <w:rsid w:val="008E57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F3B00"/>
    <w:pPr>
      <w:spacing w:before="120" w:after="120"/>
      <w:jc w:val="both"/>
    </w:pPr>
    <w:rPr>
      <w:rFonts w:ascii="Arial" w:hAnsi="Arial"/>
      <w:sz w:val="22"/>
      <w:lang w:val="fr-FR" w:eastAsia="fr-FR"/>
    </w:rPr>
  </w:style>
  <w:style w:type="paragraph" w:styleId="Heading1">
    <w:name w:val="heading 1"/>
    <w:basedOn w:val="Normal"/>
    <w:next w:val="Normal"/>
    <w:qFormat/>
    <w:pPr>
      <w:keepNext/>
      <w:numPr>
        <w:numId w:val="17"/>
      </w:numPr>
      <w:spacing w:before="240"/>
      <w:outlineLvl w:val="0"/>
    </w:pPr>
    <w:rPr>
      <w:b/>
    </w:rPr>
  </w:style>
  <w:style w:type="paragraph" w:styleId="Heading2">
    <w:name w:val="heading 2"/>
    <w:basedOn w:val="Normal"/>
    <w:next w:val="Normal"/>
    <w:qFormat/>
    <w:pPr>
      <w:keepNext/>
      <w:numPr>
        <w:ilvl w:val="1"/>
        <w:numId w:val="17"/>
      </w:numPr>
      <w:tabs>
        <w:tab w:val="left" w:pos="578"/>
      </w:tabs>
      <w:spacing w:before="240" w:after="60"/>
      <w:outlineLvl w:val="1"/>
    </w:pPr>
    <w:rPr>
      <w:b/>
    </w:rPr>
  </w:style>
  <w:style w:type="paragraph" w:styleId="Heading3">
    <w:name w:val="heading 3"/>
    <w:basedOn w:val="Normal"/>
    <w:next w:val="Normal"/>
    <w:qFormat/>
    <w:pPr>
      <w:keepNext/>
      <w:numPr>
        <w:ilvl w:val="2"/>
        <w:numId w:val="17"/>
      </w:numPr>
      <w:tabs>
        <w:tab w:val="left" w:pos="720"/>
      </w:tabs>
      <w:spacing w:before="240" w:after="60"/>
      <w:outlineLvl w:val="2"/>
    </w:pPr>
    <w:rPr>
      <w:b/>
    </w:rPr>
  </w:style>
  <w:style w:type="paragraph" w:styleId="Heading4">
    <w:name w:val="heading 4"/>
    <w:basedOn w:val="Normal"/>
    <w:next w:val="Normal"/>
    <w:qFormat/>
    <w:pPr>
      <w:keepNext/>
      <w:numPr>
        <w:ilvl w:val="3"/>
        <w:numId w:val="17"/>
      </w:numPr>
      <w:tabs>
        <w:tab w:val="left" w:pos="862"/>
      </w:tabs>
      <w:spacing w:before="240" w:after="60"/>
      <w:outlineLvl w:val="3"/>
    </w:pPr>
    <w:rPr>
      <w:b/>
    </w:r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outlineLvl w:val="5"/>
    </w:pPr>
  </w:style>
  <w:style w:type="paragraph" w:styleId="Heading7">
    <w:name w:val="heading 7"/>
    <w:basedOn w:val="Heading4"/>
    <w:next w:val="Normal"/>
    <w:qFormat/>
    <w:pPr>
      <w:numPr>
        <w:ilvl w:val="6"/>
      </w:numPr>
      <w:outlineLvl w:val="6"/>
    </w:pPr>
  </w:style>
  <w:style w:type="paragraph" w:styleId="Heading8">
    <w:name w:val="heading 8"/>
    <w:basedOn w:val="Heading4"/>
    <w:next w:val="Normal"/>
    <w:qFormat/>
    <w:pPr>
      <w:numPr>
        <w:ilvl w:val="7"/>
      </w:numPr>
      <w:outlineLvl w:val="7"/>
    </w:pPr>
  </w:style>
  <w:style w:type="paragraph" w:styleId="Heading9">
    <w:name w:val="heading 9"/>
    <w:basedOn w:val="Heading4"/>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next w:val="Normal"/>
    <w:pPr>
      <w:ind w:left="5103"/>
      <w:jc w:val="left"/>
    </w:pPr>
    <w:rPr>
      <w:sz w:val="20"/>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rPr>
      <w:b/>
    </w:rPr>
  </w:style>
  <w:style w:type="paragraph" w:styleId="Closing">
    <w:name w:val="Closing"/>
    <w:basedOn w:val="Normal"/>
    <w:pPr>
      <w:ind w:left="4252"/>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pPr>
      <w:keepNext/>
      <w:keepLines/>
      <w:tabs>
        <w:tab w:val="left" w:pos="5642"/>
      </w:tabs>
      <w:spacing w:before="480" w:after="0"/>
      <w:ind w:left="1191" w:hanging="1191"/>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semiHidden/>
  </w:style>
  <w:style w:type="paragraph" w:styleId="Date">
    <w:name w:val="Date"/>
    <w:basedOn w:val="Normal"/>
    <w:next w:val="Address"/>
    <w:pPr>
      <w:spacing w:after="0"/>
      <w:ind w:left="5103" w:right="-567"/>
      <w:jc w:val="left"/>
    </w:pPr>
  </w:style>
  <w:style w:type="paragraph" w:customStyle="1" w:styleId="References">
    <w:name w:val="References"/>
    <w:basedOn w:val="Normal"/>
    <w:pPr>
      <w:spacing w:after="0"/>
    </w:pPr>
    <w:rPr>
      <w:b/>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customStyle="1" w:styleId="Contact">
    <w:name w:val="Contact"/>
    <w:basedOn w:val="Normal"/>
    <w:next w:val="Enclosures"/>
    <w:pPr>
      <w:spacing w:before="480" w:after="0"/>
      <w:ind w:left="567" w:hanging="567"/>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jc w:val="left"/>
    </w:pPr>
    <w:rPr>
      <w:b/>
      <w:sz w:val="16"/>
    </w:rPr>
  </w:style>
  <w:style w:type="paragraph" w:styleId="FootnoteText">
    <w:name w:val="footnote text"/>
    <w:basedOn w:val="Normal"/>
    <w:semiHidden/>
    <w:pPr>
      <w:ind w:left="357" w:hanging="357"/>
    </w:pPr>
    <w:rPr>
      <w:sz w:val="20"/>
    </w:rPr>
  </w:style>
  <w:style w:type="paragraph" w:styleId="Header">
    <w:name w:val="header"/>
    <w:basedOn w:val="Normal"/>
    <w:pPr>
      <w:pBdr>
        <w:bottom w:val="single" w:sz="8" w:space="1" w:color="auto"/>
      </w:pBdr>
      <w:tabs>
        <w:tab w:val="center" w:pos="4153"/>
        <w:tab w:val="right" w:pos="8306"/>
      </w:tabs>
    </w:pPr>
    <w:rPr>
      <w:b/>
      <w:sz w:val="16"/>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Normal"/>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8"/>
      </w:numPr>
      <w:ind w:left="357" w:hanging="357"/>
    </w:pPr>
    <w:rPr>
      <w:rFonts w:eastAsia="Times"/>
    </w:rPr>
  </w:style>
  <w:style w:type="paragraph" w:styleId="ListBullet2">
    <w:name w:val="List Bullet 2"/>
    <w:basedOn w:val="Normal"/>
    <w:pPr>
      <w:numPr>
        <w:numId w:val="19"/>
      </w:numPr>
      <w:tabs>
        <w:tab w:val="clear" w:pos="643"/>
        <w:tab w:val="num" w:pos="360"/>
      </w:tabs>
      <w:ind w:left="360"/>
    </w:pPr>
    <w:rPr>
      <w:rFonts w:eastAsia="Times"/>
    </w:rPr>
  </w:style>
  <w:style w:type="paragraph" w:styleId="ListBullet3">
    <w:name w:val="List Bullet 3"/>
    <w:basedOn w:val="Text3"/>
    <w:pPr>
      <w:numPr>
        <w:numId w:val="4"/>
      </w:numPr>
      <w:tabs>
        <w:tab w:val="clear" w:pos="2302"/>
      </w:tabs>
    </w:pPr>
  </w:style>
  <w:style w:type="paragraph" w:styleId="ListBullet4">
    <w:name w:val="List Bullet 4"/>
    <w:basedOn w:val="Text4"/>
    <w:pPr>
      <w:numPr>
        <w:numId w:val="5"/>
      </w:numPr>
    </w:p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641"/>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aliases w:val="NumPar1"/>
    <w:basedOn w:val="Normal"/>
    <w:next w:val="Normal"/>
    <w:pPr>
      <w:numPr>
        <w:numId w:val="20"/>
      </w:numPr>
    </w:pPr>
    <w:rPr>
      <w:rFonts w:eastAsia="Times"/>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fr-FR"/>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rPr>
  </w:style>
  <w:style w:type="paragraph" w:customStyle="1" w:styleId="NumPar20">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left"/>
      <w:outlineLvl w:val="0"/>
    </w:pPr>
    <w:rPr>
      <w:b/>
      <w:kern w:val="28"/>
      <w:sz w:val="32"/>
    </w:rPr>
  </w:style>
  <w:style w:type="paragraph" w:styleId="TOAHeading">
    <w:name w:val="toa heading"/>
    <w:basedOn w:val="Normal"/>
    <w:next w:val="Normal"/>
    <w:semiHidden/>
    <w:rPr>
      <w:b/>
    </w:rPr>
  </w:style>
  <w:style w:type="paragraph" w:styleId="TOC1">
    <w:name w:val="toc 1"/>
    <w:basedOn w:val="Normal"/>
    <w:next w:val="Normal"/>
    <w:semiHidden/>
    <w:pPr>
      <w:keepNext/>
      <w:keepLines/>
      <w:tabs>
        <w:tab w:val="right" w:leader="dot" w:pos="8640"/>
      </w:tabs>
      <w:spacing w:before="240"/>
      <w:ind w:left="483" w:right="720" w:hanging="483"/>
    </w:pPr>
    <w:rPr>
      <w:caps/>
    </w:rPr>
  </w:style>
  <w:style w:type="paragraph" w:styleId="TOC2">
    <w:name w:val="toc 2"/>
    <w:basedOn w:val="Normal"/>
    <w:next w:val="Normal"/>
    <w:semiHidden/>
    <w:pPr>
      <w:keepLines/>
      <w:tabs>
        <w:tab w:val="right" w:leader="dot" w:pos="8640"/>
      </w:tabs>
      <w:ind w:left="1077" w:right="720" w:hanging="595"/>
    </w:pPr>
  </w:style>
  <w:style w:type="paragraph" w:styleId="TOC3">
    <w:name w:val="toc 3"/>
    <w:basedOn w:val="Normal"/>
    <w:next w:val="Normal"/>
    <w:semiHidden/>
    <w:pPr>
      <w:keepLines/>
      <w:tabs>
        <w:tab w:val="right" w:leader="dot" w:pos="8640"/>
      </w:tabs>
      <w:ind w:left="1916" w:right="720" w:hanging="839"/>
    </w:pPr>
  </w:style>
  <w:style w:type="paragraph" w:styleId="TOC4">
    <w:name w:val="toc 4"/>
    <w:basedOn w:val="Normal"/>
    <w:next w:val="Normal"/>
    <w:semiHidden/>
    <w:pPr>
      <w:keepLines/>
      <w:tabs>
        <w:tab w:val="right" w:leader="dot" w:pos="8641"/>
      </w:tabs>
      <w:ind w:left="2880" w:right="720" w:hanging="964"/>
    </w:p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pPr>
      <w:numPr>
        <w:numId w:val="6"/>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tabs>
        <w:tab w:val="num" w:pos="2126"/>
      </w:tabs>
      <w:ind w:left="2126" w:hanging="709"/>
    </w:pPr>
  </w:style>
  <w:style w:type="paragraph" w:customStyle="1" w:styleId="ListNumberLevel4">
    <w:name w:val="List Number (Level 4)"/>
    <w:basedOn w:val="Normal"/>
    <w:pPr>
      <w:tabs>
        <w:tab w:val="num" w:pos="2835"/>
      </w:tabs>
      <w:ind w:left="2835" w:hanging="709"/>
    </w:pPr>
  </w:style>
  <w:style w:type="paragraph" w:customStyle="1" w:styleId="ListNumber1">
    <w:name w:val="List Number 1"/>
    <w:basedOn w:val="Text1"/>
    <w:pPr>
      <w:numPr>
        <w:numId w:val="12"/>
      </w:numPr>
    </w:pPr>
  </w:style>
  <w:style w:type="paragraph" w:customStyle="1" w:styleId="ListNumber1Level2">
    <w:name w:val="List Number 1 (Level 2)"/>
    <w:basedOn w:val="Text1"/>
    <w:pPr>
      <w:tabs>
        <w:tab w:val="num" w:pos="1899"/>
      </w:tabs>
      <w:ind w:left="1899" w:hanging="708"/>
    </w:pPr>
  </w:style>
  <w:style w:type="paragraph" w:customStyle="1" w:styleId="ListNumber1Level3">
    <w:name w:val="List Number 1 (Level 3)"/>
    <w:basedOn w:val="Text1"/>
    <w:pPr>
      <w:tabs>
        <w:tab w:val="num" w:pos="2608"/>
      </w:tabs>
      <w:ind w:left="2608" w:hanging="709"/>
    </w:pPr>
  </w:style>
  <w:style w:type="paragraph" w:customStyle="1" w:styleId="ListNumber1Level4">
    <w:name w:val="List Number 1 (Level 4)"/>
    <w:basedOn w:val="Text1"/>
    <w:pPr>
      <w:tabs>
        <w:tab w:val="num" w:pos="3317"/>
      </w:tabs>
      <w:ind w:left="3317" w:hanging="709"/>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tabs>
        <w:tab w:val="clear" w:pos="2160"/>
        <w:tab w:val="num" w:pos="3203"/>
      </w:tabs>
      <w:ind w:left="3203" w:hanging="709"/>
    </w:pPr>
  </w:style>
  <w:style w:type="paragraph" w:customStyle="1" w:styleId="ListNumber2Level4">
    <w:name w:val="List Number 2 (Level 4)"/>
    <w:basedOn w:val="Text2"/>
    <w:pPr>
      <w:tabs>
        <w:tab w:val="clear" w:pos="2160"/>
        <w:tab w:val="num" w:pos="3912"/>
      </w:tabs>
      <w:ind w:left="3912" w:hanging="709"/>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tabs>
        <w:tab w:val="clear" w:pos="2302"/>
        <w:tab w:val="num" w:pos="4042"/>
      </w:tabs>
      <w:ind w:left="4042" w:hanging="709"/>
    </w:pPr>
  </w:style>
  <w:style w:type="paragraph" w:customStyle="1" w:styleId="ListNumber3Level4">
    <w:name w:val="List Number 3 (Level 4)"/>
    <w:basedOn w:val="Text3"/>
    <w:pPr>
      <w:tabs>
        <w:tab w:val="clear" w:pos="2302"/>
        <w:tab w:val="num" w:pos="4751"/>
      </w:tabs>
      <w:ind w:left="4751" w:hanging="709"/>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tabs>
        <w:tab w:val="num" w:pos="5006"/>
      </w:tabs>
      <w:ind w:left="5006" w:hanging="709"/>
    </w:pPr>
  </w:style>
  <w:style w:type="paragraph" w:customStyle="1" w:styleId="ListNumber4Level4">
    <w:name w:val="List Number 4 (Level 4)"/>
    <w:basedOn w:val="Text4"/>
    <w:pPr>
      <w:tabs>
        <w:tab w:val="num" w:pos="5715"/>
      </w:tabs>
      <w:ind w:left="5715" w:hanging="709"/>
    </w:pPr>
  </w:style>
  <w:style w:type="paragraph" w:styleId="TOCHeading">
    <w:name w:val="TOC Heading"/>
    <w:basedOn w:val="Normal"/>
    <w:next w:val="Normal"/>
    <w:qFormat/>
    <w:pPr>
      <w:keepNext/>
      <w:spacing w:before="240"/>
      <w:jc w:val="center"/>
    </w:pPr>
    <w:rPr>
      <w:b/>
    </w:rPr>
  </w:style>
  <w:style w:type="paragraph" w:customStyle="1" w:styleId="Article">
    <w:name w:val="Article"/>
    <w:basedOn w:val="Normal"/>
    <w:next w:val="Normal"/>
    <w:pPr>
      <w:numPr>
        <w:numId w:val="16"/>
      </w:numPr>
      <w:spacing w:before="240" w:after="60"/>
      <w:outlineLvl w:val="1"/>
    </w:pPr>
    <w:rPr>
      <w:rFonts w:eastAsia="Times"/>
    </w:rPr>
  </w:style>
  <w:style w:type="paragraph" w:customStyle="1" w:styleId="Disclaimer">
    <w:name w:val="Disclaimer"/>
    <w:basedOn w:val="Normal"/>
    <w:pPr>
      <w:keepLines/>
      <w:pBdr>
        <w:top w:val="single" w:sz="4" w:space="1" w:color="auto"/>
      </w:pBdr>
      <w:spacing w:before="480" w:after="0"/>
    </w:pPr>
    <w:rPr>
      <w:i/>
    </w:rPr>
  </w:style>
  <w:style w:type="character" w:styleId="CommentReference">
    <w:name w:val="annotation reference"/>
    <w:semiHidden/>
    <w:rPr>
      <w:sz w:val="16"/>
    </w:rPr>
  </w:style>
  <w:style w:type="paragraph" w:customStyle="1" w:styleId="DocumentTitle">
    <w:name w:val="Document Title"/>
    <w:basedOn w:val="Normal"/>
    <w:pPr>
      <w:pBdr>
        <w:bottom w:val="single" w:sz="4" w:space="1" w:color="auto"/>
      </w:pBdr>
      <w:spacing w:before="2400"/>
      <w:jc w:val="left"/>
      <w:outlineLvl w:val="0"/>
    </w:pPr>
    <w:rPr>
      <w:rFonts w:eastAsia="Times"/>
      <w:b/>
      <w:kern w:val="28"/>
      <w:sz w:val="32"/>
    </w:rPr>
  </w:style>
  <w:style w:type="character" w:styleId="FootnoteReference">
    <w:name w:val="footnote reference"/>
    <w:semiHidden/>
    <w:rPr>
      <w:vertAlign w:val="superscript"/>
    </w:rPr>
  </w:style>
  <w:style w:type="paragraph" w:customStyle="1" w:styleId="NumPar2">
    <w:name w:val="NumPar2"/>
    <w:basedOn w:val="ListNumber"/>
    <w:pPr>
      <w:numPr>
        <w:numId w:val="21"/>
      </w:numPr>
      <w:tabs>
        <w:tab w:val="clear" w:pos="2344"/>
        <w:tab w:val="num" w:pos="851"/>
        <w:tab w:val="num" w:pos="1047"/>
        <w:tab w:val="num" w:pos="1080"/>
      </w:tabs>
      <w:spacing w:before="240" w:after="60"/>
      <w:ind w:left="714" w:hanging="357"/>
    </w:pPr>
  </w:style>
  <w:style w:type="character" w:styleId="PageNumber">
    <w:name w:val="page number"/>
    <w:basedOn w:val="DefaultParagraphFont"/>
  </w:style>
  <w:style w:type="paragraph" w:customStyle="1" w:styleId="SectionTitle">
    <w:name w:val="SectionTitle"/>
    <w:basedOn w:val="Normal"/>
    <w:autoRedefine/>
    <w:pPr>
      <w:keepNext/>
      <w:pageBreakBefore/>
      <w:suppressAutoHyphens/>
      <w:spacing w:before="0" w:after="240"/>
      <w:jc w:val="center"/>
      <w:outlineLvl w:val="0"/>
    </w:pPr>
    <w:rPr>
      <w:rFonts w:eastAsia="Times"/>
      <w:b/>
      <w:sz w:val="26"/>
    </w:rPr>
  </w:style>
  <w:style w:type="paragraph" w:customStyle="1" w:styleId="SubTitle1">
    <w:name w:val="SubTitle1"/>
    <w:basedOn w:val="Normal"/>
    <w:pPr>
      <w:spacing w:before="0" w:after="720"/>
    </w:pPr>
    <w:rPr>
      <w:rFonts w:eastAsia="Times"/>
      <w:b/>
    </w:rPr>
  </w:style>
  <w:style w:type="paragraph" w:customStyle="1" w:styleId="SubTitle2">
    <w:name w:val="SubTitle2"/>
    <w:basedOn w:val="Normal"/>
    <w:next w:val="SubTitle1"/>
    <w:pPr>
      <w:pBdr>
        <w:bottom w:val="single" w:sz="4" w:space="1" w:color="auto"/>
      </w:pBdr>
      <w:spacing w:after="1000"/>
    </w:pPr>
    <w:rPr>
      <w:rFonts w:eastAsia="Times"/>
    </w:rPr>
  </w:style>
  <w:style w:type="paragraph" w:customStyle="1" w:styleId="ZCom">
    <w:name w:val="Z_Com"/>
    <w:basedOn w:val="Normal"/>
    <w:next w:val="Normal"/>
    <w:pPr>
      <w:widowControl w:val="0"/>
      <w:spacing w:before="0" w:after="0"/>
      <w:ind w:right="85"/>
    </w:pPr>
    <w:rPr>
      <w:snapToGrid w:val="0"/>
      <w:sz w:val="24"/>
      <w:lang w:eastAsia="en-US"/>
    </w:rPr>
  </w:style>
  <w:style w:type="paragraph" w:customStyle="1" w:styleId="ZDGName">
    <w:name w:val="Z_DGName"/>
    <w:basedOn w:val="Normal"/>
    <w:pPr>
      <w:widowControl w:val="0"/>
      <w:spacing w:before="0" w:after="0"/>
      <w:ind w:right="85"/>
    </w:pPr>
    <w:rPr>
      <w:snapToGrid w:val="0"/>
      <w:sz w:val="16"/>
      <w:lang w:eastAsia="en-US"/>
    </w:rPr>
  </w:style>
  <w:style w:type="paragraph" w:customStyle="1" w:styleId="ChapterTitle">
    <w:name w:val="ChapterTitle"/>
    <w:basedOn w:val="Title"/>
    <w:next w:val="Normal"/>
    <w:pPr>
      <w:keepNext/>
      <w:spacing w:before="0" w:after="480"/>
      <w:jc w:val="center"/>
    </w:pPr>
    <w:rPr>
      <w:rFonts w:ascii="Times New Roman" w:hAnsi="Times New Roman"/>
      <w:b w:val="0"/>
    </w:rPr>
  </w:style>
  <w:style w:type="character" w:styleId="Emphasis">
    <w:name w:val="Emphasis"/>
    <w:qFormat/>
    <w:rPr>
      <w:i/>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character" w:styleId="Hyperlink">
    <w:name w:val="Hyperlink"/>
    <w:rPr>
      <w:color w:val="0000FF"/>
      <w:u w:val="single"/>
    </w:rPr>
  </w:style>
  <w:style w:type="character" w:styleId="LineNumber">
    <w:name w:val="line number"/>
    <w:basedOn w:val="DefaultParagraphFont"/>
  </w:style>
  <w:style w:type="character" w:styleId="Strong">
    <w:name w:val="Strong"/>
    <w:qFormat/>
    <w:rPr>
      <w:b/>
    </w:rPr>
  </w:style>
  <w:style w:type="table" w:styleId="TableGrid">
    <w:name w:val="Table Grid"/>
    <w:basedOn w:val="TableNormal"/>
    <w:rsid w:val="00EC6728"/>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1569"/>
    <w:pPr>
      <w:widowControl w:val="0"/>
      <w:autoSpaceDE w:val="0"/>
      <w:autoSpaceDN w:val="0"/>
      <w:adjustRightInd w:val="0"/>
    </w:pPr>
    <w:rPr>
      <w:rFonts w:ascii="Arial" w:hAnsi="Arial" w:cs="Arial"/>
      <w:color w:val="000000"/>
      <w:sz w:val="24"/>
      <w:szCs w:val="24"/>
      <w:lang w:val="fr-FR" w:eastAsia="fr-FR"/>
    </w:rPr>
  </w:style>
  <w:style w:type="paragraph" w:styleId="BalloonText">
    <w:name w:val="Balloon Text"/>
    <w:basedOn w:val="Normal"/>
    <w:link w:val="BalloonTextChar"/>
    <w:rsid w:val="00FF6F44"/>
    <w:pPr>
      <w:spacing w:before="0" w:after="0"/>
    </w:pPr>
    <w:rPr>
      <w:rFonts w:ascii="Tahoma" w:hAnsi="Tahoma" w:cs="Tahoma"/>
      <w:sz w:val="16"/>
      <w:szCs w:val="16"/>
    </w:rPr>
  </w:style>
  <w:style w:type="character" w:customStyle="1" w:styleId="BalloonTextChar">
    <w:name w:val="Balloon Text Char"/>
    <w:link w:val="BalloonText"/>
    <w:rsid w:val="00FF6F44"/>
    <w:rPr>
      <w:rFonts w:ascii="Tahoma" w:hAnsi="Tahoma" w:cs="Tahoma"/>
      <w:sz w:val="16"/>
      <w:szCs w:val="16"/>
      <w:lang w:val="fr-FR" w:eastAsia="fr-FR"/>
    </w:rPr>
  </w:style>
  <w:style w:type="paragraph" w:styleId="ListParagraph">
    <w:name w:val="List Paragraph"/>
    <w:basedOn w:val="Normal"/>
    <w:uiPriority w:val="34"/>
    <w:qFormat/>
    <w:rsid w:val="008E5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4895">
      <w:bodyDiv w:val="1"/>
      <w:marLeft w:val="0"/>
      <w:marRight w:val="0"/>
      <w:marTop w:val="0"/>
      <w:marBottom w:val="0"/>
      <w:divBdr>
        <w:top w:val="none" w:sz="0" w:space="0" w:color="auto"/>
        <w:left w:val="none" w:sz="0" w:space="0" w:color="auto"/>
        <w:bottom w:val="none" w:sz="0" w:space="0" w:color="auto"/>
        <w:right w:val="none" w:sz="0" w:space="0" w:color="auto"/>
      </w:divBdr>
    </w:div>
    <w:div w:id="23556245">
      <w:bodyDiv w:val="1"/>
      <w:marLeft w:val="0"/>
      <w:marRight w:val="0"/>
      <w:marTop w:val="0"/>
      <w:marBottom w:val="0"/>
      <w:divBdr>
        <w:top w:val="none" w:sz="0" w:space="0" w:color="auto"/>
        <w:left w:val="none" w:sz="0" w:space="0" w:color="auto"/>
        <w:bottom w:val="none" w:sz="0" w:space="0" w:color="auto"/>
        <w:right w:val="none" w:sz="0" w:space="0" w:color="auto"/>
      </w:divBdr>
    </w:div>
    <w:div w:id="253054087">
      <w:bodyDiv w:val="1"/>
      <w:marLeft w:val="0"/>
      <w:marRight w:val="0"/>
      <w:marTop w:val="0"/>
      <w:marBottom w:val="0"/>
      <w:divBdr>
        <w:top w:val="none" w:sz="0" w:space="0" w:color="auto"/>
        <w:left w:val="none" w:sz="0" w:space="0" w:color="auto"/>
        <w:bottom w:val="none" w:sz="0" w:space="0" w:color="auto"/>
        <w:right w:val="none" w:sz="0" w:space="0" w:color="auto"/>
      </w:divBdr>
    </w:div>
    <w:div w:id="317998594">
      <w:bodyDiv w:val="1"/>
      <w:marLeft w:val="0"/>
      <w:marRight w:val="0"/>
      <w:marTop w:val="0"/>
      <w:marBottom w:val="0"/>
      <w:divBdr>
        <w:top w:val="none" w:sz="0" w:space="0" w:color="auto"/>
        <w:left w:val="none" w:sz="0" w:space="0" w:color="auto"/>
        <w:bottom w:val="none" w:sz="0" w:space="0" w:color="auto"/>
        <w:right w:val="none" w:sz="0" w:space="0" w:color="auto"/>
      </w:divBdr>
    </w:div>
    <w:div w:id="325863699">
      <w:bodyDiv w:val="1"/>
      <w:marLeft w:val="0"/>
      <w:marRight w:val="0"/>
      <w:marTop w:val="0"/>
      <w:marBottom w:val="0"/>
      <w:divBdr>
        <w:top w:val="none" w:sz="0" w:space="0" w:color="auto"/>
        <w:left w:val="none" w:sz="0" w:space="0" w:color="auto"/>
        <w:bottom w:val="none" w:sz="0" w:space="0" w:color="auto"/>
        <w:right w:val="none" w:sz="0" w:space="0" w:color="auto"/>
      </w:divBdr>
    </w:div>
    <w:div w:id="357244361">
      <w:bodyDiv w:val="1"/>
      <w:marLeft w:val="0"/>
      <w:marRight w:val="0"/>
      <w:marTop w:val="0"/>
      <w:marBottom w:val="0"/>
      <w:divBdr>
        <w:top w:val="none" w:sz="0" w:space="0" w:color="auto"/>
        <w:left w:val="none" w:sz="0" w:space="0" w:color="auto"/>
        <w:bottom w:val="none" w:sz="0" w:space="0" w:color="auto"/>
        <w:right w:val="none" w:sz="0" w:space="0" w:color="auto"/>
      </w:divBdr>
    </w:div>
    <w:div w:id="407700638">
      <w:bodyDiv w:val="1"/>
      <w:marLeft w:val="0"/>
      <w:marRight w:val="0"/>
      <w:marTop w:val="0"/>
      <w:marBottom w:val="0"/>
      <w:divBdr>
        <w:top w:val="none" w:sz="0" w:space="0" w:color="auto"/>
        <w:left w:val="none" w:sz="0" w:space="0" w:color="auto"/>
        <w:bottom w:val="none" w:sz="0" w:space="0" w:color="auto"/>
        <w:right w:val="none" w:sz="0" w:space="0" w:color="auto"/>
      </w:divBdr>
    </w:div>
    <w:div w:id="426466990">
      <w:bodyDiv w:val="1"/>
      <w:marLeft w:val="0"/>
      <w:marRight w:val="0"/>
      <w:marTop w:val="0"/>
      <w:marBottom w:val="0"/>
      <w:divBdr>
        <w:top w:val="none" w:sz="0" w:space="0" w:color="auto"/>
        <w:left w:val="none" w:sz="0" w:space="0" w:color="auto"/>
        <w:bottom w:val="none" w:sz="0" w:space="0" w:color="auto"/>
        <w:right w:val="none" w:sz="0" w:space="0" w:color="auto"/>
      </w:divBdr>
    </w:div>
    <w:div w:id="491264300">
      <w:bodyDiv w:val="1"/>
      <w:marLeft w:val="0"/>
      <w:marRight w:val="0"/>
      <w:marTop w:val="0"/>
      <w:marBottom w:val="0"/>
      <w:divBdr>
        <w:top w:val="none" w:sz="0" w:space="0" w:color="auto"/>
        <w:left w:val="none" w:sz="0" w:space="0" w:color="auto"/>
        <w:bottom w:val="none" w:sz="0" w:space="0" w:color="auto"/>
        <w:right w:val="none" w:sz="0" w:space="0" w:color="auto"/>
      </w:divBdr>
    </w:div>
    <w:div w:id="579481634">
      <w:bodyDiv w:val="1"/>
      <w:marLeft w:val="0"/>
      <w:marRight w:val="0"/>
      <w:marTop w:val="0"/>
      <w:marBottom w:val="0"/>
      <w:divBdr>
        <w:top w:val="none" w:sz="0" w:space="0" w:color="auto"/>
        <w:left w:val="none" w:sz="0" w:space="0" w:color="auto"/>
        <w:bottom w:val="none" w:sz="0" w:space="0" w:color="auto"/>
        <w:right w:val="none" w:sz="0" w:space="0" w:color="auto"/>
      </w:divBdr>
    </w:div>
    <w:div w:id="615219087">
      <w:bodyDiv w:val="1"/>
      <w:marLeft w:val="0"/>
      <w:marRight w:val="0"/>
      <w:marTop w:val="0"/>
      <w:marBottom w:val="0"/>
      <w:divBdr>
        <w:top w:val="none" w:sz="0" w:space="0" w:color="auto"/>
        <w:left w:val="none" w:sz="0" w:space="0" w:color="auto"/>
        <w:bottom w:val="none" w:sz="0" w:space="0" w:color="auto"/>
        <w:right w:val="none" w:sz="0" w:space="0" w:color="auto"/>
      </w:divBdr>
    </w:div>
    <w:div w:id="623077684">
      <w:bodyDiv w:val="1"/>
      <w:marLeft w:val="0"/>
      <w:marRight w:val="0"/>
      <w:marTop w:val="0"/>
      <w:marBottom w:val="0"/>
      <w:divBdr>
        <w:top w:val="none" w:sz="0" w:space="0" w:color="auto"/>
        <w:left w:val="none" w:sz="0" w:space="0" w:color="auto"/>
        <w:bottom w:val="none" w:sz="0" w:space="0" w:color="auto"/>
        <w:right w:val="none" w:sz="0" w:space="0" w:color="auto"/>
      </w:divBdr>
    </w:div>
    <w:div w:id="639193729">
      <w:bodyDiv w:val="1"/>
      <w:marLeft w:val="0"/>
      <w:marRight w:val="0"/>
      <w:marTop w:val="0"/>
      <w:marBottom w:val="0"/>
      <w:divBdr>
        <w:top w:val="none" w:sz="0" w:space="0" w:color="auto"/>
        <w:left w:val="none" w:sz="0" w:space="0" w:color="auto"/>
        <w:bottom w:val="none" w:sz="0" w:space="0" w:color="auto"/>
        <w:right w:val="none" w:sz="0" w:space="0" w:color="auto"/>
      </w:divBdr>
    </w:div>
    <w:div w:id="664016912">
      <w:bodyDiv w:val="1"/>
      <w:marLeft w:val="0"/>
      <w:marRight w:val="0"/>
      <w:marTop w:val="0"/>
      <w:marBottom w:val="0"/>
      <w:divBdr>
        <w:top w:val="none" w:sz="0" w:space="0" w:color="auto"/>
        <w:left w:val="none" w:sz="0" w:space="0" w:color="auto"/>
        <w:bottom w:val="none" w:sz="0" w:space="0" w:color="auto"/>
        <w:right w:val="none" w:sz="0" w:space="0" w:color="auto"/>
      </w:divBdr>
    </w:div>
    <w:div w:id="789520341">
      <w:bodyDiv w:val="1"/>
      <w:marLeft w:val="0"/>
      <w:marRight w:val="0"/>
      <w:marTop w:val="0"/>
      <w:marBottom w:val="0"/>
      <w:divBdr>
        <w:top w:val="none" w:sz="0" w:space="0" w:color="auto"/>
        <w:left w:val="none" w:sz="0" w:space="0" w:color="auto"/>
        <w:bottom w:val="none" w:sz="0" w:space="0" w:color="auto"/>
        <w:right w:val="none" w:sz="0" w:space="0" w:color="auto"/>
      </w:divBdr>
    </w:div>
    <w:div w:id="973365933">
      <w:bodyDiv w:val="1"/>
      <w:marLeft w:val="0"/>
      <w:marRight w:val="0"/>
      <w:marTop w:val="0"/>
      <w:marBottom w:val="0"/>
      <w:divBdr>
        <w:top w:val="none" w:sz="0" w:space="0" w:color="auto"/>
        <w:left w:val="none" w:sz="0" w:space="0" w:color="auto"/>
        <w:bottom w:val="none" w:sz="0" w:space="0" w:color="auto"/>
        <w:right w:val="none" w:sz="0" w:space="0" w:color="auto"/>
      </w:divBdr>
    </w:div>
    <w:div w:id="1003971376">
      <w:bodyDiv w:val="1"/>
      <w:marLeft w:val="0"/>
      <w:marRight w:val="0"/>
      <w:marTop w:val="0"/>
      <w:marBottom w:val="0"/>
      <w:divBdr>
        <w:top w:val="none" w:sz="0" w:space="0" w:color="auto"/>
        <w:left w:val="none" w:sz="0" w:space="0" w:color="auto"/>
        <w:bottom w:val="none" w:sz="0" w:space="0" w:color="auto"/>
        <w:right w:val="none" w:sz="0" w:space="0" w:color="auto"/>
      </w:divBdr>
    </w:div>
    <w:div w:id="1107383084">
      <w:bodyDiv w:val="1"/>
      <w:marLeft w:val="0"/>
      <w:marRight w:val="0"/>
      <w:marTop w:val="0"/>
      <w:marBottom w:val="0"/>
      <w:divBdr>
        <w:top w:val="none" w:sz="0" w:space="0" w:color="auto"/>
        <w:left w:val="none" w:sz="0" w:space="0" w:color="auto"/>
        <w:bottom w:val="none" w:sz="0" w:space="0" w:color="auto"/>
        <w:right w:val="none" w:sz="0" w:space="0" w:color="auto"/>
      </w:divBdr>
    </w:div>
    <w:div w:id="1167285847">
      <w:bodyDiv w:val="1"/>
      <w:marLeft w:val="0"/>
      <w:marRight w:val="0"/>
      <w:marTop w:val="0"/>
      <w:marBottom w:val="0"/>
      <w:divBdr>
        <w:top w:val="none" w:sz="0" w:space="0" w:color="auto"/>
        <w:left w:val="none" w:sz="0" w:space="0" w:color="auto"/>
        <w:bottom w:val="none" w:sz="0" w:space="0" w:color="auto"/>
        <w:right w:val="none" w:sz="0" w:space="0" w:color="auto"/>
      </w:divBdr>
    </w:div>
    <w:div w:id="1258101344">
      <w:bodyDiv w:val="1"/>
      <w:marLeft w:val="0"/>
      <w:marRight w:val="0"/>
      <w:marTop w:val="0"/>
      <w:marBottom w:val="0"/>
      <w:divBdr>
        <w:top w:val="none" w:sz="0" w:space="0" w:color="auto"/>
        <w:left w:val="none" w:sz="0" w:space="0" w:color="auto"/>
        <w:bottom w:val="none" w:sz="0" w:space="0" w:color="auto"/>
        <w:right w:val="none" w:sz="0" w:space="0" w:color="auto"/>
      </w:divBdr>
    </w:div>
    <w:div w:id="1290239025">
      <w:bodyDiv w:val="1"/>
      <w:marLeft w:val="0"/>
      <w:marRight w:val="0"/>
      <w:marTop w:val="0"/>
      <w:marBottom w:val="0"/>
      <w:divBdr>
        <w:top w:val="none" w:sz="0" w:space="0" w:color="auto"/>
        <w:left w:val="none" w:sz="0" w:space="0" w:color="auto"/>
        <w:bottom w:val="none" w:sz="0" w:space="0" w:color="auto"/>
        <w:right w:val="none" w:sz="0" w:space="0" w:color="auto"/>
      </w:divBdr>
    </w:div>
    <w:div w:id="1306810451">
      <w:bodyDiv w:val="1"/>
      <w:marLeft w:val="0"/>
      <w:marRight w:val="0"/>
      <w:marTop w:val="0"/>
      <w:marBottom w:val="0"/>
      <w:divBdr>
        <w:top w:val="none" w:sz="0" w:space="0" w:color="auto"/>
        <w:left w:val="none" w:sz="0" w:space="0" w:color="auto"/>
        <w:bottom w:val="none" w:sz="0" w:space="0" w:color="auto"/>
        <w:right w:val="none" w:sz="0" w:space="0" w:color="auto"/>
      </w:divBdr>
    </w:div>
    <w:div w:id="1355498220">
      <w:bodyDiv w:val="1"/>
      <w:marLeft w:val="0"/>
      <w:marRight w:val="0"/>
      <w:marTop w:val="0"/>
      <w:marBottom w:val="0"/>
      <w:divBdr>
        <w:top w:val="none" w:sz="0" w:space="0" w:color="auto"/>
        <w:left w:val="none" w:sz="0" w:space="0" w:color="auto"/>
        <w:bottom w:val="none" w:sz="0" w:space="0" w:color="auto"/>
        <w:right w:val="none" w:sz="0" w:space="0" w:color="auto"/>
      </w:divBdr>
    </w:div>
    <w:div w:id="1381854633">
      <w:bodyDiv w:val="1"/>
      <w:marLeft w:val="0"/>
      <w:marRight w:val="0"/>
      <w:marTop w:val="0"/>
      <w:marBottom w:val="0"/>
      <w:divBdr>
        <w:top w:val="none" w:sz="0" w:space="0" w:color="auto"/>
        <w:left w:val="none" w:sz="0" w:space="0" w:color="auto"/>
        <w:bottom w:val="none" w:sz="0" w:space="0" w:color="auto"/>
        <w:right w:val="none" w:sz="0" w:space="0" w:color="auto"/>
      </w:divBdr>
    </w:div>
    <w:div w:id="1457681871">
      <w:bodyDiv w:val="1"/>
      <w:marLeft w:val="0"/>
      <w:marRight w:val="0"/>
      <w:marTop w:val="0"/>
      <w:marBottom w:val="0"/>
      <w:divBdr>
        <w:top w:val="none" w:sz="0" w:space="0" w:color="auto"/>
        <w:left w:val="none" w:sz="0" w:space="0" w:color="auto"/>
        <w:bottom w:val="none" w:sz="0" w:space="0" w:color="auto"/>
        <w:right w:val="none" w:sz="0" w:space="0" w:color="auto"/>
      </w:divBdr>
    </w:div>
    <w:div w:id="1483889580">
      <w:bodyDiv w:val="1"/>
      <w:marLeft w:val="0"/>
      <w:marRight w:val="0"/>
      <w:marTop w:val="0"/>
      <w:marBottom w:val="0"/>
      <w:divBdr>
        <w:top w:val="none" w:sz="0" w:space="0" w:color="auto"/>
        <w:left w:val="none" w:sz="0" w:space="0" w:color="auto"/>
        <w:bottom w:val="none" w:sz="0" w:space="0" w:color="auto"/>
        <w:right w:val="none" w:sz="0" w:space="0" w:color="auto"/>
      </w:divBdr>
    </w:div>
    <w:div w:id="1508057861">
      <w:bodyDiv w:val="1"/>
      <w:marLeft w:val="0"/>
      <w:marRight w:val="0"/>
      <w:marTop w:val="0"/>
      <w:marBottom w:val="0"/>
      <w:divBdr>
        <w:top w:val="none" w:sz="0" w:space="0" w:color="auto"/>
        <w:left w:val="none" w:sz="0" w:space="0" w:color="auto"/>
        <w:bottom w:val="none" w:sz="0" w:space="0" w:color="auto"/>
        <w:right w:val="none" w:sz="0" w:space="0" w:color="auto"/>
      </w:divBdr>
    </w:div>
    <w:div w:id="1518226722">
      <w:bodyDiv w:val="1"/>
      <w:marLeft w:val="0"/>
      <w:marRight w:val="0"/>
      <w:marTop w:val="0"/>
      <w:marBottom w:val="0"/>
      <w:divBdr>
        <w:top w:val="none" w:sz="0" w:space="0" w:color="auto"/>
        <w:left w:val="none" w:sz="0" w:space="0" w:color="auto"/>
        <w:bottom w:val="none" w:sz="0" w:space="0" w:color="auto"/>
        <w:right w:val="none" w:sz="0" w:space="0" w:color="auto"/>
      </w:divBdr>
    </w:div>
    <w:div w:id="1530990073">
      <w:bodyDiv w:val="1"/>
      <w:marLeft w:val="0"/>
      <w:marRight w:val="0"/>
      <w:marTop w:val="0"/>
      <w:marBottom w:val="0"/>
      <w:divBdr>
        <w:top w:val="none" w:sz="0" w:space="0" w:color="auto"/>
        <w:left w:val="none" w:sz="0" w:space="0" w:color="auto"/>
        <w:bottom w:val="none" w:sz="0" w:space="0" w:color="auto"/>
        <w:right w:val="none" w:sz="0" w:space="0" w:color="auto"/>
      </w:divBdr>
    </w:div>
    <w:div w:id="1550452905">
      <w:bodyDiv w:val="1"/>
      <w:marLeft w:val="0"/>
      <w:marRight w:val="0"/>
      <w:marTop w:val="0"/>
      <w:marBottom w:val="0"/>
      <w:divBdr>
        <w:top w:val="none" w:sz="0" w:space="0" w:color="auto"/>
        <w:left w:val="none" w:sz="0" w:space="0" w:color="auto"/>
        <w:bottom w:val="none" w:sz="0" w:space="0" w:color="auto"/>
        <w:right w:val="none" w:sz="0" w:space="0" w:color="auto"/>
      </w:divBdr>
    </w:div>
    <w:div w:id="1559245451">
      <w:bodyDiv w:val="1"/>
      <w:marLeft w:val="0"/>
      <w:marRight w:val="0"/>
      <w:marTop w:val="0"/>
      <w:marBottom w:val="0"/>
      <w:divBdr>
        <w:top w:val="none" w:sz="0" w:space="0" w:color="auto"/>
        <w:left w:val="none" w:sz="0" w:space="0" w:color="auto"/>
        <w:bottom w:val="none" w:sz="0" w:space="0" w:color="auto"/>
        <w:right w:val="none" w:sz="0" w:space="0" w:color="auto"/>
      </w:divBdr>
    </w:div>
    <w:div w:id="1565525408">
      <w:bodyDiv w:val="1"/>
      <w:marLeft w:val="0"/>
      <w:marRight w:val="0"/>
      <w:marTop w:val="0"/>
      <w:marBottom w:val="0"/>
      <w:divBdr>
        <w:top w:val="none" w:sz="0" w:space="0" w:color="auto"/>
        <w:left w:val="none" w:sz="0" w:space="0" w:color="auto"/>
        <w:bottom w:val="none" w:sz="0" w:space="0" w:color="auto"/>
        <w:right w:val="none" w:sz="0" w:space="0" w:color="auto"/>
      </w:divBdr>
    </w:div>
    <w:div w:id="1583836277">
      <w:bodyDiv w:val="1"/>
      <w:marLeft w:val="0"/>
      <w:marRight w:val="0"/>
      <w:marTop w:val="0"/>
      <w:marBottom w:val="0"/>
      <w:divBdr>
        <w:top w:val="none" w:sz="0" w:space="0" w:color="auto"/>
        <w:left w:val="none" w:sz="0" w:space="0" w:color="auto"/>
        <w:bottom w:val="none" w:sz="0" w:space="0" w:color="auto"/>
        <w:right w:val="none" w:sz="0" w:space="0" w:color="auto"/>
      </w:divBdr>
      <w:divsChild>
        <w:div w:id="1267618417">
          <w:marLeft w:val="0"/>
          <w:marRight w:val="0"/>
          <w:marTop w:val="0"/>
          <w:marBottom w:val="0"/>
          <w:divBdr>
            <w:top w:val="none" w:sz="0" w:space="0" w:color="auto"/>
            <w:left w:val="none" w:sz="0" w:space="0" w:color="auto"/>
            <w:bottom w:val="none" w:sz="0" w:space="0" w:color="auto"/>
            <w:right w:val="none" w:sz="0" w:space="0" w:color="auto"/>
          </w:divBdr>
          <w:divsChild>
            <w:div w:id="16427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97547">
      <w:bodyDiv w:val="1"/>
      <w:marLeft w:val="0"/>
      <w:marRight w:val="0"/>
      <w:marTop w:val="0"/>
      <w:marBottom w:val="0"/>
      <w:divBdr>
        <w:top w:val="none" w:sz="0" w:space="0" w:color="auto"/>
        <w:left w:val="none" w:sz="0" w:space="0" w:color="auto"/>
        <w:bottom w:val="none" w:sz="0" w:space="0" w:color="auto"/>
        <w:right w:val="none" w:sz="0" w:space="0" w:color="auto"/>
      </w:divBdr>
    </w:div>
    <w:div w:id="1726637126">
      <w:bodyDiv w:val="1"/>
      <w:marLeft w:val="0"/>
      <w:marRight w:val="0"/>
      <w:marTop w:val="0"/>
      <w:marBottom w:val="0"/>
      <w:divBdr>
        <w:top w:val="none" w:sz="0" w:space="0" w:color="auto"/>
        <w:left w:val="none" w:sz="0" w:space="0" w:color="auto"/>
        <w:bottom w:val="none" w:sz="0" w:space="0" w:color="auto"/>
        <w:right w:val="none" w:sz="0" w:space="0" w:color="auto"/>
      </w:divBdr>
    </w:div>
    <w:div w:id="1740060421">
      <w:bodyDiv w:val="1"/>
      <w:marLeft w:val="0"/>
      <w:marRight w:val="0"/>
      <w:marTop w:val="0"/>
      <w:marBottom w:val="0"/>
      <w:divBdr>
        <w:top w:val="none" w:sz="0" w:space="0" w:color="auto"/>
        <w:left w:val="none" w:sz="0" w:space="0" w:color="auto"/>
        <w:bottom w:val="none" w:sz="0" w:space="0" w:color="auto"/>
        <w:right w:val="none" w:sz="0" w:space="0" w:color="auto"/>
      </w:divBdr>
    </w:div>
    <w:div w:id="1783501258">
      <w:bodyDiv w:val="1"/>
      <w:marLeft w:val="0"/>
      <w:marRight w:val="0"/>
      <w:marTop w:val="0"/>
      <w:marBottom w:val="0"/>
      <w:divBdr>
        <w:top w:val="none" w:sz="0" w:space="0" w:color="auto"/>
        <w:left w:val="none" w:sz="0" w:space="0" w:color="auto"/>
        <w:bottom w:val="none" w:sz="0" w:space="0" w:color="auto"/>
        <w:right w:val="none" w:sz="0" w:space="0" w:color="auto"/>
      </w:divBdr>
    </w:div>
    <w:div w:id="1873032223">
      <w:bodyDiv w:val="1"/>
      <w:marLeft w:val="0"/>
      <w:marRight w:val="0"/>
      <w:marTop w:val="0"/>
      <w:marBottom w:val="0"/>
      <w:divBdr>
        <w:top w:val="none" w:sz="0" w:space="0" w:color="auto"/>
        <w:left w:val="none" w:sz="0" w:space="0" w:color="auto"/>
        <w:bottom w:val="none" w:sz="0" w:space="0" w:color="auto"/>
        <w:right w:val="none" w:sz="0" w:space="0" w:color="auto"/>
      </w:divBdr>
    </w:div>
    <w:div w:id="1962224527">
      <w:bodyDiv w:val="1"/>
      <w:marLeft w:val="0"/>
      <w:marRight w:val="0"/>
      <w:marTop w:val="0"/>
      <w:marBottom w:val="0"/>
      <w:divBdr>
        <w:top w:val="none" w:sz="0" w:space="0" w:color="auto"/>
        <w:left w:val="none" w:sz="0" w:space="0" w:color="auto"/>
        <w:bottom w:val="none" w:sz="0" w:space="0" w:color="auto"/>
        <w:right w:val="none" w:sz="0" w:space="0" w:color="auto"/>
      </w:divBdr>
    </w:div>
    <w:div w:id="209697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W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C7BEB-FEA5-4519-97E8-274C847FA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Wor.dot</Template>
  <TotalTime>1</TotalTime>
  <Pages>7</Pages>
  <Words>1375</Words>
  <Characters>7567</Characters>
  <Application>Microsoft Office Word</Application>
  <DocSecurity>0</DocSecurity>
  <PresentationFormat>Microsoft Word 11.0</PresentationFormat>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RYAN</dc:creator>
  <cp:keywords>EL4</cp:keywords>
  <cp:lastModifiedBy>Soyer</cp:lastModifiedBy>
  <cp:revision>1</cp:revision>
  <cp:lastPrinted>2015-03-27T11:53:00Z</cp:lastPrinted>
  <dcterms:created xsi:type="dcterms:W3CDTF">2015-03-12T10:33:00Z</dcterms:created>
  <dcterms:modified xsi:type="dcterms:W3CDTF">2015-06-26T07:20:00Z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[20020710]</vt:lpwstr>
  </property>
  <property fmtid="{D5CDD505-2E9C-101B-9397-08002B2CF9AE}" pid="6" name="Last edited using">
    <vt:lpwstr>EL 4.1 [20020710]</vt:lpwstr>
  </property>
  <property fmtid="{D5CDD505-2E9C-101B-9397-08002B2CF9AE}" pid="7" name="EL_Author">
    <vt:lpwstr>Michael RYAN</vt:lpwstr>
  </property>
  <property fmtid="{D5CDD505-2E9C-101B-9397-08002B2CF9AE}" pid="8" name="Type">
    <vt:lpwstr>Eurolook Working Template</vt:lpwstr>
  </property>
  <property fmtid="{D5CDD505-2E9C-101B-9397-08002B2CF9AE}" pid="9" name="Language">
    <vt:lpwstr>FR</vt:lpwstr>
  </property>
  <property fmtid="{D5CDD505-2E9C-101B-9397-08002B2CF9AE}" pid="10" name="EL_Language">
    <vt:lpwstr>FR</vt:lpwstr>
  </property>
</Properties>
</file>