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7B" w:rsidRDefault="0070087B">
      <w:pPr>
        <w:rPr>
          <w:b/>
        </w:rPr>
      </w:pPr>
    </w:p>
    <w:p w:rsidR="0070087B" w:rsidRDefault="0070087B" w:rsidP="0070087B">
      <w:pPr>
        <w:rPr>
          <w:b/>
        </w:rPr>
      </w:pPr>
    </w:p>
    <w:tbl>
      <w:tblPr>
        <w:tblW w:w="0" w:type="auto"/>
        <w:tblLayout w:type="fixed"/>
        <w:tblCellMar>
          <w:left w:w="0" w:type="dxa"/>
          <w:right w:w="0" w:type="dxa"/>
        </w:tblCellMar>
        <w:tblLook w:val="04A0" w:firstRow="1" w:lastRow="0" w:firstColumn="1" w:lastColumn="0" w:noHBand="0" w:noVBand="1"/>
      </w:tblPr>
      <w:tblGrid>
        <w:gridCol w:w="5103"/>
        <w:gridCol w:w="4366"/>
      </w:tblGrid>
      <w:tr w:rsidR="0070087B" w:rsidTr="0070087B">
        <w:trPr>
          <w:trHeight w:val="1440"/>
        </w:trPr>
        <w:tc>
          <w:tcPr>
            <w:tcW w:w="5103" w:type="dxa"/>
            <w:hideMark/>
          </w:tcPr>
          <w:p w:rsidR="0070087B" w:rsidRDefault="0070087B">
            <w:r>
              <w:rPr>
                <w:noProof/>
                <w:sz w:val="20"/>
                <w:lang w:val="fr-BE" w:eastAsia="fr-BE"/>
              </w:rPr>
              <w:drawing>
                <wp:inline distT="0" distB="0" distL="0" distR="0">
                  <wp:extent cx="3016885" cy="1065530"/>
                  <wp:effectExtent l="0" t="0" r="0" b="127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885" cy="1065530"/>
                          </a:xfrm>
                          <a:prstGeom prst="rect">
                            <a:avLst/>
                          </a:prstGeom>
                          <a:noFill/>
                          <a:ln>
                            <a:noFill/>
                          </a:ln>
                        </pic:spPr>
                      </pic:pic>
                    </a:graphicData>
                  </a:graphic>
                </wp:inline>
              </w:drawing>
            </w:r>
          </w:p>
        </w:tc>
        <w:tc>
          <w:tcPr>
            <w:tcW w:w="4366" w:type="dxa"/>
          </w:tcPr>
          <w:p w:rsidR="0070087B" w:rsidRDefault="0070087B">
            <w:pPr>
              <w:pStyle w:val="ZCom"/>
              <w:spacing w:line="276" w:lineRule="auto"/>
              <w:rPr>
                <w:lang w:eastAsia="zh-CN"/>
              </w:rPr>
            </w:pPr>
            <w:r>
              <w:rPr>
                <w:lang w:eastAsia="zh-CN"/>
              </w:rPr>
              <w:t>Écoles Européennes</w:t>
            </w:r>
          </w:p>
          <w:p w:rsidR="0070087B" w:rsidRDefault="0070087B">
            <w:pPr>
              <w:pStyle w:val="ZDGName"/>
              <w:spacing w:line="276" w:lineRule="auto"/>
              <w:rPr>
                <w:lang w:eastAsia="zh-CN"/>
              </w:rPr>
            </w:pPr>
            <w:r>
              <w:rPr>
                <w:lang w:eastAsia="zh-CN"/>
              </w:rPr>
              <w:t xml:space="preserve">Bureau du Secrétaire général </w:t>
            </w:r>
          </w:p>
          <w:p w:rsidR="0070087B" w:rsidRDefault="0070087B">
            <w:pPr>
              <w:pStyle w:val="ZDGName"/>
              <w:spacing w:line="276" w:lineRule="auto"/>
              <w:rPr>
                <w:lang w:eastAsia="zh-CN"/>
              </w:rPr>
            </w:pPr>
          </w:p>
          <w:p w:rsidR="0070087B" w:rsidRDefault="0070087B">
            <w:pPr>
              <w:pStyle w:val="ZDGName"/>
              <w:spacing w:line="276" w:lineRule="auto"/>
              <w:rPr>
                <w:b/>
                <w:lang w:eastAsia="zh-CN"/>
              </w:rPr>
            </w:pPr>
            <w:r>
              <w:rPr>
                <w:b/>
                <w:lang w:eastAsia="zh-CN"/>
              </w:rPr>
              <w:t>Administration</w:t>
            </w:r>
          </w:p>
          <w:p w:rsidR="0070087B" w:rsidRDefault="0070087B">
            <w:pPr>
              <w:pStyle w:val="ZDGName"/>
              <w:spacing w:line="276" w:lineRule="auto"/>
              <w:rPr>
                <w:lang w:eastAsia="zh-CN"/>
              </w:rPr>
            </w:pPr>
            <w:r>
              <w:rPr>
                <w:lang w:eastAsia="zh-CN"/>
              </w:rPr>
              <w:t>Comptabilité</w:t>
            </w:r>
          </w:p>
          <w:p w:rsidR="0070087B" w:rsidRDefault="0070087B">
            <w:pPr>
              <w:pStyle w:val="ZDGName"/>
              <w:widowControl/>
              <w:spacing w:line="276" w:lineRule="auto"/>
              <w:rPr>
                <w:lang w:eastAsia="zh-CN"/>
              </w:rPr>
            </w:pPr>
          </w:p>
        </w:tc>
      </w:tr>
    </w:tbl>
    <w:p w:rsidR="0070087B" w:rsidRPr="001E7218" w:rsidRDefault="004407C3" w:rsidP="0070087B">
      <w:pPr>
        <w:pStyle w:val="References"/>
        <w:rPr>
          <w:lang w:val="da-DK"/>
        </w:rPr>
      </w:pPr>
      <w:r w:rsidRPr="001E7218">
        <w:rPr>
          <w:lang w:val="da-DK"/>
        </w:rPr>
        <w:t xml:space="preserve">Réf. : </w:t>
      </w:r>
      <w:bookmarkStart w:id="0" w:name="_GoBack"/>
      <w:r w:rsidRPr="001E7218">
        <w:rPr>
          <w:lang w:val="da-DK"/>
        </w:rPr>
        <w:t>2015-02-D-37-en-3</w:t>
      </w:r>
      <w:bookmarkEnd w:id="0"/>
      <w:r w:rsidR="0070087B" w:rsidRPr="001E7218">
        <w:rPr>
          <w:lang w:val="da-DK"/>
        </w:rPr>
        <w:tab/>
      </w:r>
    </w:p>
    <w:p w:rsidR="0070087B" w:rsidRPr="001E7218" w:rsidRDefault="004407C3" w:rsidP="0070087B">
      <w:pPr>
        <w:pStyle w:val="References"/>
        <w:rPr>
          <w:lang w:val="da-DK"/>
        </w:rPr>
      </w:pPr>
      <w:r w:rsidRPr="001E7218">
        <w:rPr>
          <w:lang w:val="da-DK"/>
        </w:rPr>
        <w:t>Orig : EN</w:t>
      </w:r>
    </w:p>
    <w:p w:rsidR="0070087B" w:rsidRPr="001E7218" w:rsidRDefault="0070087B" w:rsidP="0070087B">
      <w:pPr>
        <w:pStyle w:val="DocumentTitle"/>
        <w:pBdr>
          <w:bottom w:val="single" w:sz="4" w:space="0" w:color="auto"/>
        </w:pBdr>
        <w:ind w:right="-596"/>
        <w:rPr>
          <w:lang w:val="da-DK"/>
        </w:rPr>
      </w:pPr>
      <w:r w:rsidRPr="001E7218">
        <w:rPr>
          <w:lang w:val="da-DK"/>
        </w:rPr>
        <w:t xml:space="preserve">AMENDING BUDGET </w:t>
      </w:r>
      <w:r w:rsidR="001E7218">
        <w:rPr>
          <w:lang w:val="da-DK"/>
        </w:rPr>
        <w:t>1/2015</w:t>
      </w:r>
    </w:p>
    <w:p w:rsidR="0070087B" w:rsidRDefault="00801D6D" w:rsidP="0070087B">
      <w:pPr>
        <w:pStyle w:val="SubTitle1"/>
        <w:spacing w:before="120"/>
        <w:rPr>
          <w:sz w:val="24"/>
          <w:szCs w:val="24"/>
          <w:lang w:val="en-GB"/>
        </w:rPr>
      </w:pPr>
      <w:r>
        <w:rPr>
          <w:sz w:val="24"/>
          <w:szCs w:val="24"/>
          <w:lang w:val="en-GB"/>
        </w:rPr>
        <w:t>Board of Governo</w:t>
      </w:r>
      <w:r w:rsidR="005E4744">
        <w:rPr>
          <w:sz w:val="24"/>
          <w:szCs w:val="24"/>
          <w:lang w:val="en-GB"/>
        </w:rPr>
        <w:t>rs</w:t>
      </w:r>
    </w:p>
    <w:p w:rsidR="0070087B" w:rsidRDefault="005E4744" w:rsidP="001E7218">
      <w:pPr>
        <w:pStyle w:val="SubTitle1"/>
        <w:pBdr>
          <w:bottom w:val="single" w:sz="4" w:space="1" w:color="auto"/>
        </w:pBdr>
        <w:spacing w:before="120"/>
        <w:rPr>
          <w:lang w:val="en-GB"/>
        </w:rPr>
      </w:pPr>
      <w:r>
        <w:rPr>
          <w:lang w:val="en-GB"/>
        </w:rPr>
        <w:t>Meeting in Prague on 15, 16 and 17 April 2015</w:t>
      </w:r>
    </w:p>
    <w:p w:rsidR="0070087B" w:rsidRDefault="0070087B" w:rsidP="0070087B">
      <w:pPr>
        <w:pStyle w:val="SubTitle1"/>
        <w:spacing w:before="120"/>
        <w:rPr>
          <w:lang w:val="en-GB"/>
        </w:rPr>
      </w:pPr>
    </w:p>
    <w:p w:rsidR="0070087B" w:rsidRDefault="0070087B" w:rsidP="0070087B">
      <w:pPr>
        <w:pStyle w:val="SubTitle1"/>
        <w:spacing w:before="120"/>
        <w:rPr>
          <w:lang w:val="en-GB"/>
        </w:rPr>
      </w:pPr>
    </w:p>
    <w:p w:rsidR="0070087B" w:rsidRDefault="0070087B" w:rsidP="0070087B">
      <w:pPr>
        <w:pStyle w:val="SubTitle1"/>
        <w:spacing w:before="120"/>
        <w:rPr>
          <w:lang w:val="en-GB"/>
        </w:rPr>
      </w:pPr>
    </w:p>
    <w:p w:rsidR="0070087B" w:rsidRDefault="0070087B" w:rsidP="0070087B">
      <w:pPr>
        <w:pStyle w:val="SubTitle1"/>
        <w:spacing w:before="120"/>
        <w:rPr>
          <w:color w:val="000000"/>
          <w:u w:val="single"/>
          <w:lang w:val="en-GB"/>
        </w:rPr>
      </w:pPr>
    </w:p>
    <w:p w:rsidR="0070087B" w:rsidRDefault="0070087B">
      <w:pPr>
        <w:rPr>
          <w:b/>
        </w:rPr>
      </w:pPr>
      <w:r>
        <w:rPr>
          <w:b/>
        </w:rPr>
        <w:br w:type="page"/>
      </w:r>
    </w:p>
    <w:p w:rsidR="00F9132B" w:rsidRPr="00904413" w:rsidRDefault="00210D0F">
      <w:pPr>
        <w:rPr>
          <w:b/>
        </w:rPr>
      </w:pPr>
      <w:r w:rsidRPr="00904413">
        <w:rPr>
          <w:b/>
        </w:rPr>
        <w:lastRenderedPageBreak/>
        <w:t>Amending Budget 1/2015</w:t>
      </w:r>
    </w:p>
    <w:p w:rsidR="00D14E14" w:rsidRPr="00904413" w:rsidRDefault="00D14E14" w:rsidP="00904413">
      <w:pPr>
        <w:jc w:val="both"/>
        <w:rPr>
          <w:rFonts w:ascii="Times New Roman" w:hAnsi="Times New Roman" w:cs="Times New Roman"/>
        </w:rPr>
      </w:pPr>
      <w:r w:rsidRPr="00904413">
        <w:rPr>
          <w:rFonts w:ascii="Times New Roman" w:hAnsi="Times New Roman" w:cs="Times New Roman"/>
        </w:rPr>
        <w:t>The Financial Regulation foresees the possibility of amending budgets ‘In the event of unavoidable, exceptional or unforeseen circumstances’ (Article 15.1). Amending Budget 1 / 2015 comprises four elements which were not foreseen at the moment when the 2015 Budget was adopted by the Board of Governors</w:t>
      </w:r>
      <w:r w:rsidR="007107D4" w:rsidRPr="00904413">
        <w:rPr>
          <w:rFonts w:ascii="Times New Roman" w:hAnsi="Times New Roman" w:cs="Times New Roman"/>
        </w:rPr>
        <w:t xml:space="preserve"> in Sofia (April 2014). These elements are:</w:t>
      </w:r>
    </w:p>
    <w:p w:rsidR="00210D0F" w:rsidRPr="00904413" w:rsidRDefault="00904413" w:rsidP="0068003B">
      <w:pPr>
        <w:pStyle w:val="ListParagraph"/>
        <w:numPr>
          <w:ilvl w:val="0"/>
          <w:numId w:val="2"/>
        </w:numPr>
        <w:rPr>
          <w:rFonts w:ascii="Times New Roman" w:hAnsi="Times New Roman"/>
          <w:b/>
        </w:rPr>
      </w:pPr>
      <w:r w:rsidRPr="00904413">
        <w:rPr>
          <w:rFonts w:ascii="Times New Roman" w:hAnsi="Times New Roman"/>
          <w:b/>
        </w:rPr>
        <w:t>Study on the reorganiz</w:t>
      </w:r>
      <w:r w:rsidR="007107D4" w:rsidRPr="00904413">
        <w:rPr>
          <w:rFonts w:ascii="Times New Roman" w:hAnsi="Times New Roman"/>
          <w:b/>
        </w:rPr>
        <w:t>ation of studies in the secondary cycle. (92 600 €)</w:t>
      </w:r>
    </w:p>
    <w:p w:rsidR="0068003B" w:rsidRPr="00904413" w:rsidRDefault="0068003B" w:rsidP="0068003B">
      <w:pPr>
        <w:pStyle w:val="ListParagraph"/>
        <w:rPr>
          <w:rFonts w:ascii="Times New Roman" w:hAnsi="Times New Roman"/>
        </w:rPr>
      </w:pPr>
    </w:p>
    <w:p w:rsidR="007107D4" w:rsidRPr="00904413" w:rsidRDefault="007107D4" w:rsidP="00904413">
      <w:pPr>
        <w:jc w:val="both"/>
        <w:rPr>
          <w:rFonts w:ascii="Times New Roman" w:hAnsi="Times New Roman" w:cs="Times New Roman"/>
          <w:iCs/>
          <w:color w:val="000000"/>
        </w:rPr>
      </w:pPr>
      <w:r w:rsidRPr="00904413">
        <w:rPr>
          <w:rFonts w:ascii="Times New Roman" w:hAnsi="Times New Roman" w:cs="Times New Roman"/>
          <w:iCs/>
          <w:color w:val="000000"/>
        </w:rPr>
        <w:t>The Board of Governors of April 2014 agreed to the allocation of an amount of some 120 000 € in order to carry out a study on the reorganization of secondary studies. This decision was not accompa</w:t>
      </w:r>
      <w:r w:rsidR="007B5BBE">
        <w:rPr>
          <w:rFonts w:ascii="Times New Roman" w:hAnsi="Times New Roman" w:cs="Times New Roman"/>
          <w:iCs/>
          <w:color w:val="000000"/>
        </w:rPr>
        <w:t>nied by a corresponding provision in</w:t>
      </w:r>
      <w:r w:rsidRPr="00904413">
        <w:rPr>
          <w:rFonts w:ascii="Times New Roman" w:hAnsi="Times New Roman" w:cs="Times New Roman"/>
          <w:iCs/>
          <w:color w:val="000000"/>
        </w:rPr>
        <w:t xml:space="preserve"> the relevant Budget item. </w:t>
      </w:r>
    </w:p>
    <w:p w:rsidR="00E14A61" w:rsidRPr="00904413" w:rsidRDefault="00E14A61" w:rsidP="00904413">
      <w:pPr>
        <w:jc w:val="both"/>
        <w:rPr>
          <w:rFonts w:ascii="Times New Roman" w:hAnsi="Times New Roman" w:cs="Times New Roman"/>
          <w:iCs/>
          <w:color w:val="000000"/>
        </w:rPr>
      </w:pPr>
      <w:r w:rsidRPr="00904413">
        <w:rPr>
          <w:rFonts w:ascii="Times New Roman" w:hAnsi="Times New Roman" w:cs="Times New Roman"/>
          <w:iCs/>
          <w:color w:val="000000"/>
        </w:rPr>
        <w:t xml:space="preserve">The Office of the Secretary General launched a procurement procedure to this end and awarded the market to Education Institute, University of London on 18 July 2014. As foreseen in the terms of reference, an amount of 24 000 € was paid after the delivery of the initial report on September 30, 2014. The remaining 92 600 € will need to be paid in 2015 after the delivery of the interim and final reports. </w:t>
      </w:r>
    </w:p>
    <w:p w:rsidR="00210D0F" w:rsidRPr="00904413" w:rsidRDefault="005B5850" w:rsidP="001E5B43">
      <w:pPr>
        <w:pStyle w:val="ListParagraph"/>
        <w:numPr>
          <w:ilvl w:val="0"/>
          <w:numId w:val="2"/>
        </w:numPr>
        <w:rPr>
          <w:rFonts w:ascii="Times New Roman" w:hAnsi="Times New Roman"/>
          <w:b/>
        </w:rPr>
      </w:pPr>
      <w:r w:rsidRPr="00904413">
        <w:rPr>
          <w:rFonts w:ascii="Times New Roman" w:hAnsi="Times New Roman"/>
          <w:b/>
        </w:rPr>
        <w:t>Revision of syllabuses in secondary (145 000 €)</w:t>
      </w:r>
    </w:p>
    <w:p w:rsidR="001E5B43" w:rsidRPr="00904413" w:rsidRDefault="001E5B43" w:rsidP="001E5B43">
      <w:pPr>
        <w:pStyle w:val="ListParagraph"/>
        <w:rPr>
          <w:rFonts w:ascii="Times New Roman" w:hAnsi="Times New Roman"/>
        </w:rPr>
      </w:pPr>
    </w:p>
    <w:p w:rsidR="001E5B43" w:rsidRPr="00904413" w:rsidRDefault="005B5850" w:rsidP="005B5850">
      <w:pPr>
        <w:jc w:val="both"/>
        <w:rPr>
          <w:rFonts w:ascii="Times New Roman" w:hAnsi="Times New Roman" w:cs="Times New Roman"/>
        </w:rPr>
      </w:pPr>
      <w:r w:rsidRPr="00904413">
        <w:rPr>
          <w:rFonts w:ascii="Times New Roman" w:hAnsi="Times New Roman" w:cs="Times New Roman"/>
        </w:rPr>
        <w:t>Following the decision of the Board of Governors to revise the syllabuses in the secondary cycle and base them on competences, including evaluation criteria, the activities of the relevant working groups will increase significantly in 2015 and 2016. In this context, at</w:t>
      </w:r>
      <w:r w:rsidR="001E5B43" w:rsidRPr="00904413">
        <w:rPr>
          <w:rFonts w:ascii="Times New Roman" w:hAnsi="Times New Roman" w:cs="Times New Roman"/>
        </w:rPr>
        <w:t xml:space="preserve"> its meeting of 11 February</w:t>
      </w:r>
      <w:r w:rsidR="00E14A61" w:rsidRPr="00904413">
        <w:rPr>
          <w:rFonts w:ascii="Times New Roman" w:hAnsi="Times New Roman" w:cs="Times New Roman"/>
        </w:rPr>
        <w:t xml:space="preserve"> 2015</w:t>
      </w:r>
      <w:r w:rsidR="001E5B43" w:rsidRPr="00904413">
        <w:rPr>
          <w:rFonts w:ascii="Times New Roman" w:hAnsi="Times New Roman" w:cs="Times New Roman"/>
        </w:rPr>
        <w:t>, the J</w:t>
      </w:r>
      <w:r w:rsidR="004B66E7">
        <w:rPr>
          <w:rFonts w:ascii="Times New Roman" w:hAnsi="Times New Roman" w:cs="Times New Roman"/>
        </w:rPr>
        <w:t xml:space="preserve">oint </w:t>
      </w:r>
      <w:r w:rsidR="001E5B43" w:rsidRPr="00904413">
        <w:rPr>
          <w:rFonts w:ascii="Times New Roman" w:hAnsi="Times New Roman" w:cs="Times New Roman"/>
        </w:rPr>
        <w:t>B</w:t>
      </w:r>
      <w:r w:rsidR="00292509">
        <w:rPr>
          <w:rFonts w:ascii="Times New Roman" w:hAnsi="Times New Roman" w:cs="Times New Roman"/>
        </w:rPr>
        <w:t>oard o</w:t>
      </w:r>
      <w:r w:rsidR="004B66E7">
        <w:rPr>
          <w:rFonts w:ascii="Times New Roman" w:hAnsi="Times New Roman" w:cs="Times New Roman"/>
        </w:rPr>
        <w:t xml:space="preserve">f </w:t>
      </w:r>
      <w:r w:rsidR="001E5B43" w:rsidRPr="00904413">
        <w:rPr>
          <w:rFonts w:ascii="Times New Roman" w:hAnsi="Times New Roman" w:cs="Times New Roman"/>
        </w:rPr>
        <w:t>I</w:t>
      </w:r>
      <w:r w:rsidR="004B66E7">
        <w:rPr>
          <w:rFonts w:ascii="Times New Roman" w:hAnsi="Times New Roman" w:cs="Times New Roman"/>
        </w:rPr>
        <w:t>nspectors (JBI)</w:t>
      </w:r>
      <w:r w:rsidR="001E5B43" w:rsidRPr="00904413">
        <w:rPr>
          <w:rFonts w:ascii="Times New Roman" w:hAnsi="Times New Roman" w:cs="Times New Roman"/>
        </w:rPr>
        <w:t xml:space="preserve"> approved the planning of the pedagogical working groups foreseen until the end of 2015 – see document 2014-09-D-35-en-fr-2. All activities that have been mentioned in the plan were considered having the same priority.</w:t>
      </w:r>
    </w:p>
    <w:p w:rsidR="001E5B43" w:rsidRPr="00904413" w:rsidRDefault="001E5B43" w:rsidP="005B5850">
      <w:pPr>
        <w:jc w:val="both"/>
        <w:rPr>
          <w:rFonts w:ascii="Times New Roman" w:hAnsi="Times New Roman" w:cs="Times New Roman"/>
        </w:rPr>
      </w:pPr>
      <w:r w:rsidRPr="00904413">
        <w:rPr>
          <w:rFonts w:ascii="Times New Roman" w:hAnsi="Times New Roman" w:cs="Times New Roman"/>
        </w:rPr>
        <w:t>The JBI also wished to draw attention to the fact that some new mandates had been given at these February pedagogical meetings, on the one hand, by the B</w:t>
      </w:r>
      <w:r w:rsidR="004B66E7">
        <w:rPr>
          <w:rFonts w:ascii="Times New Roman" w:hAnsi="Times New Roman" w:cs="Times New Roman"/>
        </w:rPr>
        <w:t xml:space="preserve">oard of </w:t>
      </w:r>
      <w:r w:rsidRPr="00904413">
        <w:rPr>
          <w:rFonts w:ascii="Times New Roman" w:hAnsi="Times New Roman" w:cs="Times New Roman"/>
        </w:rPr>
        <w:t>I</w:t>
      </w:r>
      <w:r w:rsidR="004B66E7">
        <w:rPr>
          <w:rFonts w:ascii="Times New Roman" w:hAnsi="Times New Roman" w:cs="Times New Roman"/>
        </w:rPr>
        <w:t>nspectors (BI)</w:t>
      </w:r>
      <w:r w:rsidRPr="00904413">
        <w:rPr>
          <w:rFonts w:ascii="Times New Roman" w:hAnsi="Times New Roman" w:cs="Times New Roman"/>
        </w:rPr>
        <w:t xml:space="preserve"> and on the other, by the J</w:t>
      </w:r>
      <w:r w:rsidR="004B66E7">
        <w:rPr>
          <w:rFonts w:ascii="Times New Roman" w:hAnsi="Times New Roman" w:cs="Times New Roman"/>
        </w:rPr>
        <w:t xml:space="preserve">oint </w:t>
      </w:r>
      <w:r w:rsidRPr="00904413">
        <w:rPr>
          <w:rFonts w:ascii="Times New Roman" w:hAnsi="Times New Roman" w:cs="Times New Roman"/>
        </w:rPr>
        <w:t>T</w:t>
      </w:r>
      <w:r w:rsidR="004B66E7">
        <w:rPr>
          <w:rFonts w:ascii="Times New Roman" w:hAnsi="Times New Roman" w:cs="Times New Roman"/>
        </w:rPr>
        <w:t xml:space="preserve">eaching </w:t>
      </w:r>
      <w:r w:rsidRPr="00904413">
        <w:rPr>
          <w:rFonts w:ascii="Times New Roman" w:hAnsi="Times New Roman" w:cs="Times New Roman"/>
        </w:rPr>
        <w:t>C</w:t>
      </w:r>
      <w:r w:rsidR="004B66E7">
        <w:rPr>
          <w:rFonts w:ascii="Times New Roman" w:hAnsi="Times New Roman" w:cs="Times New Roman"/>
        </w:rPr>
        <w:t>ommittee (JTC)</w:t>
      </w:r>
      <w:r w:rsidRPr="00904413">
        <w:rPr>
          <w:rFonts w:ascii="Times New Roman" w:hAnsi="Times New Roman" w:cs="Times New Roman"/>
        </w:rPr>
        <w:t xml:space="preserve">.  Those new mandates were also designated as having the same priority. </w:t>
      </w:r>
    </w:p>
    <w:p w:rsidR="001E5B43" w:rsidRPr="00904413" w:rsidRDefault="001E5B43" w:rsidP="001E5B43">
      <w:pPr>
        <w:pStyle w:val="ListParagraph"/>
        <w:rPr>
          <w:rFonts w:ascii="Times New Roman" w:hAnsi="Times New Roman"/>
        </w:rPr>
      </w:pPr>
    </w:p>
    <w:p w:rsidR="001E5B43" w:rsidRPr="00904413" w:rsidRDefault="007B5BBE" w:rsidP="001E5B43">
      <w:pPr>
        <w:pStyle w:val="ListParagraph"/>
        <w:numPr>
          <w:ilvl w:val="0"/>
          <w:numId w:val="2"/>
        </w:numPr>
        <w:rPr>
          <w:rFonts w:ascii="Times New Roman" w:hAnsi="Times New Roman"/>
          <w:b/>
        </w:rPr>
      </w:pPr>
      <w:r>
        <w:rPr>
          <w:rFonts w:ascii="Times New Roman" w:hAnsi="Times New Roman"/>
          <w:b/>
        </w:rPr>
        <w:t>Go live</w:t>
      </w:r>
      <w:r w:rsidR="00287AE5" w:rsidRPr="00904413">
        <w:rPr>
          <w:rFonts w:ascii="Times New Roman" w:hAnsi="Times New Roman"/>
          <w:b/>
        </w:rPr>
        <w:t xml:space="preserve"> of </w:t>
      </w:r>
      <w:r w:rsidR="001E5B43" w:rsidRPr="00904413">
        <w:rPr>
          <w:rFonts w:ascii="Times New Roman" w:hAnsi="Times New Roman"/>
          <w:b/>
        </w:rPr>
        <w:t>SAP</w:t>
      </w:r>
      <w:r w:rsidR="004407C3">
        <w:rPr>
          <w:rFonts w:ascii="Times New Roman" w:hAnsi="Times New Roman"/>
          <w:b/>
        </w:rPr>
        <w:t xml:space="preserve"> (1 012 000</w:t>
      </w:r>
      <w:r w:rsidR="00287AE5" w:rsidRPr="00904413">
        <w:rPr>
          <w:rFonts w:ascii="Times New Roman" w:hAnsi="Times New Roman"/>
          <w:b/>
        </w:rPr>
        <w:t xml:space="preserve"> €)</w:t>
      </w:r>
    </w:p>
    <w:p w:rsidR="001E5B43" w:rsidRPr="00904413" w:rsidRDefault="001E5B43" w:rsidP="001E5B43">
      <w:pPr>
        <w:pStyle w:val="ListParagraph"/>
        <w:rPr>
          <w:rFonts w:ascii="Times New Roman" w:hAnsi="Times New Roman"/>
        </w:rPr>
      </w:pPr>
    </w:p>
    <w:p w:rsidR="00655808" w:rsidRPr="00904413" w:rsidRDefault="00287AE5" w:rsidP="00292509">
      <w:pPr>
        <w:pStyle w:val="ListParagraph"/>
        <w:spacing w:line="276" w:lineRule="auto"/>
        <w:ind w:left="0"/>
        <w:jc w:val="both"/>
        <w:rPr>
          <w:rFonts w:ascii="Times New Roman" w:hAnsi="Times New Roman"/>
        </w:rPr>
      </w:pPr>
      <w:r w:rsidRPr="00904413">
        <w:rPr>
          <w:rFonts w:ascii="Times New Roman" w:hAnsi="Times New Roman"/>
        </w:rPr>
        <w:t xml:space="preserve">As announced in Amending Budget 3/2014, additional resources are needed relating to the go-live phase of the SAP project. Indeed, the deployment of the application has proven to be extremely challenging for the European schools.  </w:t>
      </w:r>
      <w:r w:rsidR="00655808" w:rsidRPr="00904413">
        <w:rPr>
          <w:rFonts w:ascii="Times New Roman" w:hAnsi="Times New Roman"/>
        </w:rPr>
        <w:t>The main difficulties relate mainly to the poor quality of the Master Data and subsequent difficulties in its upload, as well as to considerable difficulties in obtaining appropriate information from social secretariats across all 7 host countries</w:t>
      </w:r>
      <w:r w:rsidR="004B66E7">
        <w:rPr>
          <w:rFonts w:ascii="Times New Roman" w:hAnsi="Times New Roman"/>
        </w:rPr>
        <w:t xml:space="preserve"> in order to proceed with the correct and punctual payment of salaries</w:t>
      </w:r>
      <w:r w:rsidR="00655808" w:rsidRPr="00904413">
        <w:rPr>
          <w:rFonts w:ascii="Times New Roman" w:hAnsi="Times New Roman"/>
        </w:rPr>
        <w:t xml:space="preserve">. In this context, </w:t>
      </w:r>
      <w:r w:rsidR="004B66E7">
        <w:rPr>
          <w:rFonts w:ascii="Times New Roman" w:hAnsi="Times New Roman"/>
        </w:rPr>
        <w:t>the requested</w:t>
      </w:r>
      <w:r w:rsidR="00655808" w:rsidRPr="00904413">
        <w:rPr>
          <w:rFonts w:ascii="Times New Roman" w:hAnsi="Times New Roman"/>
        </w:rPr>
        <w:t xml:space="preserve"> resources are necessary in order to properly set up the basic parameters for the application to function properly.</w:t>
      </w:r>
      <w:r w:rsidR="004B66E7">
        <w:rPr>
          <w:rFonts w:ascii="Times New Roman" w:hAnsi="Times New Roman"/>
        </w:rPr>
        <w:t xml:space="preserve"> This includes </w:t>
      </w:r>
      <w:proofErr w:type="gramStart"/>
      <w:r w:rsidR="004B66E7">
        <w:rPr>
          <w:rFonts w:ascii="Times New Roman" w:hAnsi="Times New Roman"/>
        </w:rPr>
        <w:t>consultants</w:t>
      </w:r>
      <w:proofErr w:type="gramEnd"/>
      <w:r w:rsidR="004B66E7">
        <w:rPr>
          <w:rFonts w:ascii="Times New Roman" w:hAnsi="Times New Roman"/>
        </w:rPr>
        <w:t xml:space="preserve"> fees for the processing and uploading of Master Data, liaising with social secretariats and individual schools and processing and testing of data files originating in social secretariats in seven Member States. </w:t>
      </w:r>
    </w:p>
    <w:p w:rsidR="00655808" w:rsidRPr="00904413" w:rsidRDefault="00655808" w:rsidP="00292509">
      <w:pPr>
        <w:pStyle w:val="ListParagraph"/>
        <w:spacing w:line="276" w:lineRule="auto"/>
        <w:ind w:left="0"/>
        <w:jc w:val="both"/>
        <w:rPr>
          <w:rFonts w:ascii="Times New Roman" w:hAnsi="Times New Roman"/>
        </w:rPr>
      </w:pPr>
    </w:p>
    <w:p w:rsidR="00287AE5" w:rsidRDefault="00655808" w:rsidP="00292509">
      <w:pPr>
        <w:pStyle w:val="ListParagraph"/>
        <w:spacing w:line="276" w:lineRule="auto"/>
        <w:ind w:left="0"/>
        <w:jc w:val="both"/>
        <w:rPr>
          <w:rFonts w:ascii="Times New Roman" w:hAnsi="Times New Roman"/>
        </w:rPr>
      </w:pPr>
      <w:r w:rsidRPr="00904413">
        <w:rPr>
          <w:rFonts w:ascii="Times New Roman" w:hAnsi="Times New Roman"/>
        </w:rPr>
        <w:t>In addition, a</w:t>
      </w:r>
      <w:r w:rsidR="00287AE5" w:rsidRPr="00904413">
        <w:rPr>
          <w:rFonts w:ascii="Times New Roman" w:hAnsi="Times New Roman"/>
        </w:rPr>
        <w:t xml:space="preserve"> substantial level of support is needed from both on line and on site to each </w:t>
      </w:r>
      <w:r w:rsidRPr="00904413">
        <w:rPr>
          <w:rFonts w:ascii="Times New Roman" w:hAnsi="Times New Roman"/>
        </w:rPr>
        <w:t>European school</w:t>
      </w:r>
      <w:r w:rsidR="004B66E7">
        <w:rPr>
          <w:rFonts w:ascii="Times New Roman" w:hAnsi="Times New Roman"/>
        </w:rPr>
        <w:t xml:space="preserve"> in order to bring all end users up to speed</w:t>
      </w:r>
      <w:r w:rsidRPr="00904413">
        <w:rPr>
          <w:rFonts w:ascii="Times New Roman" w:hAnsi="Times New Roman"/>
        </w:rPr>
        <w:t>. This support concentrates i</w:t>
      </w:r>
      <w:r w:rsidR="00907BE7">
        <w:rPr>
          <w:rFonts w:ascii="Times New Roman" w:hAnsi="Times New Roman"/>
        </w:rPr>
        <w:t xml:space="preserve">n the </w:t>
      </w:r>
      <w:r w:rsidR="008163EB">
        <w:rPr>
          <w:rFonts w:ascii="Times New Roman" w:hAnsi="Times New Roman"/>
        </w:rPr>
        <w:t xml:space="preserve">early </w:t>
      </w:r>
      <w:r w:rsidR="00907BE7">
        <w:rPr>
          <w:rFonts w:ascii="Times New Roman" w:hAnsi="Times New Roman"/>
        </w:rPr>
        <w:t xml:space="preserve">months of </w:t>
      </w:r>
      <w:r w:rsidR="008163EB">
        <w:rPr>
          <w:rFonts w:ascii="Times New Roman" w:hAnsi="Times New Roman"/>
        </w:rPr>
        <w:t>2015</w:t>
      </w:r>
      <w:r w:rsidR="00907BE7">
        <w:rPr>
          <w:rFonts w:ascii="Times New Roman" w:hAnsi="Times New Roman"/>
        </w:rPr>
        <w:t xml:space="preserve"> and consists of three basic elements: </w:t>
      </w:r>
    </w:p>
    <w:p w:rsidR="008163EB" w:rsidRDefault="008163EB" w:rsidP="00904413">
      <w:pPr>
        <w:pStyle w:val="ListParagraph"/>
        <w:spacing w:line="276" w:lineRule="auto"/>
        <w:ind w:left="0"/>
        <w:rPr>
          <w:rFonts w:ascii="Times New Roman" w:hAnsi="Times New Roman"/>
        </w:rPr>
      </w:pPr>
    </w:p>
    <w:p w:rsidR="00907BE7" w:rsidRDefault="00D6340D" w:rsidP="00292509">
      <w:pPr>
        <w:pStyle w:val="ListParagraph"/>
        <w:numPr>
          <w:ilvl w:val="0"/>
          <w:numId w:val="3"/>
        </w:numPr>
        <w:spacing w:line="276" w:lineRule="auto"/>
        <w:jc w:val="both"/>
        <w:rPr>
          <w:rFonts w:ascii="Times New Roman" w:hAnsi="Times New Roman"/>
        </w:rPr>
      </w:pPr>
      <w:r>
        <w:rPr>
          <w:rFonts w:ascii="Times New Roman" w:hAnsi="Times New Roman"/>
        </w:rPr>
        <w:t>Reinforcing second level support and providing t</w:t>
      </w:r>
      <w:r w:rsidR="00907BE7">
        <w:rPr>
          <w:rFonts w:ascii="Times New Roman" w:hAnsi="Times New Roman"/>
        </w:rPr>
        <w:t>hird level support in order to deal with a</w:t>
      </w:r>
      <w:r>
        <w:rPr>
          <w:rFonts w:ascii="Times New Roman" w:hAnsi="Times New Roman"/>
        </w:rPr>
        <w:t>n unexpectedly high number of tickets originating from users in all fifteen sites</w:t>
      </w:r>
    </w:p>
    <w:p w:rsidR="00D6340D" w:rsidRDefault="00D6340D" w:rsidP="00292509">
      <w:pPr>
        <w:pStyle w:val="ListParagraph"/>
        <w:numPr>
          <w:ilvl w:val="0"/>
          <w:numId w:val="3"/>
        </w:numPr>
        <w:spacing w:line="276" w:lineRule="auto"/>
        <w:jc w:val="both"/>
        <w:rPr>
          <w:rFonts w:ascii="Times New Roman" w:hAnsi="Times New Roman"/>
        </w:rPr>
      </w:pPr>
      <w:r>
        <w:rPr>
          <w:rFonts w:ascii="Times New Roman" w:hAnsi="Times New Roman"/>
        </w:rPr>
        <w:t xml:space="preserve">Weekly conference calls and training sessions in order to tackle common problems and to guide key users through the different steps of new procedures, in particular </w:t>
      </w:r>
      <w:r w:rsidR="00754E63">
        <w:rPr>
          <w:rFonts w:ascii="Times New Roman" w:hAnsi="Times New Roman"/>
        </w:rPr>
        <w:t>relating to payroll, cut over activities and monthly closing in SAP</w:t>
      </w:r>
    </w:p>
    <w:p w:rsidR="00754E63" w:rsidRPr="00904413" w:rsidRDefault="00754E63" w:rsidP="00292509">
      <w:pPr>
        <w:pStyle w:val="ListParagraph"/>
        <w:numPr>
          <w:ilvl w:val="0"/>
          <w:numId w:val="3"/>
        </w:numPr>
        <w:spacing w:line="276" w:lineRule="auto"/>
        <w:jc w:val="both"/>
        <w:rPr>
          <w:rFonts w:ascii="Times New Roman" w:hAnsi="Times New Roman"/>
        </w:rPr>
      </w:pPr>
      <w:r>
        <w:rPr>
          <w:rFonts w:ascii="Times New Roman" w:hAnsi="Times New Roman"/>
        </w:rPr>
        <w:t>Onsite support in all schools</w:t>
      </w:r>
    </w:p>
    <w:p w:rsidR="00655808" w:rsidRPr="00904413" w:rsidRDefault="00655808" w:rsidP="00292509">
      <w:pPr>
        <w:pStyle w:val="ListParagraph"/>
        <w:spacing w:line="276" w:lineRule="auto"/>
        <w:ind w:left="0"/>
        <w:jc w:val="both"/>
        <w:rPr>
          <w:rFonts w:ascii="Times New Roman" w:hAnsi="Times New Roman"/>
        </w:rPr>
      </w:pPr>
    </w:p>
    <w:p w:rsidR="001E5B43" w:rsidRDefault="00754E63" w:rsidP="00292509">
      <w:pPr>
        <w:pStyle w:val="ListParagraph"/>
        <w:spacing w:line="276" w:lineRule="auto"/>
        <w:ind w:left="0"/>
        <w:jc w:val="both"/>
        <w:rPr>
          <w:rFonts w:ascii="Times New Roman" w:hAnsi="Times New Roman"/>
        </w:rPr>
      </w:pPr>
      <w:r>
        <w:rPr>
          <w:rFonts w:ascii="Times New Roman" w:hAnsi="Times New Roman"/>
        </w:rPr>
        <w:t xml:space="preserve">Furthermore, </w:t>
      </w:r>
      <w:r w:rsidR="00655808" w:rsidRPr="00904413">
        <w:rPr>
          <w:rFonts w:ascii="Times New Roman" w:hAnsi="Times New Roman"/>
        </w:rPr>
        <w:t>additional training</w:t>
      </w:r>
      <w:r>
        <w:rPr>
          <w:rFonts w:ascii="Times New Roman" w:hAnsi="Times New Roman"/>
        </w:rPr>
        <w:t>s are required in the areas</w:t>
      </w:r>
      <w:r w:rsidR="00655808" w:rsidRPr="00904413">
        <w:rPr>
          <w:rFonts w:ascii="Times New Roman" w:hAnsi="Times New Roman"/>
        </w:rPr>
        <w:t xml:space="preserve"> of closing and banking, which were not foreseen in the training plan of 2014, as well as </w:t>
      </w:r>
      <w:r w:rsidR="00444605" w:rsidRPr="00904413">
        <w:rPr>
          <w:rFonts w:ascii="Times New Roman" w:hAnsi="Times New Roman"/>
        </w:rPr>
        <w:t>additional l</w:t>
      </w:r>
      <w:r w:rsidR="008425BA" w:rsidRPr="00904413">
        <w:rPr>
          <w:rFonts w:ascii="Times New Roman" w:hAnsi="Times New Roman"/>
        </w:rPr>
        <w:t xml:space="preserve">icenses and accountancy reports. </w:t>
      </w:r>
    </w:p>
    <w:p w:rsidR="00754E63" w:rsidRDefault="00754E63" w:rsidP="00292509">
      <w:pPr>
        <w:pStyle w:val="ListParagraph"/>
        <w:spacing w:line="276" w:lineRule="auto"/>
        <w:ind w:left="0"/>
        <w:jc w:val="both"/>
        <w:rPr>
          <w:rFonts w:ascii="Times New Roman" w:hAnsi="Times New Roman"/>
        </w:rPr>
      </w:pPr>
    </w:p>
    <w:p w:rsidR="00754E63" w:rsidRPr="00904413" w:rsidRDefault="00754E63" w:rsidP="00292509">
      <w:pPr>
        <w:pStyle w:val="ListParagraph"/>
        <w:spacing w:line="276" w:lineRule="auto"/>
        <w:ind w:left="0"/>
        <w:jc w:val="both"/>
        <w:rPr>
          <w:rFonts w:ascii="Times New Roman" w:hAnsi="Times New Roman"/>
        </w:rPr>
      </w:pPr>
      <w:r>
        <w:rPr>
          <w:rFonts w:ascii="Times New Roman" w:hAnsi="Times New Roman"/>
        </w:rPr>
        <w:t xml:space="preserve">Finally, a reinforcement of the second level support will be needed in 2015 after the phasing out of SAP consultancy resources. This support will be much needed by all schools up until the time when all end users feel sufficiently confident with SAP to carry out their day-to-day operations. </w:t>
      </w:r>
    </w:p>
    <w:p w:rsidR="001E5B43" w:rsidRPr="00904413" w:rsidRDefault="001E5B43" w:rsidP="00292509">
      <w:pPr>
        <w:pStyle w:val="ListParagraph"/>
        <w:spacing w:line="276" w:lineRule="auto"/>
        <w:jc w:val="both"/>
        <w:rPr>
          <w:rFonts w:ascii="Times New Roman" w:hAnsi="Times New Roman"/>
        </w:rPr>
      </w:pPr>
    </w:p>
    <w:p w:rsidR="001E5B43" w:rsidRPr="00904413" w:rsidRDefault="001E5B43" w:rsidP="00904413">
      <w:pPr>
        <w:pStyle w:val="ListParagraph"/>
        <w:numPr>
          <w:ilvl w:val="0"/>
          <w:numId w:val="2"/>
        </w:numPr>
        <w:spacing w:line="276" w:lineRule="auto"/>
        <w:rPr>
          <w:rFonts w:ascii="Times New Roman" w:hAnsi="Times New Roman"/>
          <w:b/>
        </w:rPr>
      </w:pPr>
      <w:r w:rsidRPr="00904413">
        <w:rPr>
          <w:rFonts w:ascii="Times New Roman" w:hAnsi="Times New Roman"/>
          <w:b/>
        </w:rPr>
        <w:t>Budget nomenclature</w:t>
      </w:r>
    </w:p>
    <w:p w:rsidR="001E5B43" w:rsidRPr="00904413" w:rsidRDefault="001E5B43" w:rsidP="00904413">
      <w:pPr>
        <w:pStyle w:val="ListParagraph"/>
        <w:spacing w:line="276" w:lineRule="auto"/>
        <w:rPr>
          <w:rFonts w:ascii="Times New Roman" w:hAnsi="Times New Roman"/>
        </w:rPr>
      </w:pPr>
    </w:p>
    <w:p w:rsidR="001E5B43" w:rsidRPr="00904413" w:rsidRDefault="008425BA" w:rsidP="00292509">
      <w:pPr>
        <w:pStyle w:val="ListParagraph"/>
        <w:spacing w:line="276" w:lineRule="auto"/>
        <w:ind w:left="0"/>
        <w:jc w:val="both"/>
        <w:rPr>
          <w:rFonts w:ascii="Times New Roman" w:hAnsi="Times New Roman"/>
        </w:rPr>
      </w:pPr>
      <w:r w:rsidRPr="00904413">
        <w:rPr>
          <w:rFonts w:ascii="Times New Roman" w:hAnsi="Times New Roman"/>
        </w:rPr>
        <w:t xml:space="preserve">The Board of Governors of December 2014 agreed to adopt a new, simpler budget nomenclature starting with the 2016 Budget. The board in invited to agree to the application of the same budget nomenclature already with the implementation of the 2015 Budget in order to facilitate the flexible management of the 2015 Budget and to enhance transparency when the 2015 Budgetary accounts will be presented in 2016. </w:t>
      </w:r>
    </w:p>
    <w:p w:rsidR="001E5B43" w:rsidRDefault="001E5B43" w:rsidP="00904413">
      <w:pPr>
        <w:pStyle w:val="ListParagraph"/>
        <w:spacing w:line="276" w:lineRule="auto"/>
        <w:rPr>
          <w:rFonts w:ascii="Times New Roman" w:hAnsi="Times New Roman"/>
        </w:rPr>
      </w:pPr>
    </w:p>
    <w:p w:rsidR="00F65813" w:rsidRDefault="004E245D" w:rsidP="004E245D">
      <w:pPr>
        <w:pStyle w:val="ListParagraph"/>
        <w:numPr>
          <w:ilvl w:val="0"/>
          <w:numId w:val="2"/>
        </w:numPr>
        <w:rPr>
          <w:rFonts w:ascii="Times New Roman" w:hAnsi="Times New Roman"/>
          <w:b/>
        </w:rPr>
      </w:pPr>
      <w:r>
        <w:rPr>
          <w:rFonts w:ascii="Times New Roman" w:hAnsi="Times New Roman"/>
          <w:b/>
        </w:rPr>
        <w:t>Revenue</w:t>
      </w:r>
    </w:p>
    <w:p w:rsidR="00292509" w:rsidRDefault="00292509" w:rsidP="00292509">
      <w:pPr>
        <w:pStyle w:val="ListParagraph"/>
        <w:rPr>
          <w:rFonts w:ascii="Times New Roman" w:hAnsi="Times New Roman"/>
          <w:b/>
        </w:rPr>
      </w:pPr>
    </w:p>
    <w:p w:rsidR="004E245D" w:rsidRDefault="00052542" w:rsidP="00292509">
      <w:pPr>
        <w:jc w:val="both"/>
        <w:rPr>
          <w:rFonts w:ascii="Times New Roman" w:hAnsi="Times New Roman"/>
        </w:rPr>
      </w:pPr>
      <w:r>
        <w:rPr>
          <w:rFonts w:ascii="Times New Roman" w:hAnsi="Times New Roman"/>
        </w:rPr>
        <w:t>At</w:t>
      </w:r>
      <w:r w:rsidR="00292509">
        <w:rPr>
          <w:rFonts w:ascii="Times New Roman" w:hAnsi="Times New Roman"/>
        </w:rPr>
        <w:t xml:space="preserve"> this </w:t>
      </w:r>
      <w:r>
        <w:rPr>
          <w:rFonts w:ascii="Times New Roman" w:hAnsi="Times New Roman"/>
        </w:rPr>
        <w:t xml:space="preserve">early stage of the year it is difficult to project what the implementation of the 2015 Budget will be. In addition, provisional figures for 2014 indicate that there will be some small surpluses in some of the schools. </w:t>
      </w:r>
      <w:r w:rsidR="00F34FFC">
        <w:rPr>
          <w:rFonts w:ascii="Times New Roman" w:hAnsi="Times New Roman"/>
        </w:rPr>
        <w:t xml:space="preserve">In consequence, </w:t>
      </w:r>
      <w:r w:rsidR="00BB6A02">
        <w:rPr>
          <w:rFonts w:ascii="Times New Roman" w:hAnsi="Times New Roman"/>
        </w:rPr>
        <w:t>it is proposed to finance this Amending Budget from the anticipated surpluses instead of requesting already now an</w:t>
      </w:r>
      <w:r w:rsidR="00F34FFC">
        <w:rPr>
          <w:rFonts w:ascii="Times New Roman" w:hAnsi="Times New Roman"/>
        </w:rPr>
        <w:t xml:space="preserve"> </w:t>
      </w:r>
      <w:r w:rsidR="007537BC">
        <w:rPr>
          <w:rFonts w:ascii="Times New Roman" w:hAnsi="Times New Roman"/>
        </w:rPr>
        <w:t>additional co</w:t>
      </w:r>
      <w:r w:rsidR="00F34FFC">
        <w:rPr>
          <w:rFonts w:ascii="Times New Roman" w:hAnsi="Times New Roman"/>
        </w:rPr>
        <w:t>ntribution</w:t>
      </w:r>
      <w:r w:rsidR="00292509">
        <w:rPr>
          <w:rFonts w:ascii="Times New Roman" w:hAnsi="Times New Roman"/>
        </w:rPr>
        <w:t xml:space="preserve"> </w:t>
      </w:r>
      <w:r w:rsidR="00BB6A02">
        <w:rPr>
          <w:rFonts w:ascii="Times New Roman" w:hAnsi="Times New Roman"/>
        </w:rPr>
        <w:t xml:space="preserve">from the EU Budget. Table 2 indicates how the EU contribution will be re-structured in order to finance this Amending Budget in the central office. </w:t>
      </w:r>
    </w:p>
    <w:p w:rsidR="00BB6A02" w:rsidRDefault="00BB6A02" w:rsidP="00F65813">
      <w:pPr>
        <w:ind w:left="1134"/>
        <w:rPr>
          <w:rFonts w:ascii="Times New Roman" w:hAnsi="Times New Roman" w:cs="Times New Roman"/>
          <w:b/>
        </w:rPr>
      </w:pPr>
    </w:p>
    <w:p w:rsidR="001E5B43" w:rsidRPr="00F65813" w:rsidRDefault="00F65813" w:rsidP="00F65813">
      <w:pPr>
        <w:ind w:left="1134"/>
        <w:rPr>
          <w:rFonts w:ascii="Times New Roman" w:hAnsi="Times New Roman" w:cs="Times New Roman"/>
          <w:b/>
        </w:rPr>
      </w:pPr>
      <w:r>
        <w:rPr>
          <w:rFonts w:ascii="Times New Roman" w:hAnsi="Times New Roman" w:cs="Times New Roman"/>
          <w:b/>
        </w:rPr>
        <w:t xml:space="preserve">Table 1: </w:t>
      </w:r>
      <w:r w:rsidRPr="00F65813">
        <w:rPr>
          <w:rFonts w:ascii="Times New Roman" w:hAnsi="Times New Roman" w:cs="Times New Roman"/>
          <w:b/>
        </w:rPr>
        <w:t>Amending Budget 1 / 2015</w:t>
      </w:r>
      <w:r w:rsidR="00F34FFC">
        <w:rPr>
          <w:rFonts w:ascii="Times New Roman" w:hAnsi="Times New Roman" w:cs="Times New Roman"/>
          <w:b/>
        </w:rPr>
        <w:t xml:space="preserve"> Central Office</w:t>
      </w:r>
    </w:p>
    <w:tbl>
      <w:tblPr>
        <w:tblStyle w:val="TableGrid"/>
        <w:tblW w:w="0" w:type="auto"/>
        <w:tblInd w:w="1242" w:type="dxa"/>
        <w:tblLook w:val="04A0" w:firstRow="1" w:lastRow="0" w:firstColumn="1" w:lastColumn="0" w:noHBand="0" w:noVBand="1"/>
      </w:tblPr>
      <w:tblGrid>
        <w:gridCol w:w="1950"/>
        <w:gridCol w:w="3192"/>
        <w:gridCol w:w="1804"/>
      </w:tblGrid>
      <w:tr w:rsidR="00904413" w:rsidRPr="001F4C8E" w:rsidTr="00F65813">
        <w:tc>
          <w:tcPr>
            <w:tcW w:w="1950" w:type="dxa"/>
          </w:tcPr>
          <w:p w:rsidR="00904413" w:rsidRPr="001F4C8E" w:rsidRDefault="00F65813" w:rsidP="001E5B43">
            <w:pPr>
              <w:rPr>
                <w:i/>
              </w:rPr>
            </w:pPr>
            <w:r w:rsidRPr="001F4C8E">
              <w:rPr>
                <w:i/>
              </w:rPr>
              <w:t>Budget Item</w:t>
            </w:r>
          </w:p>
        </w:tc>
        <w:tc>
          <w:tcPr>
            <w:tcW w:w="3192" w:type="dxa"/>
          </w:tcPr>
          <w:p w:rsidR="00904413" w:rsidRPr="001F4C8E" w:rsidRDefault="00F65813" w:rsidP="001E5B43">
            <w:pPr>
              <w:rPr>
                <w:i/>
              </w:rPr>
            </w:pPr>
            <w:r w:rsidRPr="001F4C8E">
              <w:rPr>
                <w:i/>
              </w:rPr>
              <w:t>Name</w:t>
            </w:r>
          </w:p>
        </w:tc>
        <w:tc>
          <w:tcPr>
            <w:tcW w:w="1804" w:type="dxa"/>
          </w:tcPr>
          <w:p w:rsidR="00904413" w:rsidRPr="001F4C8E" w:rsidRDefault="00F65813" w:rsidP="00F65813">
            <w:pPr>
              <w:jc w:val="right"/>
              <w:rPr>
                <w:i/>
              </w:rPr>
            </w:pPr>
            <w:r w:rsidRPr="001F4C8E">
              <w:rPr>
                <w:i/>
              </w:rPr>
              <w:t>Amount in €</w:t>
            </w:r>
          </w:p>
        </w:tc>
      </w:tr>
      <w:tr w:rsidR="00904413" w:rsidTr="00F65813">
        <w:tc>
          <w:tcPr>
            <w:tcW w:w="1950" w:type="dxa"/>
          </w:tcPr>
          <w:p w:rsidR="00904413" w:rsidRDefault="00F65813" w:rsidP="001E5B43">
            <w:r>
              <w:t>BC 60 1 2 02</w:t>
            </w:r>
          </w:p>
        </w:tc>
        <w:tc>
          <w:tcPr>
            <w:tcW w:w="3192" w:type="dxa"/>
          </w:tcPr>
          <w:p w:rsidR="00904413" w:rsidRDefault="00F65813" w:rsidP="001E5B43">
            <w:r>
              <w:t>ICT</w:t>
            </w:r>
          </w:p>
        </w:tc>
        <w:tc>
          <w:tcPr>
            <w:tcW w:w="1804" w:type="dxa"/>
          </w:tcPr>
          <w:p w:rsidR="00904413" w:rsidRDefault="00BB6A02" w:rsidP="00F65813">
            <w:pPr>
              <w:jc w:val="right"/>
            </w:pPr>
            <w:r>
              <w:t>1 012</w:t>
            </w:r>
            <w:r w:rsidR="00F65813">
              <w:t xml:space="preserve"> 000</w:t>
            </w:r>
          </w:p>
        </w:tc>
      </w:tr>
      <w:tr w:rsidR="00904413" w:rsidTr="00F65813">
        <w:tc>
          <w:tcPr>
            <w:tcW w:w="1950" w:type="dxa"/>
          </w:tcPr>
          <w:p w:rsidR="00904413" w:rsidRDefault="00F65813" w:rsidP="001E5B43">
            <w:r>
              <w:t>BC 60 1 2 03</w:t>
            </w:r>
          </w:p>
        </w:tc>
        <w:tc>
          <w:tcPr>
            <w:tcW w:w="3192" w:type="dxa"/>
          </w:tcPr>
          <w:p w:rsidR="00904413" w:rsidRDefault="00F65813" w:rsidP="001E5B43">
            <w:r>
              <w:t>BSGEE</w:t>
            </w:r>
          </w:p>
        </w:tc>
        <w:tc>
          <w:tcPr>
            <w:tcW w:w="1804" w:type="dxa"/>
          </w:tcPr>
          <w:p w:rsidR="00F65813" w:rsidRDefault="00F65813" w:rsidP="00F65813">
            <w:pPr>
              <w:jc w:val="right"/>
            </w:pPr>
            <w:r>
              <w:t>92 600</w:t>
            </w:r>
          </w:p>
        </w:tc>
      </w:tr>
      <w:tr w:rsidR="00904413" w:rsidTr="00F65813">
        <w:tc>
          <w:tcPr>
            <w:tcW w:w="1950" w:type="dxa"/>
          </w:tcPr>
          <w:p w:rsidR="00904413" w:rsidRDefault="00F65813" w:rsidP="001E5B43">
            <w:r>
              <w:t>BC 60 1 2 03</w:t>
            </w:r>
          </w:p>
        </w:tc>
        <w:tc>
          <w:tcPr>
            <w:tcW w:w="3192" w:type="dxa"/>
          </w:tcPr>
          <w:p w:rsidR="00904413" w:rsidRDefault="00F65813" w:rsidP="001E5B43">
            <w:r>
              <w:t>BSGEE</w:t>
            </w:r>
          </w:p>
        </w:tc>
        <w:tc>
          <w:tcPr>
            <w:tcW w:w="1804" w:type="dxa"/>
          </w:tcPr>
          <w:p w:rsidR="00904413" w:rsidRDefault="00F65813" w:rsidP="00F65813">
            <w:pPr>
              <w:jc w:val="right"/>
            </w:pPr>
            <w:r>
              <w:t>145 000</w:t>
            </w:r>
          </w:p>
        </w:tc>
      </w:tr>
      <w:tr w:rsidR="00904413" w:rsidRPr="007537BC" w:rsidTr="00F65813">
        <w:tc>
          <w:tcPr>
            <w:tcW w:w="1950" w:type="dxa"/>
          </w:tcPr>
          <w:p w:rsidR="00904413" w:rsidRPr="007537BC" w:rsidRDefault="00F65813" w:rsidP="001E5B43">
            <w:pPr>
              <w:rPr>
                <w:b/>
              </w:rPr>
            </w:pPr>
            <w:r w:rsidRPr="007537BC">
              <w:rPr>
                <w:b/>
              </w:rPr>
              <w:t>Total</w:t>
            </w:r>
            <w:r w:rsidR="007537BC" w:rsidRPr="007537BC">
              <w:rPr>
                <w:b/>
              </w:rPr>
              <w:t xml:space="preserve"> Expenditure</w:t>
            </w:r>
          </w:p>
        </w:tc>
        <w:tc>
          <w:tcPr>
            <w:tcW w:w="3192" w:type="dxa"/>
          </w:tcPr>
          <w:p w:rsidR="00904413" w:rsidRPr="007537BC" w:rsidRDefault="00904413" w:rsidP="001E5B43">
            <w:pPr>
              <w:rPr>
                <w:b/>
              </w:rPr>
            </w:pPr>
          </w:p>
        </w:tc>
        <w:tc>
          <w:tcPr>
            <w:tcW w:w="1804" w:type="dxa"/>
          </w:tcPr>
          <w:p w:rsidR="00904413" w:rsidRPr="007537BC" w:rsidRDefault="00BB6A02" w:rsidP="00F65813">
            <w:pPr>
              <w:jc w:val="right"/>
              <w:rPr>
                <w:b/>
              </w:rPr>
            </w:pPr>
            <w:r>
              <w:rPr>
                <w:b/>
              </w:rPr>
              <w:t>1 249</w:t>
            </w:r>
            <w:r w:rsidR="00F65813" w:rsidRPr="007537BC">
              <w:rPr>
                <w:b/>
              </w:rPr>
              <w:t xml:space="preserve"> 600</w:t>
            </w:r>
          </w:p>
        </w:tc>
      </w:tr>
      <w:tr w:rsidR="00904413" w:rsidTr="00F65813">
        <w:tc>
          <w:tcPr>
            <w:tcW w:w="1950" w:type="dxa"/>
          </w:tcPr>
          <w:p w:rsidR="00904413" w:rsidRDefault="00904413" w:rsidP="001E5B43"/>
        </w:tc>
        <w:tc>
          <w:tcPr>
            <w:tcW w:w="3192" w:type="dxa"/>
          </w:tcPr>
          <w:p w:rsidR="00904413" w:rsidRDefault="00904413" w:rsidP="001E5B43"/>
        </w:tc>
        <w:tc>
          <w:tcPr>
            <w:tcW w:w="1804" w:type="dxa"/>
          </w:tcPr>
          <w:p w:rsidR="00904413" w:rsidRDefault="00904413" w:rsidP="00F65813">
            <w:pPr>
              <w:jc w:val="right"/>
            </w:pPr>
          </w:p>
        </w:tc>
      </w:tr>
      <w:tr w:rsidR="00904413" w:rsidTr="00F65813">
        <w:tc>
          <w:tcPr>
            <w:tcW w:w="1950" w:type="dxa"/>
          </w:tcPr>
          <w:p w:rsidR="00904413" w:rsidRDefault="004E245D" w:rsidP="001E5B43">
            <w:r>
              <w:t>BC 70 20 01</w:t>
            </w:r>
          </w:p>
        </w:tc>
        <w:tc>
          <w:tcPr>
            <w:tcW w:w="3192" w:type="dxa"/>
          </w:tcPr>
          <w:p w:rsidR="00904413" w:rsidRDefault="004E245D" w:rsidP="001E5B43">
            <w:r>
              <w:t>EU contribution</w:t>
            </w:r>
          </w:p>
        </w:tc>
        <w:tc>
          <w:tcPr>
            <w:tcW w:w="1804" w:type="dxa"/>
          </w:tcPr>
          <w:p w:rsidR="00904413" w:rsidRDefault="00BB6A02" w:rsidP="00F65813">
            <w:pPr>
              <w:jc w:val="right"/>
            </w:pPr>
            <w:r>
              <w:t>1 249</w:t>
            </w:r>
            <w:r w:rsidR="004E245D">
              <w:t xml:space="preserve"> 600</w:t>
            </w:r>
          </w:p>
        </w:tc>
      </w:tr>
      <w:tr w:rsidR="00904413" w:rsidRPr="007537BC" w:rsidTr="00F65813">
        <w:tc>
          <w:tcPr>
            <w:tcW w:w="1950" w:type="dxa"/>
          </w:tcPr>
          <w:p w:rsidR="00904413" w:rsidRPr="007537BC" w:rsidRDefault="007537BC" w:rsidP="001E5B43">
            <w:pPr>
              <w:rPr>
                <w:b/>
              </w:rPr>
            </w:pPr>
            <w:r w:rsidRPr="007537BC">
              <w:rPr>
                <w:b/>
              </w:rPr>
              <w:t>Total Revenue</w:t>
            </w:r>
          </w:p>
        </w:tc>
        <w:tc>
          <w:tcPr>
            <w:tcW w:w="3192" w:type="dxa"/>
          </w:tcPr>
          <w:p w:rsidR="00904413" w:rsidRPr="007537BC" w:rsidRDefault="00904413" w:rsidP="001E5B43">
            <w:pPr>
              <w:rPr>
                <w:b/>
              </w:rPr>
            </w:pPr>
          </w:p>
        </w:tc>
        <w:tc>
          <w:tcPr>
            <w:tcW w:w="1804" w:type="dxa"/>
          </w:tcPr>
          <w:p w:rsidR="00904413" w:rsidRPr="007537BC" w:rsidRDefault="00BB6A02" w:rsidP="00F65813">
            <w:pPr>
              <w:jc w:val="right"/>
              <w:rPr>
                <w:b/>
              </w:rPr>
            </w:pPr>
            <w:r>
              <w:rPr>
                <w:b/>
              </w:rPr>
              <w:t>1 249</w:t>
            </w:r>
            <w:r w:rsidR="007537BC" w:rsidRPr="007537BC">
              <w:rPr>
                <w:b/>
              </w:rPr>
              <w:t xml:space="preserve"> 600</w:t>
            </w:r>
          </w:p>
        </w:tc>
      </w:tr>
    </w:tbl>
    <w:p w:rsidR="001E5B43" w:rsidRDefault="001E5B43" w:rsidP="001E5B43"/>
    <w:p w:rsidR="00F34FFC" w:rsidRDefault="00F34FFC" w:rsidP="001E5B43"/>
    <w:p w:rsidR="00F34FFC" w:rsidRDefault="00F34FFC" w:rsidP="001E5B43"/>
    <w:p w:rsidR="00F34FFC" w:rsidRDefault="00F34FFC" w:rsidP="001E5B43"/>
    <w:p w:rsidR="00F34FFC" w:rsidRPr="00F34FFC" w:rsidRDefault="00F34FFC" w:rsidP="00F34FFC">
      <w:pPr>
        <w:ind w:left="709"/>
        <w:rPr>
          <w:b/>
        </w:rPr>
      </w:pPr>
      <w:r w:rsidRPr="00F34FFC">
        <w:rPr>
          <w:b/>
        </w:rPr>
        <w:t>Table 2: Amending Budget 1 / 2015: Schools</w:t>
      </w:r>
    </w:p>
    <w:tbl>
      <w:tblPr>
        <w:tblStyle w:val="TableGrid"/>
        <w:tblW w:w="0" w:type="auto"/>
        <w:tblInd w:w="817" w:type="dxa"/>
        <w:tblLook w:val="04A0" w:firstRow="1" w:lastRow="0" w:firstColumn="1" w:lastColumn="0" w:noHBand="0" w:noVBand="1"/>
      </w:tblPr>
      <w:tblGrid>
        <w:gridCol w:w="2375"/>
        <w:gridCol w:w="2176"/>
        <w:gridCol w:w="1701"/>
      </w:tblGrid>
      <w:tr w:rsidR="00F34FFC" w:rsidRPr="001F4C8E" w:rsidTr="001F4C8E">
        <w:trPr>
          <w:trHeight w:val="672"/>
        </w:trPr>
        <w:tc>
          <w:tcPr>
            <w:tcW w:w="2375" w:type="dxa"/>
          </w:tcPr>
          <w:p w:rsidR="00F34FFC" w:rsidRPr="001F4C8E" w:rsidRDefault="00F34FFC" w:rsidP="001E5B43">
            <w:pPr>
              <w:rPr>
                <w:i/>
              </w:rPr>
            </w:pPr>
            <w:r w:rsidRPr="001F4C8E">
              <w:rPr>
                <w:i/>
              </w:rPr>
              <w:t>School</w:t>
            </w:r>
          </w:p>
        </w:tc>
        <w:tc>
          <w:tcPr>
            <w:tcW w:w="1878" w:type="dxa"/>
          </w:tcPr>
          <w:p w:rsidR="00F34FFC" w:rsidRPr="001F4C8E" w:rsidRDefault="00F34FFC" w:rsidP="001E5B43">
            <w:pPr>
              <w:rPr>
                <w:i/>
              </w:rPr>
            </w:pPr>
            <w:r w:rsidRPr="001F4C8E">
              <w:rPr>
                <w:i/>
              </w:rPr>
              <w:t>EU contribution</w:t>
            </w:r>
            <w:r w:rsidR="001F4C8E" w:rsidRPr="001F4C8E">
              <w:rPr>
                <w:i/>
              </w:rPr>
              <w:t xml:space="preserve"> (Item 70 2 1 01)</w:t>
            </w:r>
          </w:p>
        </w:tc>
        <w:tc>
          <w:tcPr>
            <w:tcW w:w="1701" w:type="dxa"/>
          </w:tcPr>
          <w:p w:rsidR="001F4C8E" w:rsidRPr="001F4C8E" w:rsidRDefault="00F34FFC" w:rsidP="001E5B43">
            <w:pPr>
              <w:rPr>
                <w:i/>
              </w:rPr>
            </w:pPr>
            <w:r w:rsidRPr="001F4C8E">
              <w:rPr>
                <w:i/>
              </w:rPr>
              <w:t xml:space="preserve">Surplus </w:t>
            </w:r>
          </w:p>
          <w:p w:rsidR="00F34FFC" w:rsidRPr="001F4C8E" w:rsidRDefault="00F34FFC" w:rsidP="001E5B43">
            <w:pPr>
              <w:rPr>
                <w:i/>
              </w:rPr>
            </w:pPr>
            <w:r w:rsidRPr="001F4C8E">
              <w:rPr>
                <w:i/>
              </w:rPr>
              <w:t xml:space="preserve">(Item </w:t>
            </w:r>
            <w:r w:rsidR="001F4C8E" w:rsidRPr="001F4C8E">
              <w:rPr>
                <w:i/>
              </w:rPr>
              <w:t>70 3 3 01)</w:t>
            </w:r>
          </w:p>
        </w:tc>
      </w:tr>
      <w:tr w:rsidR="00F34FFC" w:rsidTr="001F4C8E">
        <w:tc>
          <w:tcPr>
            <w:tcW w:w="2375" w:type="dxa"/>
          </w:tcPr>
          <w:p w:rsidR="00F34FFC" w:rsidRDefault="005E47C2" w:rsidP="001E5B43">
            <w:r>
              <w:t>Alicante</w:t>
            </w:r>
          </w:p>
        </w:tc>
        <w:tc>
          <w:tcPr>
            <w:tcW w:w="1878" w:type="dxa"/>
          </w:tcPr>
          <w:p w:rsidR="00F34FFC" w:rsidRDefault="001F4C8E" w:rsidP="005E47C2">
            <w:pPr>
              <w:pStyle w:val="ListParagraph"/>
              <w:numPr>
                <w:ilvl w:val="0"/>
                <w:numId w:val="3"/>
              </w:numPr>
            </w:pPr>
            <w:r>
              <w:t xml:space="preserve">   </w:t>
            </w:r>
            <w:r w:rsidR="005E47C2">
              <w:t>100 000</w:t>
            </w:r>
          </w:p>
        </w:tc>
        <w:tc>
          <w:tcPr>
            <w:tcW w:w="1701" w:type="dxa"/>
          </w:tcPr>
          <w:p w:rsidR="00F34FFC" w:rsidRDefault="005E47C2" w:rsidP="001E5B43">
            <w:r>
              <w:t xml:space="preserve">+ </w:t>
            </w:r>
            <w:r w:rsidR="001F4C8E">
              <w:t xml:space="preserve">   </w:t>
            </w:r>
            <w:r>
              <w:t>100 000</w:t>
            </w:r>
          </w:p>
        </w:tc>
      </w:tr>
      <w:tr w:rsidR="001F4C8E" w:rsidTr="001F4C8E">
        <w:tc>
          <w:tcPr>
            <w:tcW w:w="2375" w:type="dxa"/>
          </w:tcPr>
          <w:p w:rsidR="001F4C8E" w:rsidRDefault="001F4C8E" w:rsidP="00494795">
            <w:r>
              <w:t>Brussels III</w:t>
            </w:r>
          </w:p>
        </w:tc>
        <w:tc>
          <w:tcPr>
            <w:tcW w:w="1878" w:type="dxa"/>
          </w:tcPr>
          <w:p w:rsidR="001F4C8E" w:rsidRDefault="001F4C8E" w:rsidP="00494795">
            <w:pPr>
              <w:pStyle w:val="ListParagraph"/>
              <w:numPr>
                <w:ilvl w:val="0"/>
                <w:numId w:val="3"/>
              </w:numPr>
            </w:pPr>
            <w:r>
              <w:t xml:space="preserve">   </w:t>
            </w:r>
            <w:r w:rsidR="00BB6A02">
              <w:t>449</w:t>
            </w:r>
            <w:r>
              <w:t xml:space="preserve"> 600</w:t>
            </w:r>
          </w:p>
        </w:tc>
        <w:tc>
          <w:tcPr>
            <w:tcW w:w="1701" w:type="dxa"/>
          </w:tcPr>
          <w:p w:rsidR="001F4C8E" w:rsidRDefault="001F4C8E" w:rsidP="00494795">
            <w:r>
              <w:t xml:space="preserve">+    </w:t>
            </w:r>
            <w:r w:rsidR="00BB6A02">
              <w:t>449</w:t>
            </w:r>
            <w:r>
              <w:t xml:space="preserve"> 600</w:t>
            </w:r>
          </w:p>
        </w:tc>
      </w:tr>
      <w:tr w:rsidR="00F34FFC" w:rsidTr="001F4C8E">
        <w:tc>
          <w:tcPr>
            <w:tcW w:w="2375" w:type="dxa"/>
          </w:tcPr>
          <w:p w:rsidR="00F34FFC" w:rsidRDefault="005E47C2" w:rsidP="001E5B43">
            <w:proofErr w:type="spellStart"/>
            <w:r>
              <w:t>Culham</w:t>
            </w:r>
            <w:proofErr w:type="spellEnd"/>
          </w:p>
        </w:tc>
        <w:tc>
          <w:tcPr>
            <w:tcW w:w="1878" w:type="dxa"/>
          </w:tcPr>
          <w:p w:rsidR="00F34FFC" w:rsidRDefault="001F4C8E" w:rsidP="005E47C2">
            <w:pPr>
              <w:pStyle w:val="ListParagraph"/>
              <w:numPr>
                <w:ilvl w:val="0"/>
                <w:numId w:val="3"/>
              </w:numPr>
            </w:pPr>
            <w:r>
              <w:t xml:space="preserve">   </w:t>
            </w:r>
            <w:r w:rsidR="005E47C2">
              <w:t>100 000</w:t>
            </w:r>
          </w:p>
        </w:tc>
        <w:tc>
          <w:tcPr>
            <w:tcW w:w="1701" w:type="dxa"/>
          </w:tcPr>
          <w:p w:rsidR="00F34FFC" w:rsidRDefault="005E47C2" w:rsidP="001E5B43">
            <w:r>
              <w:t xml:space="preserve">+ </w:t>
            </w:r>
            <w:r w:rsidR="001F4C8E">
              <w:t xml:space="preserve">   </w:t>
            </w:r>
            <w:r>
              <w:t>100 000</w:t>
            </w:r>
          </w:p>
        </w:tc>
      </w:tr>
      <w:tr w:rsidR="001F4C8E" w:rsidTr="001F4C8E">
        <w:tc>
          <w:tcPr>
            <w:tcW w:w="2375" w:type="dxa"/>
          </w:tcPr>
          <w:p w:rsidR="001F4C8E" w:rsidRDefault="001F4C8E" w:rsidP="001E5B43">
            <w:r>
              <w:t>Luxembourg I</w:t>
            </w:r>
          </w:p>
        </w:tc>
        <w:tc>
          <w:tcPr>
            <w:tcW w:w="1878" w:type="dxa"/>
          </w:tcPr>
          <w:p w:rsidR="001F4C8E" w:rsidRDefault="001F4C8E" w:rsidP="005E47C2">
            <w:pPr>
              <w:pStyle w:val="ListParagraph"/>
              <w:numPr>
                <w:ilvl w:val="0"/>
                <w:numId w:val="3"/>
              </w:numPr>
            </w:pPr>
            <w:r>
              <w:t xml:space="preserve">   100 000</w:t>
            </w:r>
          </w:p>
        </w:tc>
        <w:tc>
          <w:tcPr>
            <w:tcW w:w="1701" w:type="dxa"/>
          </w:tcPr>
          <w:p w:rsidR="001F4C8E" w:rsidRDefault="001F4C8E" w:rsidP="001E5B43">
            <w:r>
              <w:t>+    100 000</w:t>
            </w:r>
          </w:p>
        </w:tc>
      </w:tr>
      <w:tr w:rsidR="001F4C8E" w:rsidTr="001F4C8E">
        <w:tc>
          <w:tcPr>
            <w:tcW w:w="2375" w:type="dxa"/>
          </w:tcPr>
          <w:p w:rsidR="001F4C8E" w:rsidRDefault="001F4C8E" w:rsidP="001E5B43">
            <w:r>
              <w:t>Luxembourg II</w:t>
            </w:r>
          </w:p>
        </w:tc>
        <w:tc>
          <w:tcPr>
            <w:tcW w:w="1878" w:type="dxa"/>
          </w:tcPr>
          <w:p w:rsidR="001F4C8E" w:rsidRDefault="001F4C8E" w:rsidP="005E47C2">
            <w:pPr>
              <w:pStyle w:val="ListParagraph"/>
              <w:numPr>
                <w:ilvl w:val="0"/>
                <w:numId w:val="3"/>
              </w:numPr>
            </w:pPr>
            <w:r>
              <w:t xml:space="preserve">   200 000</w:t>
            </w:r>
          </w:p>
        </w:tc>
        <w:tc>
          <w:tcPr>
            <w:tcW w:w="1701" w:type="dxa"/>
          </w:tcPr>
          <w:p w:rsidR="001F4C8E" w:rsidRDefault="001F4C8E" w:rsidP="001E5B43">
            <w:r>
              <w:t>+    200 000</w:t>
            </w:r>
          </w:p>
        </w:tc>
      </w:tr>
      <w:tr w:rsidR="00F34FFC" w:rsidTr="001F4C8E">
        <w:tc>
          <w:tcPr>
            <w:tcW w:w="2375" w:type="dxa"/>
          </w:tcPr>
          <w:p w:rsidR="00F34FFC" w:rsidRDefault="005E47C2" w:rsidP="001E5B43">
            <w:proofErr w:type="spellStart"/>
            <w:r>
              <w:t>Mol</w:t>
            </w:r>
            <w:proofErr w:type="spellEnd"/>
          </w:p>
        </w:tc>
        <w:tc>
          <w:tcPr>
            <w:tcW w:w="1878" w:type="dxa"/>
          </w:tcPr>
          <w:p w:rsidR="00F34FFC" w:rsidRDefault="001F4C8E" w:rsidP="005E47C2">
            <w:pPr>
              <w:pStyle w:val="ListParagraph"/>
              <w:numPr>
                <w:ilvl w:val="0"/>
                <w:numId w:val="3"/>
              </w:numPr>
            </w:pPr>
            <w:r>
              <w:t xml:space="preserve">   </w:t>
            </w:r>
            <w:r w:rsidR="005E47C2">
              <w:t>200 000</w:t>
            </w:r>
          </w:p>
        </w:tc>
        <w:tc>
          <w:tcPr>
            <w:tcW w:w="1701" w:type="dxa"/>
          </w:tcPr>
          <w:p w:rsidR="00F34FFC" w:rsidRDefault="005E47C2" w:rsidP="001E5B43">
            <w:r>
              <w:t xml:space="preserve">+ </w:t>
            </w:r>
            <w:r w:rsidR="001F4C8E">
              <w:t xml:space="preserve">   </w:t>
            </w:r>
            <w:r>
              <w:t>200 000</w:t>
            </w:r>
          </w:p>
        </w:tc>
      </w:tr>
      <w:tr w:rsidR="00F34FFC" w:rsidTr="001F4C8E">
        <w:tc>
          <w:tcPr>
            <w:tcW w:w="2375" w:type="dxa"/>
          </w:tcPr>
          <w:p w:rsidR="00F34FFC" w:rsidRDefault="005E47C2" w:rsidP="001E5B43">
            <w:r>
              <w:t>Varese</w:t>
            </w:r>
          </w:p>
        </w:tc>
        <w:tc>
          <w:tcPr>
            <w:tcW w:w="1878" w:type="dxa"/>
          </w:tcPr>
          <w:p w:rsidR="00F34FFC" w:rsidRDefault="001F4C8E" w:rsidP="001F4C8E">
            <w:pPr>
              <w:pStyle w:val="ListParagraph"/>
              <w:numPr>
                <w:ilvl w:val="0"/>
                <w:numId w:val="3"/>
              </w:numPr>
            </w:pPr>
            <w:r>
              <w:t xml:space="preserve">   100 000</w:t>
            </w:r>
          </w:p>
        </w:tc>
        <w:tc>
          <w:tcPr>
            <w:tcW w:w="1701" w:type="dxa"/>
          </w:tcPr>
          <w:p w:rsidR="00F34FFC" w:rsidRDefault="001F4C8E" w:rsidP="001E5B43">
            <w:r>
              <w:t>+    100 000</w:t>
            </w:r>
          </w:p>
        </w:tc>
      </w:tr>
      <w:tr w:rsidR="005E47C2" w:rsidRPr="001F4C8E" w:rsidTr="001F4C8E">
        <w:tc>
          <w:tcPr>
            <w:tcW w:w="2375" w:type="dxa"/>
          </w:tcPr>
          <w:p w:rsidR="005E47C2" w:rsidRPr="001F4C8E" w:rsidRDefault="001F4C8E" w:rsidP="001E5B43">
            <w:pPr>
              <w:rPr>
                <w:b/>
              </w:rPr>
            </w:pPr>
            <w:r w:rsidRPr="001F4C8E">
              <w:rPr>
                <w:b/>
              </w:rPr>
              <w:t>Total</w:t>
            </w:r>
          </w:p>
        </w:tc>
        <w:tc>
          <w:tcPr>
            <w:tcW w:w="1878" w:type="dxa"/>
          </w:tcPr>
          <w:p w:rsidR="005E47C2" w:rsidRPr="001F4C8E" w:rsidRDefault="004407C3" w:rsidP="001F4C8E">
            <w:pPr>
              <w:pStyle w:val="ListParagraph"/>
              <w:numPr>
                <w:ilvl w:val="0"/>
                <w:numId w:val="3"/>
              </w:numPr>
              <w:rPr>
                <w:b/>
              </w:rPr>
            </w:pPr>
            <w:r>
              <w:rPr>
                <w:lang w:val="fr-FR"/>
              </w:rPr>
              <w:t>1 249 600</w:t>
            </w:r>
          </w:p>
        </w:tc>
        <w:tc>
          <w:tcPr>
            <w:tcW w:w="1701" w:type="dxa"/>
          </w:tcPr>
          <w:p w:rsidR="005E47C2" w:rsidRPr="001F4C8E" w:rsidRDefault="001F4C8E" w:rsidP="001E5B43">
            <w:pPr>
              <w:rPr>
                <w:b/>
              </w:rPr>
            </w:pPr>
            <w:r w:rsidRPr="001F4C8E">
              <w:rPr>
                <w:b/>
              </w:rPr>
              <w:t xml:space="preserve">+ </w:t>
            </w:r>
            <w:r w:rsidR="004407C3">
              <w:rPr>
                <w:lang w:val="fr-FR"/>
              </w:rPr>
              <w:t>1 249 600</w:t>
            </w:r>
          </w:p>
        </w:tc>
      </w:tr>
    </w:tbl>
    <w:p w:rsidR="00F34FFC" w:rsidRDefault="00F34FFC" w:rsidP="001E5B43"/>
    <w:p w:rsidR="005E4744" w:rsidRDefault="005E4744" w:rsidP="001E5B43"/>
    <w:p w:rsidR="005E4744" w:rsidRPr="005E4744" w:rsidRDefault="005E4744" w:rsidP="005E4744">
      <w:pPr>
        <w:pStyle w:val="ListParagraph"/>
        <w:numPr>
          <w:ilvl w:val="0"/>
          <w:numId w:val="2"/>
        </w:numPr>
        <w:rPr>
          <w:rFonts w:ascii="Times New Roman" w:hAnsi="Times New Roman"/>
          <w:b/>
        </w:rPr>
      </w:pPr>
      <w:r>
        <w:rPr>
          <w:rFonts w:ascii="Times New Roman" w:hAnsi="Times New Roman"/>
          <w:b/>
        </w:rPr>
        <w:t>Conclusions of the Budgetary Committee</w:t>
      </w:r>
    </w:p>
    <w:p w:rsidR="005E4744" w:rsidRDefault="005E4744" w:rsidP="001E5B43"/>
    <w:p w:rsidR="005E4744" w:rsidRPr="005E4744" w:rsidRDefault="005E4744" w:rsidP="005E4744">
      <w:pPr>
        <w:contextualSpacing/>
        <w:jc w:val="both"/>
        <w:rPr>
          <w:rFonts w:ascii="Times New Roman" w:hAnsi="Times New Roman" w:cs="Times New Roman"/>
          <w:lang w:val="en-GB"/>
        </w:rPr>
      </w:pPr>
      <w:r w:rsidRPr="005E4744">
        <w:rPr>
          <w:rFonts w:ascii="Times New Roman" w:hAnsi="Times New Roman" w:cs="Times New Roman"/>
          <w:lang w:val="en-GB"/>
        </w:rPr>
        <w:t>The B</w:t>
      </w:r>
      <w:r>
        <w:rPr>
          <w:rFonts w:ascii="Times New Roman" w:hAnsi="Times New Roman" w:cs="Times New Roman"/>
          <w:lang w:val="en-GB"/>
        </w:rPr>
        <w:t xml:space="preserve">udgetary Committee </w:t>
      </w:r>
      <w:r w:rsidRPr="005E4744">
        <w:rPr>
          <w:rFonts w:ascii="Times New Roman" w:hAnsi="Times New Roman" w:cs="Times New Roman"/>
          <w:lang w:val="en-GB"/>
        </w:rPr>
        <w:t>expressed a favourable opinion on the January 2015 amending budget, with the E</w:t>
      </w:r>
      <w:r>
        <w:rPr>
          <w:rFonts w:ascii="Times New Roman" w:hAnsi="Times New Roman" w:cs="Times New Roman"/>
          <w:lang w:val="en-GB"/>
        </w:rPr>
        <w:t xml:space="preserve">uropean </w:t>
      </w:r>
      <w:r w:rsidRPr="005E4744">
        <w:rPr>
          <w:rFonts w:ascii="Times New Roman" w:hAnsi="Times New Roman" w:cs="Times New Roman"/>
          <w:lang w:val="en-GB"/>
        </w:rPr>
        <w:t>C</w:t>
      </w:r>
      <w:r>
        <w:rPr>
          <w:rFonts w:ascii="Times New Roman" w:hAnsi="Times New Roman" w:cs="Times New Roman"/>
          <w:lang w:val="en-GB"/>
        </w:rPr>
        <w:t>ommission</w:t>
      </w:r>
      <w:r w:rsidRPr="005E4744">
        <w:rPr>
          <w:rFonts w:ascii="Times New Roman" w:hAnsi="Times New Roman" w:cs="Times New Roman"/>
          <w:lang w:val="en-GB"/>
        </w:rPr>
        <w:t xml:space="preserve"> entering a reservation.</w:t>
      </w:r>
    </w:p>
    <w:p w:rsidR="005E4744" w:rsidRPr="005E4744" w:rsidRDefault="005E4744" w:rsidP="001E5B43">
      <w:pPr>
        <w:rPr>
          <w:lang w:val="en-GB"/>
        </w:rPr>
      </w:pPr>
    </w:p>
    <w:sectPr w:rsidR="005E4744" w:rsidRPr="005E47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3843"/>
    <w:multiLevelType w:val="hybridMultilevel"/>
    <w:tmpl w:val="5652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031076"/>
    <w:multiLevelType w:val="hybridMultilevel"/>
    <w:tmpl w:val="29F6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17830"/>
    <w:multiLevelType w:val="hybridMultilevel"/>
    <w:tmpl w:val="F9A25A6E"/>
    <w:lvl w:ilvl="0" w:tplc="B0CE3B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41BAE"/>
    <w:multiLevelType w:val="hybridMultilevel"/>
    <w:tmpl w:val="29F6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7952D6"/>
    <w:multiLevelType w:val="hybridMultilevel"/>
    <w:tmpl w:val="64325DE4"/>
    <w:lvl w:ilvl="0" w:tplc="3B1E674C">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0F"/>
    <w:rsid w:val="00052542"/>
    <w:rsid w:val="000F61B9"/>
    <w:rsid w:val="001E5B43"/>
    <w:rsid w:val="001E7218"/>
    <w:rsid w:val="001F4C8E"/>
    <w:rsid w:val="00210D0F"/>
    <w:rsid w:val="00250EF3"/>
    <w:rsid w:val="00287AE5"/>
    <w:rsid w:val="00292509"/>
    <w:rsid w:val="004407C3"/>
    <w:rsid w:val="00444605"/>
    <w:rsid w:val="004601CF"/>
    <w:rsid w:val="004B66E7"/>
    <w:rsid w:val="004E245D"/>
    <w:rsid w:val="005B5850"/>
    <w:rsid w:val="005E4744"/>
    <w:rsid w:val="005E47C2"/>
    <w:rsid w:val="00655808"/>
    <w:rsid w:val="0068003B"/>
    <w:rsid w:val="0070087B"/>
    <w:rsid w:val="007107D4"/>
    <w:rsid w:val="007537BC"/>
    <w:rsid w:val="00754E63"/>
    <w:rsid w:val="007B5BBE"/>
    <w:rsid w:val="00801D6D"/>
    <w:rsid w:val="008163EB"/>
    <w:rsid w:val="008425BA"/>
    <w:rsid w:val="00904413"/>
    <w:rsid w:val="00907BE7"/>
    <w:rsid w:val="00A26CC1"/>
    <w:rsid w:val="00B22F0E"/>
    <w:rsid w:val="00BB6A02"/>
    <w:rsid w:val="00BE08C8"/>
    <w:rsid w:val="00D14E14"/>
    <w:rsid w:val="00D20B23"/>
    <w:rsid w:val="00D6340D"/>
    <w:rsid w:val="00E14A61"/>
    <w:rsid w:val="00F34FFC"/>
    <w:rsid w:val="00F65813"/>
    <w:rsid w:val="00F9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3B"/>
    <w:pPr>
      <w:spacing w:after="0" w:line="240" w:lineRule="auto"/>
      <w:ind w:left="720"/>
    </w:pPr>
    <w:rPr>
      <w:rFonts w:ascii="Calibri" w:hAnsi="Calibri" w:cs="Times New Roman"/>
    </w:rPr>
  </w:style>
  <w:style w:type="table" w:styleId="TableGrid">
    <w:name w:val="Table Grid"/>
    <w:basedOn w:val="TableNormal"/>
    <w:uiPriority w:val="59"/>
    <w:rsid w:val="0090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70087B"/>
    <w:pPr>
      <w:spacing w:before="120" w:after="0" w:line="240" w:lineRule="auto"/>
      <w:jc w:val="both"/>
    </w:pPr>
    <w:rPr>
      <w:rFonts w:ascii="Arial" w:eastAsia="Times New Roman" w:hAnsi="Arial" w:cs="Times New Roman"/>
      <w:b/>
      <w:szCs w:val="20"/>
      <w:lang w:val="fr-FR" w:eastAsia="fr-BE"/>
    </w:rPr>
  </w:style>
  <w:style w:type="paragraph" w:customStyle="1" w:styleId="DocumentTitle">
    <w:name w:val="Document Title"/>
    <w:basedOn w:val="Normal"/>
    <w:rsid w:val="0070087B"/>
    <w:pPr>
      <w:pBdr>
        <w:bottom w:val="single" w:sz="4" w:space="1" w:color="auto"/>
      </w:pBdr>
      <w:spacing w:before="2400" w:after="120" w:line="240" w:lineRule="auto"/>
      <w:outlineLvl w:val="0"/>
    </w:pPr>
    <w:rPr>
      <w:rFonts w:ascii="Arial" w:eastAsia="Times" w:hAnsi="Arial" w:cs="Times New Roman"/>
      <w:b/>
      <w:kern w:val="28"/>
      <w:sz w:val="32"/>
      <w:szCs w:val="20"/>
      <w:lang w:val="fr-FR" w:eastAsia="fr-BE"/>
    </w:rPr>
  </w:style>
  <w:style w:type="paragraph" w:customStyle="1" w:styleId="SubTitle1">
    <w:name w:val="SubTitle1"/>
    <w:basedOn w:val="Normal"/>
    <w:rsid w:val="0070087B"/>
    <w:pPr>
      <w:spacing w:after="720" w:line="240" w:lineRule="auto"/>
      <w:jc w:val="both"/>
    </w:pPr>
    <w:rPr>
      <w:rFonts w:ascii="Arial" w:eastAsia="Times" w:hAnsi="Arial" w:cs="Times New Roman"/>
      <w:b/>
      <w:szCs w:val="20"/>
      <w:lang w:val="fr-FR" w:eastAsia="fr-BE"/>
    </w:rPr>
  </w:style>
  <w:style w:type="paragraph" w:customStyle="1" w:styleId="ZCom">
    <w:name w:val="Z_Com"/>
    <w:basedOn w:val="Normal"/>
    <w:next w:val="Normal"/>
    <w:rsid w:val="0070087B"/>
    <w:pPr>
      <w:widowControl w:val="0"/>
      <w:snapToGrid w:val="0"/>
      <w:spacing w:after="0" w:line="240" w:lineRule="auto"/>
      <w:ind w:right="85"/>
      <w:jc w:val="both"/>
    </w:pPr>
    <w:rPr>
      <w:rFonts w:ascii="Arial" w:eastAsia="Times New Roman" w:hAnsi="Arial" w:cs="Times New Roman"/>
      <w:sz w:val="24"/>
      <w:szCs w:val="20"/>
      <w:lang w:val="fr-FR" w:eastAsia="en-US"/>
    </w:rPr>
  </w:style>
  <w:style w:type="paragraph" w:customStyle="1" w:styleId="ZDGName">
    <w:name w:val="Z_DGName"/>
    <w:basedOn w:val="Normal"/>
    <w:rsid w:val="0070087B"/>
    <w:pPr>
      <w:widowControl w:val="0"/>
      <w:snapToGrid w:val="0"/>
      <w:spacing w:after="0" w:line="240" w:lineRule="auto"/>
      <w:ind w:right="85"/>
      <w:jc w:val="both"/>
    </w:pPr>
    <w:rPr>
      <w:rFonts w:ascii="Arial" w:eastAsia="Times New Roman" w:hAnsi="Arial" w:cs="Times New Roman"/>
      <w:sz w:val="16"/>
      <w:szCs w:val="20"/>
      <w:lang w:val="fr-FR" w:eastAsia="en-US"/>
    </w:rPr>
  </w:style>
  <w:style w:type="paragraph" w:styleId="BalloonText">
    <w:name w:val="Balloon Text"/>
    <w:basedOn w:val="Normal"/>
    <w:link w:val="BalloonTextChar"/>
    <w:uiPriority w:val="99"/>
    <w:semiHidden/>
    <w:unhideWhenUsed/>
    <w:rsid w:val="0070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3B"/>
    <w:pPr>
      <w:spacing w:after="0" w:line="240" w:lineRule="auto"/>
      <w:ind w:left="720"/>
    </w:pPr>
    <w:rPr>
      <w:rFonts w:ascii="Calibri" w:hAnsi="Calibri" w:cs="Times New Roman"/>
    </w:rPr>
  </w:style>
  <w:style w:type="table" w:styleId="TableGrid">
    <w:name w:val="Table Grid"/>
    <w:basedOn w:val="TableNormal"/>
    <w:uiPriority w:val="59"/>
    <w:rsid w:val="0090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70087B"/>
    <w:pPr>
      <w:spacing w:before="120" w:after="0" w:line="240" w:lineRule="auto"/>
      <w:jc w:val="both"/>
    </w:pPr>
    <w:rPr>
      <w:rFonts w:ascii="Arial" w:eastAsia="Times New Roman" w:hAnsi="Arial" w:cs="Times New Roman"/>
      <w:b/>
      <w:szCs w:val="20"/>
      <w:lang w:val="fr-FR" w:eastAsia="fr-BE"/>
    </w:rPr>
  </w:style>
  <w:style w:type="paragraph" w:customStyle="1" w:styleId="DocumentTitle">
    <w:name w:val="Document Title"/>
    <w:basedOn w:val="Normal"/>
    <w:rsid w:val="0070087B"/>
    <w:pPr>
      <w:pBdr>
        <w:bottom w:val="single" w:sz="4" w:space="1" w:color="auto"/>
      </w:pBdr>
      <w:spacing w:before="2400" w:after="120" w:line="240" w:lineRule="auto"/>
      <w:outlineLvl w:val="0"/>
    </w:pPr>
    <w:rPr>
      <w:rFonts w:ascii="Arial" w:eastAsia="Times" w:hAnsi="Arial" w:cs="Times New Roman"/>
      <w:b/>
      <w:kern w:val="28"/>
      <w:sz w:val="32"/>
      <w:szCs w:val="20"/>
      <w:lang w:val="fr-FR" w:eastAsia="fr-BE"/>
    </w:rPr>
  </w:style>
  <w:style w:type="paragraph" w:customStyle="1" w:styleId="SubTitle1">
    <w:name w:val="SubTitle1"/>
    <w:basedOn w:val="Normal"/>
    <w:rsid w:val="0070087B"/>
    <w:pPr>
      <w:spacing w:after="720" w:line="240" w:lineRule="auto"/>
      <w:jc w:val="both"/>
    </w:pPr>
    <w:rPr>
      <w:rFonts w:ascii="Arial" w:eastAsia="Times" w:hAnsi="Arial" w:cs="Times New Roman"/>
      <w:b/>
      <w:szCs w:val="20"/>
      <w:lang w:val="fr-FR" w:eastAsia="fr-BE"/>
    </w:rPr>
  </w:style>
  <w:style w:type="paragraph" w:customStyle="1" w:styleId="ZCom">
    <w:name w:val="Z_Com"/>
    <w:basedOn w:val="Normal"/>
    <w:next w:val="Normal"/>
    <w:rsid w:val="0070087B"/>
    <w:pPr>
      <w:widowControl w:val="0"/>
      <w:snapToGrid w:val="0"/>
      <w:spacing w:after="0" w:line="240" w:lineRule="auto"/>
      <w:ind w:right="85"/>
      <w:jc w:val="both"/>
    </w:pPr>
    <w:rPr>
      <w:rFonts w:ascii="Arial" w:eastAsia="Times New Roman" w:hAnsi="Arial" w:cs="Times New Roman"/>
      <w:sz w:val="24"/>
      <w:szCs w:val="20"/>
      <w:lang w:val="fr-FR" w:eastAsia="en-US"/>
    </w:rPr>
  </w:style>
  <w:style w:type="paragraph" w:customStyle="1" w:styleId="ZDGName">
    <w:name w:val="Z_DGName"/>
    <w:basedOn w:val="Normal"/>
    <w:rsid w:val="0070087B"/>
    <w:pPr>
      <w:widowControl w:val="0"/>
      <w:snapToGrid w:val="0"/>
      <w:spacing w:after="0" w:line="240" w:lineRule="auto"/>
      <w:ind w:right="85"/>
      <w:jc w:val="both"/>
    </w:pPr>
    <w:rPr>
      <w:rFonts w:ascii="Arial" w:eastAsia="Times New Roman" w:hAnsi="Arial" w:cs="Times New Roman"/>
      <w:sz w:val="16"/>
      <w:szCs w:val="20"/>
      <w:lang w:val="fr-FR" w:eastAsia="en-US"/>
    </w:rPr>
  </w:style>
  <w:style w:type="paragraph" w:styleId="BalloonText">
    <w:name w:val="Balloon Text"/>
    <w:basedOn w:val="Normal"/>
    <w:link w:val="BalloonTextChar"/>
    <w:uiPriority w:val="99"/>
    <w:semiHidden/>
    <w:unhideWhenUsed/>
    <w:rsid w:val="0070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6185">
      <w:bodyDiv w:val="1"/>
      <w:marLeft w:val="0"/>
      <w:marRight w:val="0"/>
      <w:marTop w:val="0"/>
      <w:marBottom w:val="0"/>
      <w:divBdr>
        <w:top w:val="none" w:sz="0" w:space="0" w:color="auto"/>
        <w:left w:val="none" w:sz="0" w:space="0" w:color="auto"/>
        <w:bottom w:val="none" w:sz="0" w:space="0" w:color="auto"/>
        <w:right w:val="none" w:sz="0" w:space="0" w:color="auto"/>
      </w:divBdr>
    </w:div>
    <w:div w:id="17293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ESCUDERO BUSTAMANTE</dc:creator>
  <cp:lastModifiedBy>Soyer</cp:lastModifiedBy>
  <cp:revision>1</cp:revision>
  <cp:lastPrinted>2015-03-04T10:53:00Z</cp:lastPrinted>
  <dcterms:created xsi:type="dcterms:W3CDTF">2015-03-27T10:30:00Z</dcterms:created>
  <dcterms:modified xsi:type="dcterms:W3CDTF">2015-06-25T15:35:00Z</dcterms:modified>
</cp:coreProperties>
</file>