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F6" w:rsidRPr="007B5C0D" w:rsidRDefault="004814F6">
      <w:pPr>
        <w:pStyle w:val="References"/>
      </w:pP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5103"/>
        <w:gridCol w:w="4366"/>
      </w:tblGrid>
      <w:tr w:rsidR="005C0ACF" w:rsidRPr="007B5C0D">
        <w:trPr>
          <w:trHeight w:val="1440"/>
        </w:trPr>
        <w:tc>
          <w:tcPr>
            <w:tcW w:w="5103" w:type="dxa"/>
          </w:tcPr>
          <w:p w:rsidR="005C0ACF" w:rsidRPr="007B5C0D" w:rsidRDefault="002B2201" w:rsidP="00C77DE1">
            <w:pPr>
              <w:jc w:val="left"/>
            </w:pPr>
            <w:bookmarkStart w:id="1" w:name="WorDocTitle"/>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8.4pt;width:243pt;height:66.2pt;z-index:251657728">
                  <v:imagedata r:id="rId9" o:title=""/>
                  <w10:wrap type="topAndBottom"/>
                </v:shape>
                <o:OLEObject Type="Embed" ProgID="MSPhotoEd.3" ShapeID="_x0000_s1026" DrawAspect="Content" ObjectID="_1457522045" r:id="rId10"/>
              </w:pict>
            </w:r>
          </w:p>
        </w:tc>
        <w:tc>
          <w:tcPr>
            <w:tcW w:w="4366" w:type="dxa"/>
          </w:tcPr>
          <w:p w:rsidR="005C0ACF" w:rsidRPr="007B5C0D" w:rsidRDefault="007B5C0D" w:rsidP="00C77DE1">
            <w:pPr>
              <w:pStyle w:val="ZCom"/>
              <w:rPr>
                <w:color w:val="0000FF"/>
              </w:rPr>
            </w:pPr>
            <w:r>
              <w:rPr>
                <w:color w:val="0000FF"/>
              </w:rPr>
              <w:t>Ecoles européennes</w:t>
            </w:r>
          </w:p>
          <w:p w:rsidR="005C0ACF" w:rsidRPr="007B5C0D" w:rsidRDefault="005C0ACF" w:rsidP="00C77DE1">
            <w:pPr>
              <w:pStyle w:val="ZDGName"/>
              <w:rPr>
                <w:color w:val="0000FF"/>
              </w:rPr>
            </w:pPr>
          </w:p>
          <w:p w:rsidR="005C0ACF" w:rsidRPr="007B5C0D" w:rsidRDefault="005C0ACF" w:rsidP="00C77DE1">
            <w:pPr>
              <w:pStyle w:val="ZDGName"/>
              <w:rPr>
                <w:color w:val="0000FF"/>
              </w:rPr>
            </w:pPr>
          </w:p>
          <w:p w:rsidR="005C0ACF" w:rsidRPr="007B5C0D" w:rsidRDefault="005C0ACF" w:rsidP="00C77DE1">
            <w:pPr>
              <w:pStyle w:val="ZDGName"/>
              <w:rPr>
                <w:color w:val="0000FF"/>
              </w:rPr>
            </w:pPr>
          </w:p>
          <w:p w:rsidR="005C0ACF" w:rsidRPr="007B5C0D" w:rsidRDefault="007B5C0D" w:rsidP="007B5C0D">
            <w:pPr>
              <w:pStyle w:val="ZDGName"/>
              <w:rPr>
                <w:color w:val="0000FF"/>
              </w:rPr>
            </w:pPr>
            <w:r>
              <w:rPr>
                <w:color w:val="0000FF"/>
              </w:rPr>
              <w:t xml:space="preserve">Bureau du Secrétaire général </w:t>
            </w:r>
          </w:p>
        </w:tc>
      </w:tr>
    </w:tbl>
    <w:p w:rsidR="007B5C0D" w:rsidRDefault="007B5C0D" w:rsidP="005C0ACF">
      <w:pPr>
        <w:pStyle w:val="References"/>
        <w:spacing w:before="0"/>
        <w:rPr>
          <w:szCs w:val="22"/>
        </w:rPr>
      </w:pPr>
    </w:p>
    <w:p w:rsidR="005C0ACF" w:rsidRPr="007B5C0D" w:rsidRDefault="005C0ACF" w:rsidP="005C0ACF">
      <w:pPr>
        <w:pStyle w:val="References"/>
        <w:spacing w:before="0"/>
        <w:rPr>
          <w:szCs w:val="22"/>
        </w:rPr>
      </w:pPr>
      <w:r w:rsidRPr="007B5C0D">
        <w:rPr>
          <w:szCs w:val="22"/>
        </w:rPr>
        <w:t>Réf.</w:t>
      </w:r>
      <w:r w:rsidR="007B5C0D">
        <w:rPr>
          <w:szCs w:val="22"/>
        </w:rPr>
        <w:t> : 20</w:t>
      </w:r>
      <w:r w:rsidR="00F77C6A">
        <w:rPr>
          <w:szCs w:val="22"/>
        </w:rPr>
        <w:t>1</w:t>
      </w:r>
      <w:r w:rsidR="00636893">
        <w:rPr>
          <w:szCs w:val="22"/>
        </w:rPr>
        <w:t>4</w:t>
      </w:r>
      <w:r w:rsidR="007B5C0D">
        <w:rPr>
          <w:szCs w:val="22"/>
        </w:rPr>
        <w:t>-</w:t>
      </w:r>
      <w:r w:rsidR="00FF6E43">
        <w:rPr>
          <w:szCs w:val="22"/>
        </w:rPr>
        <w:t>0</w:t>
      </w:r>
      <w:r w:rsidR="008937F7">
        <w:rPr>
          <w:szCs w:val="22"/>
        </w:rPr>
        <w:t>3</w:t>
      </w:r>
      <w:r w:rsidR="00FF6E43">
        <w:rPr>
          <w:szCs w:val="22"/>
        </w:rPr>
        <w:t>-</w:t>
      </w:r>
      <w:r w:rsidR="007B5C0D">
        <w:rPr>
          <w:szCs w:val="22"/>
        </w:rPr>
        <w:t>D-</w:t>
      </w:r>
      <w:r w:rsidR="00636893">
        <w:rPr>
          <w:szCs w:val="22"/>
        </w:rPr>
        <w:t>11</w:t>
      </w:r>
      <w:r w:rsidR="007B5C0D">
        <w:rPr>
          <w:szCs w:val="22"/>
        </w:rPr>
        <w:t>-fr</w:t>
      </w:r>
      <w:r w:rsidRPr="007B5C0D">
        <w:rPr>
          <w:szCs w:val="22"/>
        </w:rPr>
        <w:t>-</w:t>
      </w:r>
      <w:r w:rsidR="00C1637C">
        <w:rPr>
          <w:szCs w:val="22"/>
        </w:rPr>
        <w:t>1</w:t>
      </w:r>
    </w:p>
    <w:p w:rsidR="005C0ACF" w:rsidRPr="007B5C0D" w:rsidRDefault="005C0ACF" w:rsidP="005C0ACF">
      <w:pPr>
        <w:pStyle w:val="References"/>
        <w:spacing w:before="0"/>
        <w:rPr>
          <w:szCs w:val="22"/>
        </w:rPr>
      </w:pPr>
    </w:p>
    <w:p w:rsidR="005C0ACF" w:rsidRDefault="007B5C0D" w:rsidP="005C0ACF">
      <w:pPr>
        <w:pStyle w:val="References"/>
        <w:spacing w:before="0"/>
        <w:rPr>
          <w:szCs w:val="22"/>
        </w:rPr>
      </w:pPr>
      <w:r>
        <w:rPr>
          <w:szCs w:val="22"/>
        </w:rPr>
        <w:t>Original </w:t>
      </w:r>
      <w:r w:rsidR="00F5638E">
        <w:rPr>
          <w:szCs w:val="22"/>
        </w:rPr>
        <w:t xml:space="preserve">: </w:t>
      </w:r>
      <w:r w:rsidR="00C1637C">
        <w:rPr>
          <w:szCs w:val="22"/>
        </w:rPr>
        <w:t>FR</w:t>
      </w:r>
    </w:p>
    <w:p w:rsidR="00E0249E" w:rsidRPr="007B5C0D" w:rsidRDefault="00E0249E" w:rsidP="005C0ACF">
      <w:pPr>
        <w:pStyle w:val="References"/>
        <w:spacing w:before="0"/>
        <w:rPr>
          <w:szCs w:val="22"/>
        </w:rPr>
      </w:pPr>
    </w:p>
    <w:p w:rsidR="005C0ACF" w:rsidRPr="007B5C0D" w:rsidRDefault="00EA4025" w:rsidP="00F30638">
      <w:pPr>
        <w:pStyle w:val="DocumentTitle"/>
        <w:spacing w:before="3120"/>
        <w:jc w:val="both"/>
      </w:pPr>
      <w:r>
        <w:t>S</w:t>
      </w:r>
      <w:r w:rsidR="00F77C6A">
        <w:t xml:space="preserve">ituation des </w:t>
      </w:r>
      <w:r w:rsidR="0082331D">
        <w:t xml:space="preserve">inscriptions dans les </w:t>
      </w:r>
      <w:r w:rsidR="003B0DFB">
        <w:t>Ecoles européennes de Bruxelles</w:t>
      </w:r>
      <w:r w:rsidR="0042770E">
        <w:t xml:space="preserve"> : </w:t>
      </w:r>
      <w:r w:rsidR="0042770E" w:rsidRPr="0042770E">
        <w:rPr>
          <w:szCs w:val="32"/>
        </w:rPr>
        <w:t>1</w:t>
      </w:r>
      <w:r w:rsidR="0042770E" w:rsidRPr="0042770E">
        <w:rPr>
          <w:szCs w:val="32"/>
          <w:vertAlign w:val="superscript"/>
        </w:rPr>
        <w:t>ère</w:t>
      </w:r>
      <w:r w:rsidR="0042770E" w:rsidRPr="0042770E">
        <w:rPr>
          <w:szCs w:val="32"/>
        </w:rPr>
        <w:t xml:space="preserve"> phase d</w:t>
      </w:r>
      <w:r w:rsidR="0042770E">
        <w:rPr>
          <w:szCs w:val="32"/>
        </w:rPr>
        <w:t>’inscription</w:t>
      </w:r>
      <w:r w:rsidR="00636893">
        <w:rPr>
          <w:szCs w:val="32"/>
        </w:rPr>
        <w:t xml:space="preserve"> pour l’année scolaire 2014-2015</w:t>
      </w:r>
    </w:p>
    <w:p w:rsidR="0051403D" w:rsidRDefault="00C1637C" w:rsidP="005C0ACF">
      <w:pPr>
        <w:pStyle w:val="SubTitle1"/>
      </w:pPr>
      <w:r>
        <w:t>Co</w:t>
      </w:r>
      <w:r w:rsidR="005B1708">
        <w:t xml:space="preserve">nseil supérieur des Ecoles européennes </w:t>
      </w:r>
    </w:p>
    <w:p w:rsidR="005C0ACF" w:rsidRPr="007B5C0D" w:rsidRDefault="007B5C0D" w:rsidP="005C0ACF">
      <w:pPr>
        <w:pStyle w:val="SubTitle2"/>
      </w:pPr>
      <w:r>
        <w:t xml:space="preserve">Réunion </w:t>
      </w:r>
      <w:r w:rsidR="009619E8">
        <w:t xml:space="preserve">des </w:t>
      </w:r>
      <w:r w:rsidR="00580C5B">
        <w:t>8, 9</w:t>
      </w:r>
      <w:r w:rsidR="008732A6">
        <w:t xml:space="preserve"> et 1</w:t>
      </w:r>
      <w:r w:rsidR="00580C5B">
        <w:t>0</w:t>
      </w:r>
      <w:r w:rsidR="008732A6">
        <w:t xml:space="preserve"> </w:t>
      </w:r>
      <w:r w:rsidR="005B1708">
        <w:t>avril</w:t>
      </w:r>
      <w:r w:rsidR="009619E8">
        <w:t xml:space="preserve"> </w:t>
      </w:r>
      <w:r w:rsidR="00EA4025">
        <w:t>20</w:t>
      </w:r>
      <w:r w:rsidR="00F77C6A">
        <w:t>1</w:t>
      </w:r>
      <w:r w:rsidR="00580C5B">
        <w:t>4</w:t>
      </w:r>
      <w:r w:rsidR="00EA4025">
        <w:t xml:space="preserve"> - </w:t>
      </w:r>
      <w:r w:rsidR="00636893">
        <w:t>Sofia</w:t>
      </w:r>
    </w:p>
    <w:p w:rsidR="004D2487" w:rsidRDefault="005C0ACF" w:rsidP="00915628">
      <w:pPr>
        <w:tabs>
          <w:tab w:val="left" w:pos="284"/>
        </w:tabs>
        <w:spacing w:after="240"/>
        <w:ind w:left="284" w:hanging="284"/>
        <w:rPr>
          <w:b/>
          <w:sz w:val="24"/>
          <w:szCs w:val="24"/>
          <w:u w:val="single"/>
        </w:rPr>
      </w:pPr>
      <w:r w:rsidRPr="007B5C0D">
        <w:br w:type="page"/>
      </w:r>
      <w:bookmarkEnd w:id="1"/>
      <w:r w:rsidR="00EF2673">
        <w:rPr>
          <w:b/>
          <w:sz w:val="24"/>
          <w:szCs w:val="24"/>
        </w:rPr>
        <w:lastRenderedPageBreak/>
        <w:t>I</w:t>
      </w:r>
      <w:r w:rsidR="00EA4025" w:rsidRPr="007B5C0D">
        <w:rPr>
          <w:b/>
          <w:sz w:val="24"/>
          <w:szCs w:val="24"/>
        </w:rPr>
        <w:t>.</w:t>
      </w:r>
      <w:r w:rsidR="00EA4025">
        <w:rPr>
          <w:b/>
          <w:sz w:val="24"/>
          <w:szCs w:val="24"/>
        </w:rPr>
        <w:tab/>
      </w:r>
      <w:r w:rsidR="004D2487" w:rsidRPr="004D2487">
        <w:rPr>
          <w:b/>
          <w:sz w:val="24"/>
          <w:szCs w:val="24"/>
          <w:u w:val="single"/>
        </w:rPr>
        <w:t>Introduction</w:t>
      </w:r>
    </w:p>
    <w:p w:rsidR="00B75C09" w:rsidRDefault="00582169" w:rsidP="00731E26">
      <w:pPr>
        <w:tabs>
          <w:tab w:val="left" w:pos="284"/>
        </w:tabs>
      </w:pPr>
      <w:r>
        <w:t>La p</w:t>
      </w:r>
      <w:r w:rsidR="00915628">
        <w:t>opulation scolaire globale des quatre</w:t>
      </w:r>
      <w:r>
        <w:t xml:space="preserve"> </w:t>
      </w:r>
      <w:r w:rsidR="00915628">
        <w:t>E</w:t>
      </w:r>
      <w:r>
        <w:t>coles européennes de Bruxelles continue de cro</w:t>
      </w:r>
      <w:r w:rsidR="00915628">
        <w:t>î</w:t>
      </w:r>
      <w:r>
        <w:t xml:space="preserve">tre </w:t>
      </w:r>
      <w:r w:rsidR="00BC1FE1">
        <w:t xml:space="preserve">et cette croissance a des répercussions en termes de ressources et d’infrastructures. </w:t>
      </w:r>
      <w:r>
        <w:t xml:space="preserve"> </w:t>
      </w:r>
      <w:r w:rsidR="00831326">
        <w:t>Depuis trois ans, c</w:t>
      </w:r>
      <w:r w:rsidR="00BC1FE1">
        <w:t xml:space="preserve">ette </w:t>
      </w:r>
      <w:r w:rsidR="00960EE5">
        <w:t xml:space="preserve">situation est </w:t>
      </w:r>
      <w:r w:rsidR="00831326">
        <w:t>r</w:t>
      </w:r>
      <w:r w:rsidR="00960EE5">
        <w:t xml:space="preserve">emarquable au cycle maternel, </w:t>
      </w:r>
      <w:r w:rsidR="00831326">
        <w:t xml:space="preserve">particulièrement </w:t>
      </w:r>
      <w:r w:rsidR="00960EE5">
        <w:t xml:space="preserve">en section francophone, mais elle </w:t>
      </w:r>
      <w:r w:rsidR="00BC1FE1">
        <w:t xml:space="preserve">commence </w:t>
      </w:r>
      <w:r w:rsidR="00107990">
        <w:t xml:space="preserve">aussi </w:t>
      </w:r>
      <w:r w:rsidR="00BC1FE1">
        <w:t xml:space="preserve">à </w:t>
      </w:r>
      <w:r w:rsidR="00916606">
        <w:t xml:space="preserve">être </w:t>
      </w:r>
      <w:r w:rsidR="00B75C09">
        <w:t>ressenti</w:t>
      </w:r>
      <w:r w:rsidR="00916606">
        <w:t>e</w:t>
      </w:r>
      <w:r w:rsidR="00B75C09">
        <w:t xml:space="preserve"> au </w:t>
      </w:r>
      <w:r w:rsidR="00DD2B20">
        <w:t xml:space="preserve">cycle </w:t>
      </w:r>
      <w:r w:rsidR="00B75C09">
        <w:t>primaire</w:t>
      </w:r>
      <w:r w:rsidR="0051104B">
        <w:t xml:space="preserve">. </w:t>
      </w:r>
    </w:p>
    <w:p w:rsidR="009F79BD" w:rsidRDefault="00BC7E32" w:rsidP="00731E26">
      <w:pPr>
        <w:tabs>
          <w:tab w:val="left" w:pos="284"/>
        </w:tabs>
      </w:pPr>
      <w:r>
        <w:t xml:space="preserve">La </w:t>
      </w:r>
      <w:r w:rsidR="0053432B">
        <w:t xml:space="preserve">Politique d’inscription pour </w:t>
      </w:r>
      <w:r w:rsidR="00915628">
        <w:t xml:space="preserve">l’année scolaire </w:t>
      </w:r>
      <w:r w:rsidR="0053432B">
        <w:t>2014-2015</w:t>
      </w:r>
      <w:r>
        <w:t xml:space="preserve">, qui se </w:t>
      </w:r>
      <w:r w:rsidR="00F350F6">
        <w:t>fond</w:t>
      </w:r>
      <w:r>
        <w:t>e</w:t>
      </w:r>
      <w:r w:rsidR="00F350F6">
        <w:t xml:space="preserve"> </w:t>
      </w:r>
      <w:r w:rsidR="0053432B">
        <w:t xml:space="preserve">sur </w:t>
      </w:r>
      <w:r w:rsidR="00F350F6">
        <w:t xml:space="preserve">une </w:t>
      </w:r>
      <w:r w:rsidR="0053432B">
        <w:t>structure</w:t>
      </w:r>
      <w:r w:rsidR="00F350F6">
        <w:t xml:space="preserve"> définie </w:t>
      </w:r>
      <w:r w:rsidR="0053432B">
        <w:t>p</w:t>
      </w:r>
      <w:r w:rsidR="00F350F6">
        <w:t xml:space="preserve">ar </w:t>
      </w:r>
      <w:r w:rsidR="0053432B">
        <w:t>école</w:t>
      </w:r>
      <w:r>
        <w:t>,</w:t>
      </w:r>
      <w:r w:rsidR="00F350F6">
        <w:t xml:space="preserve"> prend en compte les particularités de chacune d’entre elles. </w:t>
      </w:r>
    </w:p>
    <w:p w:rsidR="009F79BD" w:rsidRDefault="00BC7E32" w:rsidP="00731E26">
      <w:pPr>
        <w:tabs>
          <w:tab w:val="left" w:pos="284"/>
        </w:tabs>
      </w:pPr>
      <w:r>
        <w:t>Ainsi, g</w:t>
      </w:r>
      <w:r w:rsidR="00F350F6">
        <w:t>râce aux politiques d’inscription antérieures, l’école de Bruxelles I, dont les classes de maternelle et de 1</w:t>
      </w:r>
      <w:r w:rsidR="00F350F6" w:rsidRPr="00F350F6">
        <w:rPr>
          <w:vertAlign w:val="superscript"/>
        </w:rPr>
        <w:t>ère</w:t>
      </w:r>
      <w:r w:rsidR="00F350F6">
        <w:t xml:space="preserve"> primaire sont temporairement hébergées jusqu’en 2015 sur le site de Berkendael en raison de la rénovation du bâtiment Fabiola, peut encore accueillir des élèves dans les trois niveaux d’enseignement. </w:t>
      </w:r>
    </w:p>
    <w:p w:rsidR="00466A09" w:rsidRDefault="00BC7E32" w:rsidP="00731E26">
      <w:pPr>
        <w:tabs>
          <w:tab w:val="left" w:pos="284"/>
        </w:tabs>
      </w:pPr>
      <w:r>
        <w:t>L’école de Bruxelles II, s</w:t>
      </w:r>
      <w:r w:rsidR="0053432B">
        <w:t>urp</w:t>
      </w:r>
      <w:r w:rsidR="00DD2B20">
        <w:t xml:space="preserve">euplée du fait de </w:t>
      </w:r>
      <w:r w:rsidR="00466A09">
        <w:t>l</w:t>
      </w:r>
      <w:r w:rsidR="00DD2B20">
        <w:t>a présence de plusieurs sections uniques et de l’augmentation du nombre d’élèves SWALS</w:t>
      </w:r>
      <w:r w:rsidR="009F79BD">
        <w:t xml:space="preserve">, a connu des </w:t>
      </w:r>
      <w:r w:rsidR="00466A09">
        <w:t>difficultés d’ordre infrastructurel</w:t>
      </w:r>
      <w:r w:rsidR="00916606">
        <w:t>,</w:t>
      </w:r>
      <w:r w:rsidR="009F79BD">
        <w:t xml:space="preserve"> qui ont été résolues par </w:t>
      </w:r>
      <w:r w:rsidR="00916606">
        <w:t>la</w:t>
      </w:r>
      <w:r w:rsidR="009F79BD">
        <w:t xml:space="preserve"> réorganisation de certains locaux dans le respect des normes de sécurité. Pour ces raisons, elle </w:t>
      </w:r>
      <w:r w:rsidR="00466A09">
        <w:t xml:space="preserve">ne peut accueillir qu’un nombre limité </w:t>
      </w:r>
      <w:r w:rsidR="0053432B">
        <w:t>d’élèves ne présentant pas de critère particulier de priorité</w:t>
      </w:r>
      <w:r w:rsidR="00466A09">
        <w:t xml:space="preserve"> en</w:t>
      </w:r>
      <w:r w:rsidR="0053432B">
        <w:t xml:space="preserve"> maternelle et </w:t>
      </w:r>
      <w:r w:rsidR="00466A09">
        <w:t>en 1</w:t>
      </w:r>
      <w:r w:rsidR="00466A09" w:rsidRPr="00466A09">
        <w:rPr>
          <w:vertAlign w:val="superscript"/>
        </w:rPr>
        <w:t>ère</w:t>
      </w:r>
      <w:r w:rsidR="00466A09">
        <w:t xml:space="preserve"> primaire s</w:t>
      </w:r>
      <w:r>
        <w:t xml:space="preserve">uivant </w:t>
      </w:r>
      <w:r w:rsidR="0053432B">
        <w:t xml:space="preserve">des seuils </w:t>
      </w:r>
      <w:r w:rsidR="00466A09">
        <w:t xml:space="preserve">fixés </w:t>
      </w:r>
      <w:r w:rsidR="009F79BD">
        <w:t xml:space="preserve">en vue de </w:t>
      </w:r>
      <w:r w:rsidR="003B35D6">
        <w:t>mainte</w:t>
      </w:r>
      <w:r w:rsidR="009F79BD">
        <w:t>nir la viabilité des sections</w:t>
      </w:r>
      <w:r w:rsidR="00520E45">
        <w:t>, qui sont</w:t>
      </w:r>
      <w:r w:rsidR="009F79BD">
        <w:t xml:space="preserve"> également présentes dans les autres écoles</w:t>
      </w:r>
      <w:r w:rsidR="0053432B">
        <w:t xml:space="preserve">. </w:t>
      </w:r>
    </w:p>
    <w:p w:rsidR="00466A09" w:rsidRDefault="00BC7E32" w:rsidP="00731E26">
      <w:pPr>
        <w:tabs>
          <w:tab w:val="left" w:pos="284"/>
        </w:tabs>
      </w:pPr>
      <w:r>
        <w:t>L’école de Bruxelles III, dont l’effectif global a diminué par rapport à l’année scolaire 2012-2013, offre des places disponibles aux niveaux primaire et secondaire dans le cadre de la structure de classes adoptée les années précédentes.</w:t>
      </w:r>
    </w:p>
    <w:p w:rsidR="001100A9" w:rsidRDefault="00CD53F3" w:rsidP="00731E26">
      <w:pPr>
        <w:tabs>
          <w:tab w:val="left" w:pos="284"/>
        </w:tabs>
      </w:pPr>
      <w:r>
        <w:t xml:space="preserve">Grâce aux ressources du site de Laeken, l’école </w:t>
      </w:r>
      <w:r w:rsidR="00B932E7">
        <w:t xml:space="preserve">de Bruxelles IV </w:t>
      </w:r>
      <w:r w:rsidR="001100A9">
        <w:t xml:space="preserve">poursuit </w:t>
      </w:r>
      <w:r>
        <w:t>son développement</w:t>
      </w:r>
      <w:r w:rsidR="00CE004A">
        <w:t>,</w:t>
      </w:r>
      <w:r>
        <w:t xml:space="preserve"> notamment au cycle secondaire</w:t>
      </w:r>
      <w:r w:rsidR="00BC1849">
        <w:t>. Les bases d</w:t>
      </w:r>
      <w:r>
        <w:t xml:space="preserve">e ce cycle </w:t>
      </w:r>
      <w:r w:rsidR="00BC1849">
        <w:t>étant à présent consolidées,</w:t>
      </w:r>
      <w:r w:rsidR="0074631B">
        <w:t xml:space="preserve"> cette année</w:t>
      </w:r>
      <w:r w:rsidR="00BC1849">
        <w:t xml:space="preserve"> </w:t>
      </w:r>
      <w:r w:rsidR="0053432B">
        <w:t xml:space="preserve">les inscriptions </w:t>
      </w:r>
      <w:r w:rsidR="00D71538">
        <w:t>en 4</w:t>
      </w:r>
      <w:r w:rsidR="00D71538" w:rsidRPr="00D71538">
        <w:rPr>
          <w:vertAlign w:val="superscript"/>
        </w:rPr>
        <w:t>ème</w:t>
      </w:r>
      <w:r w:rsidR="00D71538">
        <w:t xml:space="preserve"> et </w:t>
      </w:r>
      <w:r w:rsidR="001100A9">
        <w:t>5</w:t>
      </w:r>
      <w:r w:rsidR="001100A9">
        <w:rPr>
          <w:vertAlign w:val="superscript"/>
        </w:rPr>
        <w:t>ème</w:t>
      </w:r>
      <w:r w:rsidR="001100A9">
        <w:t xml:space="preserve"> secondaire </w:t>
      </w:r>
      <w:r w:rsidR="00D71538">
        <w:t xml:space="preserve">dans </w:t>
      </w:r>
      <w:r w:rsidR="001100A9">
        <w:t xml:space="preserve">les sections DE, EN, FR, IT et </w:t>
      </w:r>
      <w:r w:rsidR="00D71538">
        <w:t xml:space="preserve">en </w:t>
      </w:r>
      <w:r w:rsidR="001100A9">
        <w:t>4</w:t>
      </w:r>
      <w:r w:rsidR="001100A9">
        <w:rPr>
          <w:vertAlign w:val="superscript"/>
        </w:rPr>
        <w:t>ème</w:t>
      </w:r>
      <w:r w:rsidR="001100A9">
        <w:t xml:space="preserve"> secondaire </w:t>
      </w:r>
      <w:r w:rsidR="00D71538">
        <w:t xml:space="preserve">dans </w:t>
      </w:r>
      <w:r w:rsidR="001100A9">
        <w:t xml:space="preserve">la section NL </w:t>
      </w:r>
      <w:r w:rsidR="0053432B">
        <w:t>sont dirigées</w:t>
      </w:r>
      <w:r w:rsidR="00BC7E32">
        <w:t xml:space="preserve"> vers cette école</w:t>
      </w:r>
      <w:r w:rsidR="00BC1849">
        <w:t xml:space="preserve">. </w:t>
      </w:r>
      <w:r w:rsidR="00B46028">
        <w:t xml:space="preserve">Cependant, il est nécessaire de prendre aussi en compte la croissance </w:t>
      </w:r>
      <w:r w:rsidR="00B932E7">
        <w:t xml:space="preserve">des effectifs dans la section francophone, qui représentent près de la moitié de la population </w:t>
      </w:r>
      <w:r w:rsidR="00132A4D">
        <w:t xml:space="preserve">totale </w:t>
      </w:r>
      <w:r w:rsidR="00EE75A7">
        <w:t>de l’école,</w:t>
      </w:r>
      <w:r w:rsidR="00B46028">
        <w:t xml:space="preserve"> pour essayer de la contenir </w:t>
      </w:r>
      <w:r w:rsidR="00EE75A7">
        <w:t>autant que possible</w:t>
      </w:r>
      <w:r w:rsidR="00B46028">
        <w:t xml:space="preserve">. </w:t>
      </w:r>
      <w:r w:rsidR="00EE75A7">
        <w:t xml:space="preserve"> </w:t>
      </w:r>
    </w:p>
    <w:p w:rsidR="0089121E" w:rsidRDefault="00505543" w:rsidP="00731E26">
      <w:pPr>
        <w:tabs>
          <w:tab w:val="left" w:pos="284"/>
        </w:tabs>
      </w:pPr>
      <w:r>
        <w:t xml:space="preserve">Eu égard à </w:t>
      </w:r>
      <w:r w:rsidR="001100A9">
        <w:t>ce contexte</w:t>
      </w:r>
      <w:r w:rsidR="00EA3F5C">
        <w:t xml:space="preserve"> global</w:t>
      </w:r>
      <w:r w:rsidR="001100A9">
        <w:t xml:space="preserve">, </w:t>
      </w:r>
      <w:r>
        <w:t xml:space="preserve">différentes dispositions de la Politique d’inscription 2014-2015 permettent de considérer </w:t>
      </w:r>
      <w:r w:rsidR="001100A9">
        <w:t xml:space="preserve">l’inscription </w:t>
      </w:r>
      <w:r w:rsidR="006B33E1">
        <w:t xml:space="preserve">d’élèves ne présentant pas de critère particulier de priorité </w:t>
      </w:r>
      <w:r w:rsidR="00A46E5B">
        <w:t xml:space="preserve">dans les écoles </w:t>
      </w:r>
      <w:r w:rsidR="001A5459">
        <w:t xml:space="preserve">de Bruxelles I, III et IV </w:t>
      </w:r>
      <w:r>
        <w:t xml:space="preserve">- </w:t>
      </w:r>
      <w:r w:rsidR="001A5459">
        <w:t>et dans un</w:t>
      </w:r>
      <w:r>
        <w:t xml:space="preserve"> cadre limité </w:t>
      </w:r>
      <w:r w:rsidR="001A5459">
        <w:t>à l’école de Bruxelles II</w:t>
      </w:r>
      <w:r>
        <w:t xml:space="preserve"> -</w:t>
      </w:r>
      <w:r w:rsidR="001A5459">
        <w:t xml:space="preserve">, </w:t>
      </w:r>
      <w:r w:rsidR="000B438D">
        <w:t>dans l</w:t>
      </w:r>
      <w:r w:rsidR="00B46028">
        <w:t xml:space="preserve">es </w:t>
      </w:r>
      <w:r w:rsidR="00E549E8">
        <w:t xml:space="preserve">sections linguistiques </w:t>
      </w:r>
      <w:r>
        <w:t xml:space="preserve">DE, EN, FR, IT, NL et ES, qui sont </w:t>
      </w:r>
      <w:r w:rsidR="00A46E5B">
        <w:t xml:space="preserve">disponibles </w:t>
      </w:r>
      <w:r w:rsidR="00E549E8">
        <w:t xml:space="preserve">dans </w:t>
      </w:r>
      <w:r w:rsidR="00B51724">
        <w:t>plusieurs écoles</w:t>
      </w:r>
      <w:r>
        <w:t>.</w:t>
      </w:r>
      <w:r w:rsidR="00B51724">
        <w:t xml:space="preserve"> </w:t>
      </w:r>
      <w:r w:rsidR="001100A9">
        <w:t xml:space="preserve">  </w:t>
      </w:r>
    </w:p>
    <w:p w:rsidR="00EA4025" w:rsidRDefault="004D2487" w:rsidP="00812D69">
      <w:pPr>
        <w:tabs>
          <w:tab w:val="left" w:pos="284"/>
        </w:tabs>
        <w:spacing w:before="240" w:after="240"/>
        <w:ind w:left="284" w:hanging="284"/>
        <w:rPr>
          <w:b/>
          <w:sz w:val="24"/>
          <w:szCs w:val="24"/>
          <w:u w:val="single"/>
        </w:rPr>
      </w:pPr>
      <w:r>
        <w:rPr>
          <w:b/>
          <w:sz w:val="24"/>
          <w:szCs w:val="24"/>
        </w:rPr>
        <w:t xml:space="preserve">II. </w:t>
      </w:r>
      <w:r w:rsidR="00EA4025">
        <w:rPr>
          <w:b/>
          <w:sz w:val="24"/>
          <w:szCs w:val="24"/>
          <w:u w:val="single"/>
        </w:rPr>
        <w:t>S</w:t>
      </w:r>
      <w:r w:rsidR="00C87F71">
        <w:rPr>
          <w:b/>
          <w:sz w:val="24"/>
          <w:szCs w:val="24"/>
          <w:u w:val="single"/>
        </w:rPr>
        <w:t>itu</w:t>
      </w:r>
      <w:r w:rsidR="00F8095C">
        <w:rPr>
          <w:b/>
          <w:sz w:val="24"/>
          <w:szCs w:val="24"/>
          <w:u w:val="single"/>
        </w:rPr>
        <w:t>ation des inscriptions</w:t>
      </w:r>
      <w:r w:rsidR="00746ECE">
        <w:rPr>
          <w:b/>
          <w:sz w:val="24"/>
          <w:szCs w:val="24"/>
          <w:u w:val="single"/>
        </w:rPr>
        <w:t xml:space="preserve"> de la première phase d’inscription 201</w:t>
      </w:r>
      <w:r w:rsidR="0051104B">
        <w:rPr>
          <w:b/>
          <w:sz w:val="24"/>
          <w:szCs w:val="24"/>
          <w:u w:val="single"/>
        </w:rPr>
        <w:t>4</w:t>
      </w:r>
      <w:r w:rsidR="00746ECE">
        <w:rPr>
          <w:b/>
          <w:sz w:val="24"/>
          <w:szCs w:val="24"/>
          <w:u w:val="single"/>
        </w:rPr>
        <w:t>-201</w:t>
      </w:r>
      <w:r w:rsidR="0051104B">
        <w:rPr>
          <w:b/>
          <w:sz w:val="24"/>
          <w:szCs w:val="24"/>
          <w:u w:val="single"/>
        </w:rPr>
        <w:t>5</w:t>
      </w:r>
      <w:r w:rsidR="00F8095C">
        <w:rPr>
          <w:b/>
          <w:sz w:val="24"/>
          <w:szCs w:val="24"/>
          <w:u w:val="single"/>
        </w:rPr>
        <w:t xml:space="preserve"> </w:t>
      </w:r>
      <w:r w:rsidR="00C87F71">
        <w:rPr>
          <w:b/>
          <w:sz w:val="24"/>
          <w:szCs w:val="24"/>
          <w:u w:val="single"/>
        </w:rPr>
        <w:t xml:space="preserve">  </w:t>
      </w:r>
    </w:p>
    <w:p w:rsidR="00685CD9" w:rsidRPr="00635329" w:rsidRDefault="00635329" w:rsidP="00635329">
      <w:pPr>
        <w:ind w:firstLine="284"/>
        <w:rPr>
          <w:b/>
        </w:rPr>
      </w:pPr>
      <w:r>
        <w:rPr>
          <w:b/>
        </w:rPr>
        <w:t xml:space="preserve">2.1. </w:t>
      </w:r>
      <w:r w:rsidR="00785384" w:rsidRPr="00635329">
        <w:rPr>
          <w:b/>
        </w:rPr>
        <w:t xml:space="preserve">Présentation </w:t>
      </w:r>
      <w:r w:rsidRPr="00635329">
        <w:rPr>
          <w:b/>
        </w:rPr>
        <w:t>générale</w:t>
      </w:r>
    </w:p>
    <w:p w:rsidR="00627307" w:rsidRDefault="008732A6" w:rsidP="00627307">
      <w:r>
        <w:t>L</w:t>
      </w:r>
      <w:r w:rsidR="00627307">
        <w:t>’Autorité centrale des inscriptions a é</w:t>
      </w:r>
      <w:r>
        <w:t xml:space="preserve">laboré la </w:t>
      </w:r>
      <w:r w:rsidR="00627307">
        <w:t>politique d’inscri</w:t>
      </w:r>
      <w:r w:rsidR="0053432B">
        <w:t>ption pour l’année scolaire 2014-2015</w:t>
      </w:r>
      <w:r>
        <w:t xml:space="preserve"> conformément aux lignes directrices approuvées par le Conseil supérieur de décembre 201</w:t>
      </w:r>
      <w:r w:rsidR="0053432B">
        <w:t>3</w:t>
      </w:r>
      <w:r>
        <w:t>. Cette politique</w:t>
      </w:r>
      <w:r w:rsidR="00635329">
        <w:t xml:space="preserve">, </w:t>
      </w:r>
      <w:r w:rsidR="00627307">
        <w:t>publi</w:t>
      </w:r>
      <w:r>
        <w:t xml:space="preserve">ée </w:t>
      </w:r>
      <w:r w:rsidR="00627307">
        <w:t>sur le site internet des Ecoles européennes le 19 décembre 201</w:t>
      </w:r>
      <w:r w:rsidR="00915628">
        <w:t>3</w:t>
      </w:r>
      <w:r w:rsidR="00635329">
        <w:t xml:space="preserve">, </w:t>
      </w:r>
      <w:r w:rsidR="00627307">
        <w:t xml:space="preserve">comporte trois phases d’inscription, dont </w:t>
      </w:r>
      <w:r w:rsidR="00BF1636">
        <w:t>la première était ouverte du 13</w:t>
      </w:r>
      <w:r w:rsidR="00627307">
        <w:t xml:space="preserve"> au </w:t>
      </w:r>
      <w:r w:rsidR="00BF1636">
        <w:t>3</w:t>
      </w:r>
      <w:r w:rsidR="00AC3C17">
        <w:t>1</w:t>
      </w:r>
      <w:r w:rsidR="00BF1636">
        <w:t xml:space="preserve"> janvier</w:t>
      </w:r>
      <w:r w:rsidR="00627307">
        <w:t xml:space="preserve">  201</w:t>
      </w:r>
      <w:r w:rsidR="00BF1636">
        <w:t>4</w:t>
      </w:r>
      <w:r w:rsidR="00627307">
        <w:t xml:space="preserve">.  </w:t>
      </w:r>
    </w:p>
    <w:p w:rsidR="008732A6" w:rsidRDefault="00627307" w:rsidP="00ED3F49">
      <w:pPr>
        <w:rPr>
          <w:szCs w:val="22"/>
        </w:rPr>
      </w:pPr>
      <w:r>
        <w:t xml:space="preserve">Dans le cadre de </w:t>
      </w:r>
      <w:r w:rsidR="00635329">
        <w:t xml:space="preserve">cette </w:t>
      </w:r>
      <w:r>
        <w:t>p</w:t>
      </w:r>
      <w:r w:rsidR="00635329">
        <w:t>remière phase</w:t>
      </w:r>
      <w:r w:rsidR="00812D69">
        <w:t>,</w:t>
      </w:r>
      <w:r w:rsidR="008732A6">
        <w:t xml:space="preserve"> </w:t>
      </w:r>
      <w:r w:rsidR="00F616E7">
        <w:t>1</w:t>
      </w:r>
      <w:r w:rsidR="00915628">
        <w:t xml:space="preserve"> </w:t>
      </w:r>
      <w:r w:rsidR="00BF1636">
        <w:t>5</w:t>
      </w:r>
      <w:r w:rsidR="00A10167">
        <w:t>94</w:t>
      </w:r>
      <w:r w:rsidR="00F616E7">
        <w:t xml:space="preserve"> </w:t>
      </w:r>
      <w:r w:rsidR="008C4BFE">
        <w:t>demandes ont été reçues dont 1</w:t>
      </w:r>
      <w:r w:rsidR="00915628">
        <w:t xml:space="preserve"> </w:t>
      </w:r>
      <w:r w:rsidR="00BF1636">
        <w:t>5</w:t>
      </w:r>
      <w:r w:rsidR="00A10167">
        <w:t>64</w:t>
      </w:r>
      <w:r>
        <w:t xml:space="preserve"> de catégorie I et II (Eurocontrol</w:t>
      </w:r>
      <w:r w:rsidR="00A80328">
        <w:t>, à partir de la première primaire</w:t>
      </w:r>
      <w:r w:rsidR="00BF1636">
        <w:t xml:space="preserve">) </w:t>
      </w:r>
      <w:r w:rsidR="00746054">
        <w:t xml:space="preserve">ainsi que </w:t>
      </w:r>
      <w:r w:rsidR="00A10167">
        <w:t>30</w:t>
      </w:r>
      <w:r>
        <w:t xml:space="preserve"> de catégorie III.</w:t>
      </w:r>
      <w:r w:rsidR="00BF1636">
        <w:t xml:space="preserve"> Ce nombre de demande</w:t>
      </w:r>
      <w:r w:rsidR="00DD2B20">
        <w:t>s</w:t>
      </w:r>
      <w:r w:rsidR="00BF1636">
        <w:t xml:space="preserve"> </w:t>
      </w:r>
      <w:r w:rsidR="00750C0F">
        <w:t xml:space="preserve">est </w:t>
      </w:r>
      <w:r w:rsidR="00520E45">
        <w:t>notable par rapport aux</w:t>
      </w:r>
      <w:r w:rsidR="006B3510">
        <w:t xml:space="preserve"> </w:t>
      </w:r>
      <w:r w:rsidR="00DD2B20">
        <w:t>années précédentes</w:t>
      </w:r>
      <w:r w:rsidR="00746054">
        <w:t xml:space="preserve">, près de </w:t>
      </w:r>
      <w:r w:rsidR="00BF1636">
        <w:t>150</w:t>
      </w:r>
      <w:r w:rsidR="00746054">
        <w:t xml:space="preserve"> demandes supplémentaires</w:t>
      </w:r>
      <w:r w:rsidR="00CD0E34">
        <w:t xml:space="preserve"> ayant été enregistrées</w:t>
      </w:r>
      <w:r w:rsidR="00FF306E">
        <w:rPr>
          <w:szCs w:val="22"/>
        </w:rPr>
        <w:t>.</w:t>
      </w:r>
      <w:r w:rsidR="00BF1636">
        <w:rPr>
          <w:szCs w:val="22"/>
        </w:rPr>
        <w:t xml:space="preserve"> Cette augmentation concerne </w:t>
      </w:r>
      <w:r w:rsidR="006B3510">
        <w:rPr>
          <w:szCs w:val="22"/>
        </w:rPr>
        <w:t xml:space="preserve">la section </w:t>
      </w:r>
      <w:r w:rsidR="00BF1636">
        <w:rPr>
          <w:szCs w:val="22"/>
        </w:rPr>
        <w:t xml:space="preserve">francophone </w:t>
      </w:r>
      <w:r w:rsidR="00581913">
        <w:rPr>
          <w:szCs w:val="22"/>
        </w:rPr>
        <w:t xml:space="preserve">à tous les niveaux et </w:t>
      </w:r>
      <w:r w:rsidR="00520E45">
        <w:rPr>
          <w:szCs w:val="22"/>
        </w:rPr>
        <w:t xml:space="preserve">en </w:t>
      </w:r>
      <w:r w:rsidR="00581913">
        <w:rPr>
          <w:szCs w:val="22"/>
        </w:rPr>
        <w:t>particuli</w:t>
      </w:r>
      <w:r w:rsidR="00520E45">
        <w:rPr>
          <w:szCs w:val="22"/>
        </w:rPr>
        <w:t xml:space="preserve">er </w:t>
      </w:r>
      <w:r w:rsidR="00581913">
        <w:rPr>
          <w:szCs w:val="22"/>
        </w:rPr>
        <w:t xml:space="preserve">les cycles primaire et secondaire, le cycle maternel restant en progression constante depuis 2011. </w:t>
      </w:r>
      <w:r w:rsidR="00520E45">
        <w:rPr>
          <w:szCs w:val="22"/>
        </w:rPr>
        <w:t xml:space="preserve">En outre, </w:t>
      </w:r>
      <w:r w:rsidR="00581913">
        <w:rPr>
          <w:szCs w:val="22"/>
        </w:rPr>
        <w:t>la demande en m</w:t>
      </w:r>
      <w:r w:rsidR="00520E45">
        <w:rPr>
          <w:szCs w:val="22"/>
        </w:rPr>
        <w:t xml:space="preserve">aternelle germanophone est </w:t>
      </w:r>
      <w:r w:rsidR="00581913">
        <w:rPr>
          <w:szCs w:val="22"/>
        </w:rPr>
        <w:t>en hausse</w:t>
      </w:r>
      <w:r w:rsidR="00F1659C">
        <w:rPr>
          <w:szCs w:val="22"/>
        </w:rPr>
        <w:t xml:space="preserve"> par rapport à l’année dernière</w:t>
      </w:r>
      <w:r w:rsidR="00BD5EE3">
        <w:rPr>
          <w:szCs w:val="22"/>
        </w:rPr>
        <w:t xml:space="preserve"> (20</w:t>
      </w:r>
      <w:r w:rsidR="0018223C">
        <w:rPr>
          <w:szCs w:val="22"/>
        </w:rPr>
        <w:t xml:space="preserve"> demandes</w:t>
      </w:r>
      <w:r w:rsidR="0030736D">
        <w:rPr>
          <w:szCs w:val="22"/>
        </w:rPr>
        <w:t xml:space="preserve"> supplémentaires</w:t>
      </w:r>
      <w:r w:rsidR="0018223C">
        <w:rPr>
          <w:szCs w:val="22"/>
        </w:rPr>
        <w:t>)</w:t>
      </w:r>
      <w:r w:rsidR="00581913">
        <w:rPr>
          <w:szCs w:val="22"/>
        </w:rPr>
        <w:t>.</w:t>
      </w:r>
    </w:p>
    <w:p w:rsidR="00567D49" w:rsidRDefault="00627307" w:rsidP="00567D49">
      <w:r>
        <w:lastRenderedPageBreak/>
        <w:t xml:space="preserve">Les statistiques figurant en Annexe I, </w:t>
      </w:r>
      <w:r w:rsidR="00CB4BBA">
        <w:t xml:space="preserve">qui concernent les </w:t>
      </w:r>
      <w:r>
        <w:t xml:space="preserve">demandes </w:t>
      </w:r>
      <w:r w:rsidR="00CB4BBA">
        <w:t xml:space="preserve">reçues lors </w:t>
      </w:r>
      <w:r>
        <w:t>de la première phase</w:t>
      </w:r>
      <w:r w:rsidR="00CB4BBA">
        <w:t>, sont les</w:t>
      </w:r>
      <w:r>
        <w:t xml:space="preserve"> </w:t>
      </w:r>
      <w:r w:rsidR="00CB4BBA">
        <w:t xml:space="preserve">suivantes </w:t>
      </w:r>
      <w:r>
        <w:t xml:space="preserve">: </w:t>
      </w:r>
    </w:p>
    <w:p w:rsidR="00627307" w:rsidRDefault="00627307" w:rsidP="00567D49">
      <w:pPr>
        <w:pStyle w:val="ListParagraph"/>
        <w:numPr>
          <w:ilvl w:val="0"/>
          <w:numId w:val="37"/>
        </w:numPr>
      </w:pPr>
      <w:r>
        <w:t>Pour les quatre Ecoles européennes de Bruxelles, le nombre de demandes d’inscription de nouveaux élèves dans toutes les années d’études et par section linguistique reçues pendant la première phase d’inscription.</w:t>
      </w:r>
    </w:p>
    <w:p w:rsidR="00627307" w:rsidRPr="00EE48DC" w:rsidRDefault="00627307" w:rsidP="0025346A">
      <w:pPr>
        <w:spacing w:before="0" w:after="0"/>
        <w:ind w:left="782"/>
        <w:rPr>
          <w:sz w:val="16"/>
          <w:szCs w:val="16"/>
        </w:rPr>
      </w:pPr>
    </w:p>
    <w:p w:rsidR="00627307" w:rsidRDefault="00627307" w:rsidP="00567D49">
      <w:pPr>
        <w:pStyle w:val="ListParagraph"/>
        <w:numPr>
          <w:ilvl w:val="0"/>
          <w:numId w:val="37"/>
        </w:numPr>
        <w:spacing w:before="0" w:after="0"/>
      </w:pPr>
      <w:r>
        <w:t xml:space="preserve">Par école, le nombre de demandes d’inscription de nouveaux élèves de catégorie I et II (Eurocontrol à partir de la première primaire), par année d’études et par section linguistique.  </w:t>
      </w:r>
    </w:p>
    <w:p w:rsidR="00906627" w:rsidRDefault="00906627" w:rsidP="0025346A">
      <w:pPr>
        <w:spacing w:before="240"/>
      </w:pPr>
      <w:r>
        <w:t>L</w:t>
      </w:r>
      <w:r w:rsidR="00C92441">
        <w:t>e 1</w:t>
      </w:r>
      <w:r w:rsidR="00BF1636">
        <w:t>4 mars 2014</w:t>
      </w:r>
      <w:r w:rsidR="00C92441">
        <w:t xml:space="preserve"> </w:t>
      </w:r>
      <w:r w:rsidR="00812D69">
        <w:t>l</w:t>
      </w:r>
      <w:r w:rsidR="00C92441">
        <w:t>’</w:t>
      </w:r>
      <w:r>
        <w:t xml:space="preserve">Autorité centrale des inscriptions s’est réunie </w:t>
      </w:r>
      <w:r w:rsidR="00812D69">
        <w:t>p</w:t>
      </w:r>
      <w:r>
        <w:t xml:space="preserve">our examiner, conformément aux dispositions de la Politique d’inscription, les demandes d’inscription faisant valoir des critères particuliers de priorité, parmi lesquels figurent des circonstances particulières en vue de l’inscription ou du transfert de l’élève dans l’école de son choix.  </w:t>
      </w:r>
    </w:p>
    <w:p w:rsidR="00676550" w:rsidRDefault="00B43CB4" w:rsidP="00635329">
      <w:pPr>
        <w:spacing w:after="0"/>
      </w:pPr>
      <w:r>
        <w:t xml:space="preserve">Cette année, </w:t>
      </w:r>
      <w:r w:rsidR="00ED5F21">
        <w:t xml:space="preserve">afin de réduire autant que possible la surpopulation de l’école de Bruxelles II, </w:t>
      </w:r>
      <w:r w:rsidR="004764C6">
        <w:t>l</w:t>
      </w:r>
      <w:r w:rsidR="00747160">
        <w:t xml:space="preserve">es demandes de </w:t>
      </w:r>
      <w:r w:rsidR="004764C6">
        <w:t>transfert</w:t>
      </w:r>
      <w:r w:rsidR="00747160">
        <w:t>, qui sont</w:t>
      </w:r>
      <w:r w:rsidR="004764C6">
        <w:t xml:space="preserve"> </w:t>
      </w:r>
      <w:r w:rsidR="00747160">
        <w:t xml:space="preserve">autorisées sans justification de circonstances particulières </w:t>
      </w:r>
      <w:r w:rsidR="004764C6">
        <w:t>vers l’Ecole de Bruxelles IV</w:t>
      </w:r>
      <w:r w:rsidR="00747160">
        <w:t xml:space="preserve"> depuis plusieurs années, peuvent être introduites vers </w:t>
      </w:r>
      <w:r w:rsidR="00E15C31">
        <w:t>d’autres écoles</w:t>
      </w:r>
      <w:r w:rsidR="00ED5F21">
        <w:t xml:space="preserve">. </w:t>
      </w:r>
      <w:r w:rsidR="00747160">
        <w:t xml:space="preserve">Dans le cadre prévu par la Politique, </w:t>
      </w:r>
      <w:r w:rsidR="00653632">
        <w:t xml:space="preserve">30 demandes ont </w:t>
      </w:r>
      <w:r w:rsidR="00747160">
        <w:t>ainsi été déposées</w:t>
      </w:r>
      <w:r>
        <w:t>,</w:t>
      </w:r>
      <w:r w:rsidR="00653632">
        <w:t xml:space="preserve"> dont 17 en provenance de </w:t>
      </w:r>
      <w:r w:rsidR="00CD0E34">
        <w:t xml:space="preserve">l’école de </w:t>
      </w:r>
      <w:r w:rsidR="00653632">
        <w:t xml:space="preserve">Bruxelles II. </w:t>
      </w:r>
      <w:r w:rsidR="00747160">
        <w:t xml:space="preserve">Pour les </w:t>
      </w:r>
      <w:r w:rsidR="00653632">
        <w:t xml:space="preserve">autres </w:t>
      </w:r>
      <w:r w:rsidR="00906627">
        <w:t xml:space="preserve">demandes de transfert d’une école </w:t>
      </w:r>
      <w:r w:rsidR="00653632">
        <w:t>située en</w:t>
      </w:r>
      <w:r w:rsidR="00906627">
        <w:t xml:space="preserve"> </w:t>
      </w:r>
      <w:r w:rsidR="00653632">
        <w:t>Belgique</w:t>
      </w:r>
      <w:r w:rsidR="00906627">
        <w:t xml:space="preserve"> vers une </w:t>
      </w:r>
      <w:r w:rsidR="00653632">
        <w:t>(</w:t>
      </w:r>
      <w:r w:rsidR="00906627">
        <w:t>autre</w:t>
      </w:r>
      <w:r w:rsidR="00653632">
        <w:t>) école de Bruxelles</w:t>
      </w:r>
      <w:r w:rsidR="00747160">
        <w:t>, qui</w:t>
      </w:r>
      <w:r w:rsidR="00466A09">
        <w:t xml:space="preserve"> sont examinées sur la base de circonstances particulières</w:t>
      </w:r>
      <w:r w:rsidR="00747160">
        <w:t xml:space="preserve">, à savoir </w:t>
      </w:r>
      <w:r w:rsidR="00653632">
        <w:t>27</w:t>
      </w:r>
      <w:r w:rsidR="00906627">
        <w:t xml:space="preserve"> demandes</w:t>
      </w:r>
      <w:r w:rsidR="00747160">
        <w:t xml:space="preserve"> reçues</w:t>
      </w:r>
      <w:r w:rsidR="00906627">
        <w:t xml:space="preserve">, </w:t>
      </w:r>
      <w:r w:rsidR="001C13A6">
        <w:t>21</w:t>
      </w:r>
      <w:r w:rsidR="00812D69">
        <w:t xml:space="preserve"> </w:t>
      </w:r>
      <w:r w:rsidR="00747160">
        <w:t xml:space="preserve">d’entre elles, en </w:t>
      </w:r>
      <w:r w:rsidR="00812D69">
        <w:t>prov</w:t>
      </w:r>
      <w:r w:rsidR="00747160">
        <w:t xml:space="preserve">enance </w:t>
      </w:r>
      <w:r w:rsidR="00906627">
        <w:t>de l’école de Bruxelles IV</w:t>
      </w:r>
      <w:r w:rsidR="00747160">
        <w:t>,</w:t>
      </w:r>
      <w:r w:rsidR="00906627">
        <w:t xml:space="preserve"> </w:t>
      </w:r>
      <w:r w:rsidR="00466A09">
        <w:t xml:space="preserve">ont été introduites dans </w:t>
      </w:r>
      <w:r w:rsidR="00676550">
        <w:t>les écoles de Bruxelles I</w:t>
      </w:r>
      <w:r w:rsidR="00653632">
        <w:t xml:space="preserve"> (12</w:t>
      </w:r>
      <w:r w:rsidR="00676550">
        <w:t xml:space="preserve">), Bruxelles </w:t>
      </w:r>
      <w:r w:rsidR="00653632">
        <w:t>II</w:t>
      </w:r>
      <w:r w:rsidR="00676550">
        <w:t>I (</w:t>
      </w:r>
      <w:r w:rsidR="00653632">
        <w:t>5) et Bruxelles II (4</w:t>
      </w:r>
      <w:r w:rsidR="00676550">
        <w:t>)</w:t>
      </w:r>
      <w:r w:rsidR="00466A09">
        <w:t xml:space="preserve">. </w:t>
      </w:r>
      <w:r w:rsidR="00676550">
        <w:t xml:space="preserve"> </w:t>
      </w:r>
    </w:p>
    <w:p w:rsidR="00635329" w:rsidRDefault="00635329" w:rsidP="00635329">
      <w:pPr>
        <w:spacing w:after="0"/>
      </w:pPr>
      <w:r>
        <w:t>L’Autorité centrale des inscriptions s’est réunie une deuxième fois le 21 mars 2014 pour examiner les demandes d’inscription ne présentant pas de critère particulier de priorité. Pour pouvoir accueillir les demandes de première phase, des mesures ont été prises. D’une part, il est envisagé de créer trois classes de maternelle dans les sections DE, EN et FR à l’école de Bruxelles I, une classe de 2</w:t>
      </w:r>
      <w:r w:rsidRPr="0030736D">
        <w:rPr>
          <w:vertAlign w:val="superscript"/>
        </w:rPr>
        <w:t>ème</w:t>
      </w:r>
      <w:r>
        <w:t xml:space="preserve"> primaire FR à l’école de Bruxelles I, une classe de 2</w:t>
      </w:r>
      <w:r w:rsidRPr="0030736D">
        <w:rPr>
          <w:vertAlign w:val="superscript"/>
        </w:rPr>
        <w:t>ème</w:t>
      </w:r>
      <w:r>
        <w:t xml:space="preserve"> secondaire FR à l’école de Bruxelles III et une classe de 3</w:t>
      </w:r>
      <w:r w:rsidRPr="0030736D">
        <w:rPr>
          <w:vertAlign w:val="superscript"/>
        </w:rPr>
        <w:t>ème</w:t>
      </w:r>
      <w:r>
        <w:t xml:space="preserve"> secondaire EN à l’école de Bruxelles IV. Ces créations de classes seront confirmées </w:t>
      </w:r>
      <w:r w:rsidR="00ED5F21">
        <w:t xml:space="preserve">suivant </w:t>
      </w:r>
      <w:r>
        <w:t xml:space="preserve">l’acceptation des propositions de places notifiées en Phase I mais aussi en fonction de l’évolution des demandes de Phase II et III. D’autre part, il sera également nécessaire d’utiliser la réserve de plusieurs classes de maternelle et primaire dans toutes les écoles, particulièrement en section francophone. </w:t>
      </w:r>
    </w:p>
    <w:p w:rsidR="00635329" w:rsidRDefault="00635329" w:rsidP="00AF3B64">
      <w:pPr>
        <w:spacing w:before="240"/>
        <w:ind w:firstLine="720"/>
        <w:rPr>
          <w:b/>
        </w:rPr>
      </w:pPr>
      <w:r w:rsidRPr="00635329">
        <w:rPr>
          <w:b/>
        </w:rPr>
        <w:t xml:space="preserve">2.2. Organisation </w:t>
      </w:r>
    </w:p>
    <w:p w:rsidR="00CB4BBA" w:rsidRPr="00635329" w:rsidRDefault="00635329" w:rsidP="00AF3B64">
      <w:r w:rsidRPr="00635329">
        <w:t>Le</w:t>
      </w:r>
      <w:r>
        <w:t xml:space="preserve"> formulaire d’inscription, adapté aux nouvelles</w:t>
      </w:r>
      <w:r w:rsidR="00C87BAF">
        <w:t xml:space="preserve"> dispositions de la Politique d’inscription, est disponible auprès des secrétariats des Ecoles et sur les intranets des institutions européennes. Ce formulaire accompagné des documents requis doit être déposé ou envoyé par la poste à l’école de première préférence.</w:t>
      </w:r>
      <w:r w:rsidR="00CB4BBA">
        <w:t xml:space="preserve"> Chaque demande d’inscription se voit ensuite attribuer un numéro de dossier, qui est communiqué au demandeur par courrier électronique. </w:t>
      </w:r>
    </w:p>
    <w:p w:rsidR="00AF3B64" w:rsidRDefault="00916606" w:rsidP="001C13A6">
      <w:r>
        <w:t>Depuis 2009, la Politique d’inscription prévoit</w:t>
      </w:r>
      <w:r w:rsidR="002F2013">
        <w:t>,</w:t>
      </w:r>
      <w:r>
        <w:t xml:space="preserve"> </w:t>
      </w:r>
      <w:r w:rsidR="002F2013">
        <w:t>dans le cadre de</w:t>
      </w:r>
      <w:r>
        <w:t>s phases I et II de</w:t>
      </w:r>
      <w:r w:rsidR="002F2013">
        <w:t xml:space="preserve"> la campagne d’</w:t>
      </w:r>
      <w:r>
        <w:t>inscription</w:t>
      </w:r>
      <w:r w:rsidR="002F2013">
        <w:t>,</w:t>
      </w:r>
      <w:r>
        <w:t xml:space="preserve"> l’organisation d’un classement aléatoire sous contrôle d’huissier</w:t>
      </w:r>
      <w:r w:rsidR="00044A56">
        <w:t>, dont les résultats sont publiés sur le site internet des Ecoles à une date fixée par la Politique d’inscription</w:t>
      </w:r>
      <w:r>
        <w:t xml:space="preserve">. </w:t>
      </w:r>
      <w:r w:rsidR="00CB4BBA">
        <w:t xml:space="preserve">Cette publication exonère l’Autorité centrale des inscriptions de toute obligation de notification individuelle. </w:t>
      </w:r>
    </w:p>
    <w:p w:rsidR="00E939C5" w:rsidRDefault="00AF3B64" w:rsidP="001C13A6">
      <w:r>
        <w:t>L</w:t>
      </w:r>
      <w:r w:rsidR="00916606">
        <w:t xml:space="preserve">e classement </w:t>
      </w:r>
      <w:r>
        <w:t xml:space="preserve">aléatoire </w:t>
      </w:r>
      <w:r w:rsidR="00916606">
        <w:t xml:space="preserve">vise à attribuer à toutes les demandes d’inscription et de transfert de </w:t>
      </w:r>
      <w:r w:rsidR="001C13A6">
        <w:t>catégorie I et de catégorie II (Eurocontrol, à partir de la première primaire)</w:t>
      </w:r>
      <w:r w:rsidR="00916606">
        <w:t xml:space="preserve"> un numéro d’ordre, qui </w:t>
      </w:r>
      <w:r w:rsidR="00303F63">
        <w:t xml:space="preserve">sert de base lors de l’attribution des places pour les demandes ne présentant pas de critère particulier de priorité, lorsque l’inscription peut être envisagée dans plusieurs écoles et chaque fois que le nombre de demandes d’inscription est supérieur aux places disponibles. </w:t>
      </w:r>
    </w:p>
    <w:p w:rsidR="00E3207D" w:rsidRDefault="00E3207D" w:rsidP="00E3207D">
      <w:r>
        <w:lastRenderedPageBreak/>
        <w:t>Cette année, l’Autorité a dû gérer une situation délicate engendrée par une erreur d’encodage dans l’application informatisée de gestion des demandes d’inscription et de transfert, qui n’a pas été identifiée lors du contrôle d’encodage. En effet, lors de la publication du classement le 3 mars 2014, une famille a alerté l’école où leurs deux demandes avaient été déposées, indiquant qu’un seul numéro d’ordre leur avait été attribué alors qu’ils avaient sollicité le traitement individuel de leurs demandes, ce qui impliquait l’attribution d’un numéro différent pour chaque demande. Suite à cette anomalie détectée, une nouvelle</w:t>
      </w:r>
      <w:r>
        <w:rPr>
          <w:i/>
        </w:rPr>
        <w:t xml:space="preserve"> </w:t>
      </w:r>
      <w:r>
        <w:t>vérification approfondie des données a mis en évidence une situation identique pour quatre autres demandes d’inscription : ainsi, au lieu des 3 numéros attribués à ces 6 demandes, 6 numéros auraient dû être générés. En présence de cette erreur administrative, qui invalidait la totalité des résultats du classement, et devant l’impossibilité de réattribuer des numéros d’ordre complémentaires au classement aléatoire sans recourir à l’organisation d’un nouveau classement intégral, l’Autorité s’est vue contrainte d’annuler le classement publié le 3 mars 2014. Dans le même temps, un communiqué était publié sur le site internet informant de la situation.</w:t>
      </w:r>
    </w:p>
    <w:p w:rsidR="00E3207D" w:rsidRDefault="00E3207D" w:rsidP="00E3207D">
      <w:r>
        <w:t xml:space="preserve">En date du 4 mars 2014, une nouvelle liste des résultats, qui annule et remplace la première, a été publiée sur le site internet des Ecoles européennes. Le premier classement annulé et remplacé dans un délai extrêmement bref de 24 heures, ne constituait qu’un acte administratif préparatoire non créateur de droit dans le chef des parents. Il  est sans effet juridique sur le traitement des dossiers qui sera assuré sur la base du nouveau classement aléatoire. </w:t>
      </w:r>
    </w:p>
    <w:p w:rsidR="001C13A6" w:rsidRDefault="001C13A6" w:rsidP="001C13A6">
      <w:r>
        <w:t>Les propositions de places, qui seront notifiées aux demandeurs d’inscription ou de transfert</w:t>
      </w:r>
      <w:r w:rsidR="00044A56">
        <w:t xml:space="preserve"> à partir du 28 avril 2014</w:t>
      </w:r>
      <w:r>
        <w:t>, feront l’objet d’une publication</w:t>
      </w:r>
      <w:r w:rsidR="00044A56">
        <w:t xml:space="preserve"> préalable</w:t>
      </w:r>
      <w:r>
        <w:t xml:space="preserve"> le 2</w:t>
      </w:r>
      <w:r w:rsidR="00653632">
        <w:t>5 avril 2014</w:t>
      </w:r>
      <w:r>
        <w:t xml:space="preserve"> sur le site internet des Ecoles.</w:t>
      </w:r>
    </w:p>
    <w:p w:rsidR="0025346A" w:rsidRDefault="00676550" w:rsidP="00813658">
      <w:pPr>
        <w:spacing w:after="240"/>
      </w:pPr>
      <w:r>
        <w:t>L</w:t>
      </w:r>
      <w:r w:rsidR="00813658">
        <w:t xml:space="preserve">a deuxième phase d’inscription est ouverte depuis le </w:t>
      </w:r>
      <w:r w:rsidR="00653632">
        <w:t>1</w:t>
      </w:r>
      <w:r w:rsidR="000609D5">
        <w:t>er</w:t>
      </w:r>
      <w:r w:rsidR="00813658">
        <w:t xml:space="preserve"> février et sera clôturée le 1</w:t>
      </w:r>
      <w:r w:rsidR="00653632">
        <w:t>6</w:t>
      </w:r>
      <w:r w:rsidR="00813658">
        <w:t xml:space="preserve"> mai 201</w:t>
      </w:r>
      <w:r w:rsidR="00653632">
        <w:t>4</w:t>
      </w:r>
      <w:r w:rsidR="00813658">
        <w:t>.</w:t>
      </w:r>
    </w:p>
    <w:p w:rsidR="0025346A" w:rsidRDefault="0025346A" w:rsidP="00567D49">
      <w:pPr>
        <w:spacing w:before="360"/>
        <w:rPr>
          <w:b/>
        </w:rPr>
      </w:pPr>
      <w:r w:rsidRPr="00CB4BBA">
        <w:rPr>
          <w:b/>
        </w:rPr>
        <w:tab/>
      </w:r>
      <w:r w:rsidR="00CB4BBA" w:rsidRPr="00CB4BBA">
        <w:rPr>
          <w:b/>
        </w:rPr>
        <w:t>2.3.</w:t>
      </w:r>
      <w:r w:rsidRPr="0025346A">
        <w:rPr>
          <w:b/>
        </w:rPr>
        <w:t xml:space="preserve"> Evolution</w:t>
      </w:r>
    </w:p>
    <w:p w:rsidR="00AF3B64" w:rsidRDefault="00801895" w:rsidP="00AF3B64">
      <w:pPr>
        <w:rPr>
          <w:szCs w:val="22"/>
        </w:rPr>
      </w:pPr>
      <w:r>
        <w:rPr>
          <w:szCs w:val="22"/>
        </w:rPr>
        <w:t>Compte tenu des</w:t>
      </w:r>
      <w:r w:rsidR="00AF3B64">
        <w:rPr>
          <w:szCs w:val="22"/>
        </w:rPr>
        <w:t xml:space="preserve"> données de cette première phase d’inscription, il est nécessaire de souligner à quel point la mise à disposition de nouvelles infrastructures devient pressante dès la rentrée de septembre 2015. En effet, le nombre de demandes reçues au cycle maternel et en 1</w:t>
      </w:r>
      <w:r w:rsidR="00AF3B64" w:rsidRPr="00F1659C">
        <w:rPr>
          <w:szCs w:val="22"/>
          <w:vertAlign w:val="superscript"/>
        </w:rPr>
        <w:t>ère</w:t>
      </w:r>
      <w:r w:rsidR="00AF3B64">
        <w:rPr>
          <w:szCs w:val="22"/>
        </w:rPr>
        <w:t xml:space="preserve"> primaire est en progression constante </w:t>
      </w:r>
      <w:r>
        <w:rPr>
          <w:szCs w:val="22"/>
        </w:rPr>
        <w:t xml:space="preserve">depuis quatre ans, les demandes en maternelle représentant près de la moitié de l’ensemble des demandes. De plus, </w:t>
      </w:r>
      <w:r w:rsidR="007550A6">
        <w:rPr>
          <w:szCs w:val="22"/>
        </w:rPr>
        <w:t xml:space="preserve">l’on constate régulièrement qu’une trentaine de demandes en section francophone sont introduites au </w:t>
      </w:r>
      <w:r w:rsidR="00AF3B64">
        <w:rPr>
          <w:szCs w:val="22"/>
        </w:rPr>
        <w:t>primaire</w:t>
      </w:r>
      <w:r w:rsidR="007550A6">
        <w:rPr>
          <w:szCs w:val="22"/>
        </w:rPr>
        <w:t>,</w:t>
      </w:r>
      <w:r w:rsidR="00AF3B64">
        <w:rPr>
          <w:szCs w:val="22"/>
        </w:rPr>
        <w:t xml:space="preserve"> à partir de la deuxième année</w:t>
      </w:r>
      <w:r w:rsidR="00F2430D">
        <w:rPr>
          <w:szCs w:val="22"/>
        </w:rPr>
        <w:t xml:space="preserve">. Cette quantité de demandes </w:t>
      </w:r>
      <w:r w:rsidR="00AF3B64">
        <w:rPr>
          <w:szCs w:val="22"/>
        </w:rPr>
        <w:t xml:space="preserve">correspond </w:t>
      </w:r>
      <w:r w:rsidR="00F2430D">
        <w:rPr>
          <w:szCs w:val="22"/>
        </w:rPr>
        <w:t xml:space="preserve">de fait à l’effectif </w:t>
      </w:r>
      <w:r w:rsidR="00AF3B64">
        <w:rPr>
          <w:szCs w:val="22"/>
        </w:rPr>
        <w:t xml:space="preserve">d’une nouvelle classe </w:t>
      </w:r>
      <w:r w:rsidR="00DE0EA6">
        <w:rPr>
          <w:szCs w:val="22"/>
        </w:rPr>
        <w:t>susceptible d’être créée</w:t>
      </w:r>
      <w:r w:rsidR="00AF3B64">
        <w:rPr>
          <w:szCs w:val="22"/>
        </w:rPr>
        <w:t xml:space="preserve">. </w:t>
      </w:r>
    </w:p>
    <w:p w:rsidR="004E5A95" w:rsidRDefault="00AF3B64" w:rsidP="00653632">
      <w:pPr>
        <w:spacing w:before="0"/>
        <w:rPr>
          <w:szCs w:val="22"/>
        </w:rPr>
      </w:pPr>
      <w:r>
        <w:rPr>
          <w:szCs w:val="22"/>
        </w:rPr>
        <w:t>S’agissant des</w:t>
      </w:r>
      <w:r w:rsidR="00653632">
        <w:rPr>
          <w:szCs w:val="22"/>
        </w:rPr>
        <w:t xml:space="preserve"> deman</w:t>
      </w:r>
      <w:r w:rsidR="004E5A95">
        <w:rPr>
          <w:szCs w:val="22"/>
        </w:rPr>
        <w:t>des d’inscription en maternelle d</w:t>
      </w:r>
      <w:r w:rsidR="00653632">
        <w:rPr>
          <w:szCs w:val="22"/>
        </w:rPr>
        <w:t>’</w:t>
      </w:r>
      <w:r w:rsidR="004E5A95">
        <w:rPr>
          <w:szCs w:val="22"/>
        </w:rPr>
        <w:t>élèves SWALS</w:t>
      </w:r>
      <w:r>
        <w:rPr>
          <w:szCs w:val="22"/>
        </w:rPr>
        <w:t>, leur nombre</w:t>
      </w:r>
      <w:r w:rsidR="004E5A95">
        <w:rPr>
          <w:szCs w:val="22"/>
        </w:rPr>
        <w:t xml:space="preserve"> </w:t>
      </w:r>
      <w:r w:rsidR="00653632">
        <w:rPr>
          <w:szCs w:val="22"/>
        </w:rPr>
        <w:t xml:space="preserve">continue </w:t>
      </w:r>
      <w:r w:rsidR="00ED5F21">
        <w:rPr>
          <w:szCs w:val="22"/>
        </w:rPr>
        <w:t>d’</w:t>
      </w:r>
      <w:r w:rsidR="00653632">
        <w:rPr>
          <w:szCs w:val="22"/>
        </w:rPr>
        <w:t>être important</w:t>
      </w:r>
      <w:r w:rsidR="00FF4646">
        <w:rPr>
          <w:szCs w:val="22"/>
        </w:rPr>
        <w:t xml:space="preserve"> et il est </w:t>
      </w:r>
      <w:r w:rsidR="00ED5F21">
        <w:rPr>
          <w:szCs w:val="22"/>
        </w:rPr>
        <w:t xml:space="preserve">parfois </w:t>
      </w:r>
      <w:r w:rsidR="00FF4646">
        <w:rPr>
          <w:szCs w:val="22"/>
        </w:rPr>
        <w:t xml:space="preserve">même </w:t>
      </w:r>
      <w:r w:rsidR="00ED5F21">
        <w:rPr>
          <w:szCs w:val="22"/>
        </w:rPr>
        <w:t>supérieur au</w:t>
      </w:r>
      <w:r w:rsidR="009B1622">
        <w:rPr>
          <w:szCs w:val="22"/>
        </w:rPr>
        <w:t xml:space="preserve"> nombre de demandes dans certaines sections uniques.</w:t>
      </w:r>
    </w:p>
    <w:p w:rsidR="00FF4646" w:rsidRPr="00FF4646" w:rsidRDefault="00FF4646" w:rsidP="00653632">
      <w:pPr>
        <w:spacing w:before="0"/>
        <w:rPr>
          <w:sz w:val="16"/>
          <w:szCs w:val="16"/>
        </w:rPr>
      </w:pPr>
    </w:p>
    <w:tbl>
      <w:tblPr>
        <w:tblW w:w="5626" w:type="dxa"/>
        <w:jc w:val="center"/>
        <w:tblInd w:w="93" w:type="dxa"/>
        <w:tblLayout w:type="fixed"/>
        <w:tblLook w:val="04A0" w:firstRow="1" w:lastRow="0" w:firstColumn="1" w:lastColumn="0" w:noHBand="0" w:noVBand="1"/>
      </w:tblPr>
      <w:tblGrid>
        <w:gridCol w:w="1206"/>
        <w:gridCol w:w="1105"/>
        <w:gridCol w:w="1105"/>
        <w:gridCol w:w="1105"/>
        <w:gridCol w:w="1105"/>
      </w:tblGrid>
      <w:tr w:rsidR="00EF15AE" w:rsidRPr="00EF15AE" w:rsidTr="00C820E1">
        <w:trPr>
          <w:trHeight w:val="255"/>
          <w:jc w:val="center"/>
        </w:trPr>
        <w:tc>
          <w:tcPr>
            <w:tcW w:w="1206" w:type="dxa"/>
            <w:tcBorders>
              <w:top w:val="nil"/>
              <w:left w:val="nil"/>
              <w:bottom w:val="single" w:sz="12" w:space="0" w:color="FFFFFF"/>
              <w:right w:val="single" w:sz="4" w:space="0" w:color="FFFFFF"/>
            </w:tcBorders>
            <w:shd w:val="clear" w:color="4F81BD" w:fill="4F81BD"/>
            <w:noWrap/>
            <w:vAlign w:val="center"/>
            <w:hideMark/>
          </w:tcPr>
          <w:p w:rsidR="00EF15AE" w:rsidRPr="00EF15AE" w:rsidRDefault="00EF15AE" w:rsidP="00C820E1">
            <w:pPr>
              <w:spacing w:before="0" w:after="0"/>
              <w:jc w:val="left"/>
              <w:rPr>
                <w:rFonts w:cs="Arial"/>
                <w:b/>
                <w:bCs/>
                <w:i/>
                <w:iCs/>
                <w:color w:val="FFFFFF"/>
                <w:sz w:val="20"/>
                <w:lang w:val="en-US" w:eastAsia="zh-CN"/>
              </w:rPr>
            </w:pPr>
            <w:r w:rsidRPr="00EF15AE">
              <w:rPr>
                <w:rFonts w:cs="Arial"/>
                <w:b/>
                <w:bCs/>
                <w:i/>
                <w:iCs/>
                <w:color w:val="FFFFFF"/>
                <w:sz w:val="20"/>
                <w:lang w:val="en-US" w:eastAsia="zh-CN"/>
              </w:rPr>
              <w:t>Maternelle</w:t>
            </w:r>
          </w:p>
        </w:tc>
        <w:tc>
          <w:tcPr>
            <w:tcW w:w="1105" w:type="dxa"/>
            <w:tcBorders>
              <w:top w:val="nil"/>
              <w:left w:val="single" w:sz="4" w:space="0" w:color="FFFFFF"/>
              <w:bottom w:val="single" w:sz="12" w:space="0" w:color="FFFFFF"/>
              <w:right w:val="single" w:sz="4" w:space="0" w:color="FFFFFF"/>
            </w:tcBorders>
            <w:shd w:val="clear" w:color="4F81BD" w:fill="4F81BD"/>
            <w:noWrap/>
            <w:vAlign w:val="bottom"/>
            <w:hideMark/>
          </w:tcPr>
          <w:p w:rsidR="00C820E1" w:rsidRDefault="00C820E1" w:rsidP="00EF15AE">
            <w:pPr>
              <w:spacing w:before="0" w:after="0"/>
              <w:jc w:val="center"/>
              <w:rPr>
                <w:rFonts w:cs="Arial"/>
                <w:b/>
                <w:bCs/>
                <w:color w:val="FFFFFF"/>
                <w:sz w:val="20"/>
                <w:lang w:val="en-US" w:eastAsia="zh-CN"/>
              </w:rPr>
            </w:pPr>
            <w:r>
              <w:rPr>
                <w:rFonts w:cs="Arial"/>
                <w:b/>
                <w:bCs/>
                <w:color w:val="FFFFFF"/>
                <w:sz w:val="20"/>
                <w:lang w:val="en-US" w:eastAsia="zh-CN"/>
              </w:rPr>
              <w:t>EO</w:t>
            </w:r>
          </w:p>
          <w:p w:rsidR="00EF15AE" w:rsidRPr="00C820E1" w:rsidRDefault="00C820E1" w:rsidP="00EF15AE">
            <w:pPr>
              <w:spacing w:before="0" w:after="0"/>
              <w:jc w:val="center"/>
              <w:rPr>
                <w:rFonts w:cs="Arial"/>
                <w:bCs/>
                <w:i/>
                <w:color w:val="FFFFFF"/>
                <w:sz w:val="18"/>
                <w:szCs w:val="18"/>
                <w:lang w:val="en-US" w:eastAsia="zh-CN"/>
              </w:rPr>
            </w:pPr>
            <w:r w:rsidRPr="00C820E1">
              <w:rPr>
                <w:rFonts w:cs="Arial"/>
                <w:bCs/>
                <w:i/>
                <w:color w:val="FFFFFF"/>
                <w:sz w:val="18"/>
                <w:szCs w:val="18"/>
                <w:lang w:val="en-US" w:eastAsia="zh-CN"/>
              </w:rPr>
              <w:t>(</w:t>
            </w:r>
            <w:r w:rsidR="00EF15AE" w:rsidRPr="00C820E1">
              <w:rPr>
                <w:rFonts w:cs="Arial"/>
                <w:bCs/>
                <w:i/>
                <w:color w:val="FFFFFF"/>
                <w:sz w:val="18"/>
                <w:szCs w:val="18"/>
                <w:lang w:val="en-US" w:eastAsia="zh-CN"/>
              </w:rPr>
              <w:t>estonien</w:t>
            </w:r>
            <w:r w:rsidRPr="00C820E1">
              <w:rPr>
                <w:rFonts w:cs="Arial"/>
                <w:bCs/>
                <w:i/>
                <w:color w:val="FFFFFF"/>
                <w:sz w:val="18"/>
                <w:szCs w:val="18"/>
                <w:lang w:val="en-US" w:eastAsia="zh-CN"/>
              </w:rPr>
              <w:t>)</w:t>
            </w:r>
          </w:p>
        </w:tc>
        <w:tc>
          <w:tcPr>
            <w:tcW w:w="1105" w:type="dxa"/>
            <w:tcBorders>
              <w:top w:val="nil"/>
              <w:left w:val="single" w:sz="4" w:space="0" w:color="FFFFFF"/>
              <w:bottom w:val="single" w:sz="12" w:space="0" w:color="FFFFFF"/>
              <w:right w:val="single" w:sz="4" w:space="0" w:color="FFFFFF"/>
            </w:tcBorders>
            <w:shd w:val="clear" w:color="4F81BD" w:fill="4F81BD"/>
            <w:noWrap/>
            <w:vAlign w:val="bottom"/>
            <w:hideMark/>
          </w:tcPr>
          <w:p w:rsidR="00C820E1" w:rsidRDefault="00C820E1" w:rsidP="00EF15AE">
            <w:pPr>
              <w:spacing w:before="0" w:after="0"/>
              <w:jc w:val="center"/>
              <w:rPr>
                <w:rFonts w:cs="Arial"/>
                <w:b/>
                <w:bCs/>
                <w:color w:val="FFFFFF"/>
                <w:sz w:val="20"/>
                <w:lang w:val="en-US" w:eastAsia="zh-CN"/>
              </w:rPr>
            </w:pPr>
            <w:r>
              <w:rPr>
                <w:rFonts w:cs="Arial"/>
                <w:b/>
                <w:bCs/>
                <w:color w:val="FFFFFF"/>
                <w:sz w:val="20"/>
                <w:lang w:val="en-US" w:eastAsia="zh-CN"/>
              </w:rPr>
              <w:t>LE</w:t>
            </w:r>
          </w:p>
          <w:p w:rsidR="00EF15AE" w:rsidRPr="00EF15AE" w:rsidRDefault="00C820E1" w:rsidP="00EF15AE">
            <w:pPr>
              <w:spacing w:before="0" w:after="0"/>
              <w:jc w:val="center"/>
              <w:rPr>
                <w:rFonts w:cs="Arial"/>
                <w:b/>
                <w:bCs/>
                <w:color w:val="FFFFFF"/>
                <w:sz w:val="20"/>
                <w:lang w:val="en-US" w:eastAsia="zh-CN"/>
              </w:rPr>
            </w:pPr>
            <w:r>
              <w:rPr>
                <w:rFonts w:cs="Arial"/>
                <w:bCs/>
                <w:i/>
                <w:color w:val="FFFFFF"/>
                <w:sz w:val="18"/>
                <w:szCs w:val="18"/>
                <w:lang w:val="en-US" w:eastAsia="zh-CN"/>
              </w:rPr>
              <w:t>(</w:t>
            </w:r>
            <w:r w:rsidR="00EF15AE" w:rsidRPr="00C820E1">
              <w:rPr>
                <w:rFonts w:cs="Arial"/>
                <w:bCs/>
                <w:i/>
                <w:color w:val="FFFFFF"/>
                <w:sz w:val="18"/>
                <w:szCs w:val="18"/>
                <w:lang w:val="en-US" w:eastAsia="zh-CN"/>
              </w:rPr>
              <w:t>letton</w:t>
            </w:r>
            <w:r>
              <w:rPr>
                <w:rFonts w:cs="Arial"/>
                <w:bCs/>
                <w:i/>
                <w:color w:val="FFFFFF"/>
                <w:sz w:val="18"/>
                <w:szCs w:val="18"/>
                <w:lang w:val="en-US" w:eastAsia="zh-CN"/>
              </w:rPr>
              <w:t>)</w:t>
            </w:r>
          </w:p>
        </w:tc>
        <w:tc>
          <w:tcPr>
            <w:tcW w:w="1105" w:type="dxa"/>
            <w:tcBorders>
              <w:top w:val="nil"/>
              <w:left w:val="single" w:sz="4" w:space="0" w:color="FFFFFF"/>
              <w:bottom w:val="single" w:sz="12" w:space="0" w:color="FFFFFF"/>
              <w:right w:val="single" w:sz="4" w:space="0" w:color="FFFFFF"/>
            </w:tcBorders>
            <w:shd w:val="clear" w:color="4F81BD" w:fill="4F81BD"/>
            <w:noWrap/>
            <w:vAlign w:val="bottom"/>
            <w:hideMark/>
          </w:tcPr>
          <w:p w:rsidR="00C820E1" w:rsidRDefault="00C820E1" w:rsidP="00EF15AE">
            <w:pPr>
              <w:spacing w:before="0" w:after="0"/>
              <w:jc w:val="center"/>
              <w:rPr>
                <w:rFonts w:cs="Arial"/>
                <w:b/>
                <w:bCs/>
                <w:color w:val="FFFFFF"/>
                <w:sz w:val="20"/>
                <w:lang w:val="en-US" w:eastAsia="zh-CN"/>
              </w:rPr>
            </w:pPr>
            <w:r>
              <w:rPr>
                <w:rFonts w:cs="Arial"/>
                <w:b/>
                <w:bCs/>
                <w:color w:val="FFFFFF"/>
                <w:sz w:val="20"/>
                <w:lang w:val="en-US" w:eastAsia="zh-CN"/>
              </w:rPr>
              <w:t>SL</w:t>
            </w:r>
          </w:p>
          <w:p w:rsidR="00EF15AE" w:rsidRPr="00EF15AE" w:rsidRDefault="00C820E1" w:rsidP="00EF15AE">
            <w:pPr>
              <w:spacing w:before="0" w:after="0"/>
              <w:jc w:val="center"/>
              <w:rPr>
                <w:rFonts w:cs="Arial"/>
                <w:b/>
                <w:bCs/>
                <w:color w:val="FFFFFF"/>
                <w:sz w:val="20"/>
                <w:lang w:val="en-US" w:eastAsia="zh-CN"/>
              </w:rPr>
            </w:pPr>
            <w:r>
              <w:rPr>
                <w:rFonts w:cs="Arial"/>
                <w:bCs/>
                <w:i/>
                <w:color w:val="FFFFFF"/>
                <w:sz w:val="18"/>
                <w:szCs w:val="18"/>
                <w:lang w:val="en-US" w:eastAsia="zh-CN"/>
              </w:rPr>
              <w:t>(</w:t>
            </w:r>
            <w:r w:rsidR="00EF15AE" w:rsidRPr="00C820E1">
              <w:rPr>
                <w:rFonts w:cs="Arial"/>
                <w:bCs/>
                <w:i/>
                <w:color w:val="FFFFFF"/>
                <w:sz w:val="18"/>
                <w:szCs w:val="18"/>
                <w:lang w:val="en-US" w:eastAsia="zh-CN"/>
              </w:rPr>
              <w:t>slovaque</w:t>
            </w:r>
            <w:r>
              <w:rPr>
                <w:rFonts w:cs="Arial"/>
                <w:bCs/>
                <w:i/>
                <w:color w:val="FFFFFF"/>
                <w:sz w:val="18"/>
                <w:szCs w:val="18"/>
                <w:lang w:val="en-US" w:eastAsia="zh-CN"/>
              </w:rPr>
              <w:t>)</w:t>
            </w:r>
          </w:p>
        </w:tc>
        <w:tc>
          <w:tcPr>
            <w:tcW w:w="1105" w:type="dxa"/>
            <w:tcBorders>
              <w:top w:val="nil"/>
              <w:left w:val="single" w:sz="4" w:space="0" w:color="FFFFFF"/>
              <w:bottom w:val="single" w:sz="12" w:space="0" w:color="FFFFFF"/>
              <w:right w:val="nil"/>
            </w:tcBorders>
            <w:shd w:val="clear" w:color="4F81BD" w:fill="4F81BD"/>
            <w:noWrap/>
            <w:vAlign w:val="bottom"/>
            <w:hideMark/>
          </w:tcPr>
          <w:p w:rsidR="00C820E1" w:rsidRPr="00C820E1" w:rsidRDefault="00C820E1" w:rsidP="00EF15AE">
            <w:pPr>
              <w:spacing w:before="0" w:after="0"/>
              <w:jc w:val="center"/>
              <w:rPr>
                <w:rFonts w:cs="Arial"/>
                <w:b/>
                <w:bCs/>
                <w:color w:val="FFFFFF"/>
                <w:sz w:val="20"/>
                <w:lang w:val="en-US" w:eastAsia="zh-CN"/>
              </w:rPr>
            </w:pPr>
            <w:r w:rsidRPr="00C820E1">
              <w:rPr>
                <w:rFonts w:cs="Arial"/>
                <w:b/>
                <w:bCs/>
                <w:color w:val="FFFFFF"/>
                <w:sz w:val="20"/>
                <w:lang w:val="en-US" w:eastAsia="zh-CN"/>
              </w:rPr>
              <w:t>SO</w:t>
            </w:r>
          </w:p>
          <w:p w:rsidR="00EF15AE" w:rsidRPr="00C820E1" w:rsidRDefault="00C820E1" w:rsidP="00EF15AE">
            <w:pPr>
              <w:spacing w:before="0" w:after="0"/>
              <w:jc w:val="center"/>
              <w:rPr>
                <w:rFonts w:cs="Arial"/>
                <w:bCs/>
                <w:i/>
                <w:color w:val="FFFFFF"/>
                <w:sz w:val="18"/>
                <w:szCs w:val="18"/>
                <w:lang w:val="en-US" w:eastAsia="zh-CN"/>
              </w:rPr>
            </w:pPr>
            <w:r>
              <w:rPr>
                <w:rFonts w:cs="Arial"/>
                <w:bCs/>
                <w:i/>
                <w:color w:val="FFFFFF"/>
                <w:sz w:val="18"/>
                <w:szCs w:val="18"/>
                <w:lang w:val="en-US" w:eastAsia="zh-CN"/>
              </w:rPr>
              <w:t>(</w:t>
            </w:r>
            <w:r w:rsidR="00EF15AE" w:rsidRPr="00C820E1">
              <w:rPr>
                <w:rFonts w:cs="Arial"/>
                <w:bCs/>
                <w:i/>
                <w:color w:val="FFFFFF"/>
                <w:sz w:val="18"/>
                <w:szCs w:val="18"/>
                <w:lang w:val="en-US" w:eastAsia="zh-CN"/>
              </w:rPr>
              <w:t>slovène</w:t>
            </w:r>
            <w:r>
              <w:rPr>
                <w:rFonts w:cs="Arial"/>
                <w:bCs/>
                <w:i/>
                <w:color w:val="FFFFFF"/>
                <w:sz w:val="18"/>
                <w:szCs w:val="18"/>
                <w:lang w:val="en-US" w:eastAsia="zh-CN"/>
              </w:rPr>
              <w:t>)</w:t>
            </w:r>
          </w:p>
        </w:tc>
      </w:tr>
      <w:tr w:rsidR="00EF15AE" w:rsidRPr="00EF15AE" w:rsidTr="00C820E1">
        <w:trPr>
          <w:trHeight w:val="255"/>
          <w:jc w:val="center"/>
        </w:trPr>
        <w:tc>
          <w:tcPr>
            <w:tcW w:w="1206" w:type="dxa"/>
            <w:tcBorders>
              <w:top w:val="single" w:sz="4" w:space="0" w:color="FFFFFF"/>
              <w:left w:val="nil"/>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center"/>
              <w:rPr>
                <w:rFonts w:cs="Arial"/>
                <w:b/>
                <w:bCs/>
                <w:color w:val="000000"/>
                <w:sz w:val="20"/>
                <w:lang w:val="en-US" w:eastAsia="zh-CN"/>
              </w:rPr>
            </w:pPr>
            <w:r w:rsidRPr="00EF15AE">
              <w:rPr>
                <w:rFonts w:cs="Arial"/>
                <w:b/>
                <w:bCs/>
                <w:color w:val="000000"/>
                <w:sz w:val="20"/>
                <w:lang w:val="en-US" w:eastAsia="zh-CN"/>
              </w:rPr>
              <w:t>2010-2011</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6</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6</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8</w:t>
            </w:r>
          </w:p>
        </w:tc>
        <w:tc>
          <w:tcPr>
            <w:tcW w:w="1105" w:type="dxa"/>
            <w:tcBorders>
              <w:top w:val="single" w:sz="4" w:space="0" w:color="FFFFFF"/>
              <w:left w:val="single" w:sz="4" w:space="0" w:color="FFFFFF"/>
              <w:bottom w:val="single" w:sz="4" w:space="0" w:color="FFFFFF"/>
              <w:right w:val="nil"/>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7</w:t>
            </w:r>
          </w:p>
        </w:tc>
      </w:tr>
      <w:tr w:rsidR="00EF15AE" w:rsidRPr="00EF15AE" w:rsidTr="00C820E1">
        <w:trPr>
          <w:trHeight w:val="255"/>
          <w:jc w:val="center"/>
        </w:trPr>
        <w:tc>
          <w:tcPr>
            <w:tcW w:w="1206" w:type="dxa"/>
            <w:tcBorders>
              <w:top w:val="single" w:sz="4" w:space="0" w:color="FFFFFF"/>
              <w:left w:val="nil"/>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center"/>
              <w:rPr>
                <w:rFonts w:cs="Arial"/>
                <w:b/>
                <w:bCs/>
                <w:color w:val="000000"/>
                <w:sz w:val="20"/>
                <w:lang w:val="en-US" w:eastAsia="zh-CN"/>
              </w:rPr>
            </w:pPr>
            <w:r w:rsidRPr="00EF15AE">
              <w:rPr>
                <w:rFonts w:cs="Arial"/>
                <w:b/>
                <w:bCs/>
                <w:color w:val="000000"/>
                <w:sz w:val="20"/>
                <w:lang w:val="en-US" w:eastAsia="zh-CN"/>
              </w:rPr>
              <w:t>2011-2012</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11</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11</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11</w:t>
            </w:r>
          </w:p>
        </w:tc>
        <w:tc>
          <w:tcPr>
            <w:tcW w:w="1105" w:type="dxa"/>
            <w:tcBorders>
              <w:top w:val="single" w:sz="4" w:space="0" w:color="FFFFFF"/>
              <w:left w:val="single" w:sz="4" w:space="0" w:color="FFFFFF"/>
              <w:bottom w:val="single" w:sz="4" w:space="0" w:color="FFFFFF"/>
              <w:right w:val="nil"/>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6</w:t>
            </w:r>
          </w:p>
        </w:tc>
      </w:tr>
      <w:tr w:rsidR="00EF15AE" w:rsidRPr="00EF15AE" w:rsidTr="00C820E1">
        <w:trPr>
          <w:trHeight w:val="255"/>
          <w:jc w:val="center"/>
        </w:trPr>
        <w:tc>
          <w:tcPr>
            <w:tcW w:w="1206" w:type="dxa"/>
            <w:tcBorders>
              <w:top w:val="single" w:sz="4" w:space="0" w:color="FFFFFF"/>
              <w:left w:val="nil"/>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center"/>
              <w:rPr>
                <w:rFonts w:cs="Arial"/>
                <w:b/>
                <w:bCs/>
                <w:color w:val="000000"/>
                <w:sz w:val="20"/>
                <w:lang w:val="en-US" w:eastAsia="zh-CN"/>
              </w:rPr>
            </w:pPr>
            <w:r w:rsidRPr="00EF15AE">
              <w:rPr>
                <w:rFonts w:cs="Arial"/>
                <w:b/>
                <w:bCs/>
                <w:color w:val="000000"/>
                <w:sz w:val="20"/>
                <w:lang w:val="en-US" w:eastAsia="zh-CN"/>
              </w:rPr>
              <w:t>2012-2013</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9</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12</w:t>
            </w:r>
          </w:p>
        </w:tc>
        <w:tc>
          <w:tcPr>
            <w:tcW w:w="110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17</w:t>
            </w:r>
          </w:p>
        </w:tc>
        <w:tc>
          <w:tcPr>
            <w:tcW w:w="1105" w:type="dxa"/>
            <w:tcBorders>
              <w:top w:val="single" w:sz="4" w:space="0" w:color="FFFFFF"/>
              <w:left w:val="single" w:sz="4" w:space="0" w:color="FFFFFF"/>
              <w:bottom w:val="single" w:sz="4" w:space="0" w:color="FFFFFF"/>
              <w:right w:val="nil"/>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9</w:t>
            </w:r>
          </w:p>
        </w:tc>
      </w:tr>
      <w:tr w:rsidR="00EF15AE" w:rsidRPr="00EF15AE" w:rsidTr="00C820E1">
        <w:trPr>
          <w:trHeight w:val="255"/>
          <w:jc w:val="center"/>
        </w:trPr>
        <w:tc>
          <w:tcPr>
            <w:tcW w:w="1206" w:type="dxa"/>
            <w:tcBorders>
              <w:top w:val="single" w:sz="4" w:space="0" w:color="FFFFFF"/>
              <w:left w:val="nil"/>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center"/>
              <w:rPr>
                <w:rFonts w:cs="Arial"/>
                <w:b/>
                <w:bCs/>
                <w:color w:val="000000"/>
                <w:sz w:val="20"/>
                <w:lang w:val="en-US" w:eastAsia="zh-CN"/>
              </w:rPr>
            </w:pPr>
            <w:r w:rsidRPr="00EF15AE">
              <w:rPr>
                <w:rFonts w:cs="Arial"/>
                <w:b/>
                <w:bCs/>
                <w:color w:val="000000"/>
                <w:sz w:val="20"/>
                <w:lang w:val="en-US" w:eastAsia="zh-CN"/>
              </w:rPr>
              <w:t>2013-2014</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16</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17</w:t>
            </w:r>
          </w:p>
        </w:tc>
        <w:tc>
          <w:tcPr>
            <w:tcW w:w="110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20</w:t>
            </w:r>
          </w:p>
        </w:tc>
        <w:tc>
          <w:tcPr>
            <w:tcW w:w="1105" w:type="dxa"/>
            <w:tcBorders>
              <w:top w:val="single" w:sz="4" w:space="0" w:color="FFFFFF"/>
              <w:left w:val="single" w:sz="4" w:space="0" w:color="FFFFFF"/>
              <w:bottom w:val="single" w:sz="4" w:space="0" w:color="FFFFFF"/>
              <w:right w:val="nil"/>
            </w:tcBorders>
            <w:shd w:val="clear" w:color="DCE6F1" w:fill="DCE6F1"/>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6</w:t>
            </w:r>
          </w:p>
        </w:tc>
      </w:tr>
      <w:tr w:rsidR="00EF15AE" w:rsidRPr="00EF15AE" w:rsidTr="00C820E1">
        <w:trPr>
          <w:trHeight w:val="255"/>
          <w:jc w:val="center"/>
        </w:trPr>
        <w:tc>
          <w:tcPr>
            <w:tcW w:w="1206" w:type="dxa"/>
            <w:tcBorders>
              <w:top w:val="single" w:sz="4" w:space="0" w:color="FFFFFF"/>
              <w:left w:val="nil"/>
              <w:bottom w:val="nil"/>
              <w:right w:val="single" w:sz="4" w:space="0" w:color="FFFFFF"/>
            </w:tcBorders>
            <w:shd w:val="clear" w:color="B8CCE4" w:fill="B8CCE4"/>
            <w:noWrap/>
            <w:vAlign w:val="bottom"/>
            <w:hideMark/>
          </w:tcPr>
          <w:p w:rsidR="00EF15AE" w:rsidRPr="00EF15AE" w:rsidRDefault="00EF15AE" w:rsidP="00EF15AE">
            <w:pPr>
              <w:spacing w:before="0" w:after="0"/>
              <w:jc w:val="center"/>
              <w:rPr>
                <w:rFonts w:cs="Arial"/>
                <w:b/>
                <w:bCs/>
                <w:color w:val="000000"/>
                <w:sz w:val="20"/>
                <w:lang w:val="en-US" w:eastAsia="zh-CN"/>
              </w:rPr>
            </w:pPr>
            <w:r w:rsidRPr="00EF15AE">
              <w:rPr>
                <w:rFonts w:cs="Arial"/>
                <w:b/>
                <w:bCs/>
                <w:color w:val="000000"/>
                <w:sz w:val="20"/>
                <w:lang w:val="en-US" w:eastAsia="zh-CN"/>
              </w:rPr>
              <w:t>2014-2015</w:t>
            </w:r>
          </w:p>
        </w:tc>
        <w:tc>
          <w:tcPr>
            <w:tcW w:w="1105" w:type="dxa"/>
            <w:tcBorders>
              <w:top w:val="single" w:sz="4" w:space="0" w:color="FFFFFF"/>
              <w:left w:val="single" w:sz="4" w:space="0" w:color="FFFFFF"/>
              <w:bottom w:val="nil"/>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8</w:t>
            </w:r>
          </w:p>
        </w:tc>
        <w:tc>
          <w:tcPr>
            <w:tcW w:w="1105" w:type="dxa"/>
            <w:tcBorders>
              <w:top w:val="single" w:sz="4" w:space="0" w:color="FFFFFF"/>
              <w:left w:val="single" w:sz="4" w:space="0" w:color="FFFFFF"/>
              <w:bottom w:val="nil"/>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13</w:t>
            </w:r>
          </w:p>
        </w:tc>
        <w:tc>
          <w:tcPr>
            <w:tcW w:w="1105" w:type="dxa"/>
            <w:tcBorders>
              <w:top w:val="single" w:sz="4" w:space="0" w:color="FFFFFF"/>
              <w:left w:val="single" w:sz="4" w:space="0" w:color="FFFFFF"/>
              <w:bottom w:val="nil"/>
              <w:right w:val="single" w:sz="4" w:space="0" w:color="FFFFFF"/>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15</w:t>
            </w:r>
          </w:p>
        </w:tc>
        <w:tc>
          <w:tcPr>
            <w:tcW w:w="1105" w:type="dxa"/>
            <w:tcBorders>
              <w:top w:val="single" w:sz="4" w:space="0" w:color="FFFFFF"/>
              <w:left w:val="single" w:sz="4" w:space="0" w:color="FFFFFF"/>
              <w:bottom w:val="nil"/>
              <w:right w:val="nil"/>
            </w:tcBorders>
            <w:shd w:val="clear" w:color="B8CCE4" w:fill="B8CCE4"/>
            <w:noWrap/>
            <w:vAlign w:val="bottom"/>
            <w:hideMark/>
          </w:tcPr>
          <w:p w:rsidR="00EF15AE" w:rsidRPr="00EF15AE" w:rsidRDefault="00EF15AE" w:rsidP="00EF15AE">
            <w:pPr>
              <w:spacing w:before="0" w:after="0"/>
              <w:jc w:val="right"/>
              <w:rPr>
                <w:rFonts w:cs="Arial"/>
                <w:color w:val="000000"/>
                <w:sz w:val="20"/>
                <w:lang w:val="en-US" w:eastAsia="zh-CN"/>
              </w:rPr>
            </w:pPr>
            <w:r w:rsidRPr="00EF15AE">
              <w:rPr>
                <w:rFonts w:cs="Arial"/>
                <w:color w:val="000000"/>
                <w:sz w:val="20"/>
                <w:lang w:val="en-US" w:eastAsia="zh-CN"/>
              </w:rPr>
              <w:t>19</w:t>
            </w:r>
          </w:p>
        </w:tc>
      </w:tr>
    </w:tbl>
    <w:p w:rsidR="000B7DE0" w:rsidRDefault="000B7DE0" w:rsidP="00653632">
      <w:pPr>
        <w:spacing w:before="0"/>
        <w:rPr>
          <w:i/>
          <w:szCs w:val="22"/>
        </w:rPr>
      </w:pPr>
    </w:p>
    <w:p w:rsidR="0032381A" w:rsidRDefault="00AF3B64" w:rsidP="004E5A95">
      <w:pPr>
        <w:spacing w:before="0"/>
        <w:rPr>
          <w:szCs w:val="22"/>
        </w:rPr>
      </w:pPr>
      <w:r>
        <w:rPr>
          <w:szCs w:val="22"/>
        </w:rPr>
        <w:t xml:space="preserve">Toutefois, </w:t>
      </w:r>
      <w:r w:rsidR="00466A09">
        <w:rPr>
          <w:szCs w:val="22"/>
        </w:rPr>
        <w:t xml:space="preserve">la </w:t>
      </w:r>
      <w:r w:rsidR="0032381A">
        <w:rPr>
          <w:szCs w:val="22"/>
        </w:rPr>
        <w:t xml:space="preserve">création </w:t>
      </w:r>
      <w:r w:rsidR="003540F0">
        <w:rPr>
          <w:szCs w:val="22"/>
        </w:rPr>
        <w:t xml:space="preserve">de nouvelles sections linguistiques </w:t>
      </w:r>
      <w:r w:rsidR="0032381A">
        <w:rPr>
          <w:szCs w:val="22"/>
        </w:rPr>
        <w:t xml:space="preserve">ne peut être </w:t>
      </w:r>
      <w:r w:rsidR="00DE0EA6">
        <w:rPr>
          <w:szCs w:val="22"/>
        </w:rPr>
        <w:t xml:space="preserve">considérée </w:t>
      </w:r>
      <w:r w:rsidR="0032381A">
        <w:rPr>
          <w:szCs w:val="22"/>
        </w:rPr>
        <w:t>qu’à partir du moment où des ressources supplémentaires en locaux pourront être mises à disposition.</w:t>
      </w:r>
    </w:p>
    <w:p w:rsidR="00567D49" w:rsidRDefault="00567D49">
      <w:pPr>
        <w:spacing w:before="0" w:after="0"/>
        <w:jc w:val="left"/>
        <w:rPr>
          <w:szCs w:val="22"/>
        </w:rPr>
      </w:pPr>
      <w:r>
        <w:rPr>
          <w:szCs w:val="22"/>
        </w:rPr>
        <w:br w:type="page"/>
      </w:r>
    </w:p>
    <w:p w:rsidR="00EF2673" w:rsidRDefault="00785384" w:rsidP="000B7DE0">
      <w:pPr>
        <w:spacing w:after="240"/>
        <w:rPr>
          <w:b/>
          <w:sz w:val="24"/>
          <w:szCs w:val="24"/>
          <w:u w:val="single"/>
        </w:rPr>
      </w:pPr>
      <w:r>
        <w:rPr>
          <w:b/>
          <w:sz w:val="24"/>
          <w:szCs w:val="24"/>
        </w:rPr>
        <w:lastRenderedPageBreak/>
        <w:t>III</w:t>
      </w:r>
      <w:r w:rsidR="00EF2673" w:rsidRPr="00EF2673">
        <w:rPr>
          <w:b/>
          <w:sz w:val="24"/>
          <w:szCs w:val="24"/>
        </w:rPr>
        <w:t xml:space="preserve">. </w:t>
      </w:r>
      <w:r w:rsidR="00627307">
        <w:rPr>
          <w:b/>
          <w:sz w:val="24"/>
          <w:szCs w:val="24"/>
          <w:u w:val="single"/>
        </w:rPr>
        <w:t>Conclusion</w:t>
      </w:r>
    </w:p>
    <w:p w:rsidR="00EF6F21" w:rsidRDefault="0025346A" w:rsidP="00FA3799">
      <w:pPr>
        <w:rPr>
          <w:b/>
          <w:sz w:val="24"/>
          <w:szCs w:val="24"/>
          <w:u w:val="single"/>
        </w:rPr>
      </w:pPr>
      <w:r>
        <w:rPr>
          <w:szCs w:val="22"/>
        </w:rPr>
        <w:t>L</w:t>
      </w:r>
      <w:r w:rsidR="00FA3799">
        <w:rPr>
          <w:szCs w:val="22"/>
        </w:rPr>
        <w:t xml:space="preserve">’Autorité se réunira de nouveau </w:t>
      </w:r>
      <w:r w:rsidR="00A235F4">
        <w:rPr>
          <w:szCs w:val="22"/>
        </w:rPr>
        <w:t>en juin, juillet et août 201</w:t>
      </w:r>
      <w:r w:rsidR="00E87CF2">
        <w:rPr>
          <w:szCs w:val="22"/>
        </w:rPr>
        <w:t>4</w:t>
      </w:r>
      <w:r w:rsidR="00A235F4">
        <w:rPr>
          <w:szCs w:val="22"/>
        </w:rPr>
        <w:t xml:space="preserve"> </w:t>
      </w:r>
      <w:r w:rsidR="00FA3799">
        <w:rPr>
          <w:szCs w:val="22"/>
        </w:rPr>
        <w:t xml:space="preserve">pour prendre de nouvelles décisions concernant les demandes </w:t>
      </w:r>
      <w:r w:rsidR="00466A09">
        <w:rPr>
          <w:szCs w:val="22"/>
        </w:rPr>
        <w:t xml:space="preserve">introduites </w:t>
      </w:r>
      <w:r w:rsidR="00FA3799">
        <w:rPr>
          <w:szCs w:val="22"/>
        </w:rPr>
        <w:t xml:space="preserve">lors des deuxième et troisième phases d’inscription dont le traitement est prévu </w:t>
      </w:r>
      <w:r w:rsidR="00466A09">
        <w:rPr>
          <w:szCs w:val="22"/>
        </w:rPr>
        <w:t xml:space="preserve">selon </w:t>
      </w:r>
      <w:r w:rsidR="00FA3799">
        <w:rPr>
          <w:szCs w:val="22"/>
        </w:rPr>
        <w:t xml:space="preserve">la procédure </w:t>
      </w:r>
      <w:r w:rsidR="00466A09">
        <w:rPr>
          <w:szCs w:val="22"/>
        </w:rPr>
        <w:t xml:space="preserve">fixée </w:t>
      </w:r>
      <w:r w:rsidR="00FA3799">
        <w:rPr>
          <w:szCs w:val="22"/>
        </w:rPr>
        <w:t>dans la Politique d’inscription 201</w:t>
      </w:r>
      <w:r w:rsidR="00653632">
        <w:rPr>
          <w:szCs w:val="22"/>
        </w:rPr>
        <w:t>4</w:t>
      </w:r>
      <w:r w:rsidR="00FA3799">
        <w:rPr>
          <w:szCs w:val="22"/>
        </w:rPr>
        <w:t>-201</w:t>
      </w:r>
      <w:r w:rsidR="00653632">
        <w:rPr>
          <w:szCs w:val="22"/>
        </w:rPr>
        <w:t>5</w:t>
      </w:r>
      <w:r w:rsidR="00FA3799">
        <w:rPr>
          <w:szCs w:val="22"/>
        </w:rPr>
        <w:t xml:space="preserve">. </w:t>
      </w:r>
    </w:p>
    <w:p w:rsidR="00497AA8" w:rsidRPr="00497AA8" w:rsidRDefault="00FA3799" w:rsidP="00FA3799">
      <w:pPr>
        <w:rPr>
          <w:b/>
          <w:sz w:val="24"/>
          <w:szCs w:val="24"/>
          <w:u w:val="single"/>
        </w:rPr>
      </w:pPr>
      <w:r>
        <w:rPr>
          <w:b/>
          <w:sz w:val="24"/>
          <w:szCs w:val="24"/>
          <w:u w:val="single"/>
        </w:rPr>
        <w:br w:type="page"/>
      </w:r>
      <w:r w:rsidR="00497AA8" w:rsidRPr="00497AA8">
        <w:rPr>
          <w:b/>
          <w:sz w:val="24"/>
          <w:szCs w:val="24"/>
          <w:u w:val="single"/>
        </w:rPr>
        <w:lastRenderedPageBreak/>
        <w:t>Annexe I</w:t>
      </w:r>
    </w:p>
    <w:p w:rsidR="00EA4025" w:rsidRPr="00567D49" w:rsidRDefault="00567D49" w:rsidP="00567D49">
      <w:pPr>
        <w:pStyle w:val="ListParagraph"/>
        <w:numPr>
          <w:ilvl w:val="0"/>
          <w:numId w:val="38"/>
        </w:numPr>
        <w:jc w:val="left"/>
        <w:rPr>
          <w:b/>
        </w:rPr>
      </w:pPr>
      <w:r>
        <w:rPr>
          <w:b/>
        </w:rPr>
        <w:t xml:space="preserve">- </w:t>
      </w:r>
      <w:r w:rsidR="00EA4025" w:rsidRPr="00567D49">
        <w:rPr>
          <w:b/>
        </w:rPr>
        <w:t xml:space="preserve">Nombre de demandes, par niveau d’études et par section linguistique, reçues </w:t>
      </w:r>
      <w:r>
        <w:rPr>
          <w:b/>
        </w:rPr>
        <w:t xml:space="preserve">  </w:t>
      </w:r>
      <w:r w:rsidR="00EA4025" w:rsidRPr="00567D49">
        <w:rPr>
          <w:b/>
        </w:rPr>
        <w:t xml:space="preserve">entre le </w:t>
      </w:r>
      <w:r w:rsidR="00A8045D" w:rsidRPr="00567D49">
        <w:rPr>
          <w:b/>
        </w:rPr>
        <w:t>1</w:t>
      </w:r>
      <w:r w:rsidR="00782B9D" w:rsidRPr="00567D49">
        <w:rPr>
          <w:b/>
        </w:rPr>
        <w:t>3</w:t>
      </w:r>
      <w:r w:rsidR="00C11569" w:rsidRPr="00567D49">
        <w:rPr>
          <w:b/>
        </w:rPr>
        <w:t xml:space="preserve"> </w:t>
      </w:r>
      <w:r w:rsidR="00EA4025" w:rsidRPr="00567D49">
        <w:rPr>
          <w:b/>
        </w:rPr>
        <w:t xml:space="preserve">et le </w:t>
      </w:r>
      <w:r w:rsidR="00782B9D" w:rsidRPr="00567D49">
        <w:rPr>
          <w:b/>
        </w:rPr>
        <w:t>3</w:t>
      </w:r>
      <w:r w:rsidR="00C01338" w:rsidRPr="00567D49">
        <w:rPr>
          <w:b/>
        </w:rPr>
        <w:t>1</w:t>
      </w:r>
      <w:r w:rsidR="00EA4025" w:rsidRPr="00567D49">
        <w:rPr>
          <w:b/>
        </w:rPr>
        <w:t xml:space="preserve"> </w:t>
      </w:r>
      <w:r w:rsidR="00782B9D" w:rsidRPr="00567D49">
        <w:rPr>
          <w:b/>
        </w:rPr>
        <w:t>janvier</w:t>
      </w:r>
      <w:r w:rsidR="00EA4025" w:rsidRPr="00567D49">
        <w:rPr>
          <w:b/>
        </w:rPr>
        <w:t xml:space="preserve"> 20</w:t>
      </w:r>
      <w:r w:rsidR="00C11569" w:rsidRPr="00567D49">
        <w:rPr>
          <w:b/>
        </w:rPr>
        <w:t>1</w:t>
      </w:r>
      <w:r w:rsidR="00782B9D" w:rsidRPr="00567D49">
        <w:rPr>
          <w:b/>
        </w:rPr>
        <w:t>4</w:t>
      </w:r>
      <w:r w:rsidR="00EA4025" w:rsidRPr="00567D49">
        <w:rPr>
          <w:b/>
        </w:rPr>
        <w:t xml:space="preserve"> (première phase d’inscription).</w:t>
      </w:r>
    </w:p>
    <w:p w:rsidR="00C11569" w:rsidRPr="00782B9D" w:rsidRDefault="00BD5EE3" w:rsidP="00987FB9">
      <w:pPr>
        <w:jc w:val="center"/>
        <w:rPr>
          <w:rFonts w:ascii="Arial-BoldMT-Identity-H" w:hAnsi="Arial-BoldMT-Identity-H" w:cs="Arial-BoldMT-Identity-H"/>
          <w:b/>
          <w:bCs/>
          <w:color w:val="FFFFFF"/>
          <w:sz w:val="20"/>
        </w:rPr>
      </w:pPr>
      <w:r>
        <w:rPr>
          <w:noProof/>
          <w:lang w:val="en-US" w:eastAsia="zh-CN"/>
        </w:rPr>
        <w:drawing>
          <wp:inline distT="0" distB="0" distL="0" distR="0" wp14:anchorId="3308E86C" wp14:editId="7F43EE13">
            <wp:extent cx="6009952"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08860" cy="2990306"/>
                    </a:xfrm>
                    <a:prstGeom prst="rect">
                      <a:avLst/>
                    </a:prstGeom>
                  </pic:spPr>
                </pic:pic>
              </a:graphicData>
            </a:graphic>
          </wp:inline>
        </w:drawing>
      </w:r>
    </w:p>
    <w:p w:rsidR="00DD5D3B" w:rsidRPr="00DD5D3B" w:rsidRDefault="00DD5D3B" w:rsidP="00DD5D3B">
      <w:pPr>
        <w:ind w:left="360"/>
      </w:pPr>
    </w:p>
    <w:p w:rsidR="00BE15B0" w:rsidRPr="00782B9D" w:rsidRDefault="005673D5" w:rsidP="003D61AA">
      <w:pPr>
        <w:pStyle w:val="ListParagraph"/>
        <w:numPr>
          <w:ilvl w:val="0"/>
          <w:numId w:val="39"/>
        </w:numPr>
        <w:ind w:left="709" w:hanging="283"/>
      </w:pPr>
      <w:r w:rsidRPr="00567D49">
        <w:rPr>
          <w:b/>
        </w:rPr>
        <w:t>Nombre de demandes</w:t>
      </w:r>
      <w:r w:rsidR="0008030B" w:rsidRPr="00567D49">
        <w:rPr>
          <w:b/>
        </w:rPr>
        <w:t xml:space="preserve"> de catégorie I et II (Eurocontrol, à partir de la première primaire)</w:t>
      </w:r>
      <w:r w:rsidRPr="00567D49">
        <w:rPr>
          <w:b/>
        </w:rPr>
        <w:t xml:space="preserve">, par niveau d’études et par section linguistique, reçues entre le </w:t>
      </w:r>
      <w:r w:rsidR="00782B9D" w:rsidRPr="00567D49">
        <w:rPr>
          <w:b/>
        </w:rPr>
        <w:t xml:space="preserve">13 et le 31 janvier 2014 </w:t>
      </w:r>
      <w:r w:rsidRPr="00567D49">
        <w:rPr>
          <w:b/>
        </w:rPr>
        <w:t>(première phase d’inscription).</w:t>
      </w:r>
    </w:p>
    <w:p w:rsidR="00782B9D" w:rsidRDefault="00782B9D" w:rsidP="00683C5D"/>
    <w:p w:rsidR="00782B9D" w:rsidRDefault="00F053DE" w:rsidP="00EA4025">
      <w:pPr>
        <w:rPr>
          <w:noProof/>
          <w:lang w:val="en-US" w:eastAsia="zh-CN"/>
        </w:rPr>
      </w:pPr>
      <w:r>
        <w:rPr>
          <w:noProof/>
          <w:lang w:val="en-US" w:eastAsia="zh-CN"/>
        </w:rPr>
        <w:drawing>
          <wp:inline distT="0" distB="0" distL="0" distR="0" wp14:anchorId="0F173F9C" wp14:editId="09EFF068">
            <wp:extent cx="5760085" cy="28975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085" cy="2897549"/>
                    </a:xfrm>
                    <a:prstGeom prst="rect">
                      <a:avLst/>
                    </a:prstGeom>
                  </pic:spPr>
                </pic:pic>
              </a:graphicData>
            </a:graphic>
          </wp:inline>
        </w:drawing>
      </w:r>
    </w:p>
    <w:p w:rsidR="00F053DE" w:rsidRDefault="00F053DE" w:rsidP="00EA4025">
      <w:pPr>
        <w:rPr>
          <w:noProof/>
          <w:lang w:val="en-US" w:eastAsia="zh-CN"/>
        </w:rPr>
      </w:pPr>
    </w:p>
    <w:p w:rsidR="00F053DE" w:rsidRDefault="00F053DE" w:rsidP="00EA4025">
      <w:pPr>
        <w:rPr>
          <w:noProof/>
          <w:lang w:val="en-US" w:eastAsia="zh-CN"/>
        </w:rPr>
      </w:pPr>
    </w:p>
    <w:p w:rsidR="002D762B" w:rsidRDefault="002D762B">
      <w:pPr>
        <w:spacing w:before="0" w:after="0"/>
        <w:jc w:val="left"/>
        <w:rPr>
          <w:noProof/>
          <w:lang w:val="en-US" w:eastAsia="zh-CN"/>
        </w:rPr>
      </w:pPr>
      <w:r>
        <w:rPr>
          <w:noProof/>
          <w:lang w:val="en-US" w:eastAsia="zh-CN"/>
        </w:rPr>
        <w:br w:type="page"/>
      </w:r>
    </w:p>
    <w:p w:rsidR="005377D4" w:rsidRPr="00ED08CE" w:rsidRDefault="005377D4" w:rsidP="00567D49">
      <w:pPr>
        <w:pStyle w:val="ListParagraph"/>
        <w:numPr>
          <w:ilvl w:val="0"/>
          <w:numId w:val="38"/>
        </w:numPr>
      </w:pPr>
      <w:r w:rsidRPr="00567D49">
        <w:rPr>
          <w:b/>
        </w:rPr>
        <w:lastRenderedPageBreak/>
        <w:t>Nombre de demandes</w:t>
      </w:r>
      <w:r w:rsidR="0008030B" w:rsidRPr="00567D49">
        <w:rPr>
          <w:b/>
        </w:rPr>
        <w:t xml:space="preserve"> </w:t>
      </w:r>
      <w:r w:rsidRPr="00567D49">
        <w:rPr>
          <w:b/>
        </w:rPr>
        <w:t>de catégorie I et II (Eurocontrol, à partir de la première primaire)</w:t>
      </w:r>
      <w:r w:rsidR="0008030B" w:rsidRPr="00567D49">
        <w:rPr>
          <w:b/>
        </w:rPr>
        <w:t xml:space="preserve">, par niveau d’études et par section </w:t>
      </w:r>
      <w:r w:rsidR="00FF306E" w:rsidRPr="00567D49">
        <w:rPr>
          <w:b/>
        </w:rPr>
        <w:t xml:space="preserve">linguistique, </w:t>
      </w:r>
      <w:r w:rsidRPr="00567D49">
        <w:rPr>
          <w:b/>
        </w:rPr>
        <w:t xml:space="preserve">reçues entre le </w:t>
      </w:r>
      <w:r w:rsidR="00683C5D" w:rsidRPr="00567D49">
        <w:rPr>
          <w:b/>
        </w:rPr>
        <w:t xml:space="preserve">13 et le 31 janvier 2014 </w:t>
      </w:r>
      <w:r w:rsidRPr="00567D49">
        <w:rPr>
          <w:b/>
        </w:rPr>
        <w:t>(première phase d’inscription) par école.</w:t>
      </w:r>
    </w:p>
    <w:p w:rsidR="002D3C3B" w:rsidRPr="002D3C3B" w:rsidRDefault="002D3C3B" w:rsidP="002D3C3B">
      <w:pPr>
        <w:spacing w:before="0"/>
        <w:rPr>
          <w:b/>
          <w:sz w:val="16"/>
          <w:szCs w:val="16"/>
          <w:u w:val="single"/>
        </w:rPr>
      </w:pPr>
    </w:p>
    <w:p w:rsidR="002D3C3B" w:rsidRDefault="00EC37F9" w:rsidP="002D3C3B">
      <w:pPr>
        <w:spacing w:before="0"/>
        <w:rPr>
          <w:b/>
          <w:u w:val="single"/>
        </w:rPr>
      </w:pPr>
      <w:r>
        <w:rPr>
          <w:b/>
          <w:u w:val="single"/>
        </w:rPr>
        <w:t>Bruxelles I</w:t>
      </w:r>
    </w:p>
    <w:p w:rsidR="00885C81" w:rsidRDefault="00683C5D" w:rsidP="002D3C3B">
      <w:pPr>
        <w:rPr>
          <w:b/>
          <w:u w:val="single"/>
        </w:rPr>
      </w:pPr>
      <w:r>
        <w:rPr>
          <w:noProof/>
          <w:lang w:val="en-US" w:eastAsia="zh-CN"/>
        </w:rPr>
        <w:drawing>
          <wp:inline distT="0" distB="0" distL="0" distR="0" wp14:anchorId="39893C0A" wp14:editId="60D12971">
            <wp:extent cx="4171950" cy="3562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71950" cy="3562350"/>
                    </a:xfrm>
                    <a:prstGeom prst="rect">
                      <a:avLst/>
                    </a:prstGeom>
                  </pic:spPr>
                </pic:pic>
              </a:graphicData>
            </a:graphic>
          </wp:inline>
        </w:drawing>
      </w:r>
    </w:p>
    <w:p w:rsidR="00683C5D" w:rsidRDefault="00683C5D" w:rsidP="002D3C3B">
      <w:pPr>
        <w:rPr>
          <w:b/>
          <w:u w:val="single"/>
        </w:rPr>
      </w:pPr>
    </w:p>
    <w:p w:rsidR="002D3C3B" w:rsidRDefault="002D3C3B" w:rsidP="002D3C3B">
      <w:pPr>
        <w:rPr>
          <w:b/>
          <w:u w:val="single"/>
        </w:rPr>
      </w:pPr>
      <w:r w:rsidRPr="00A8045D">
        <w:rPr>
          <w:b/>
          <w:u w:val="single"/>
        </w:rPr>
        <w:t xml:space="preserve">Bruxelles II </w:t>
      </w:r>
    </w:p>
    <w:p w:rsidR="00683C5D" w:rsidRDefault="00683C5D" w:rsidP="00EA4025">
      <w:r>
        <w:rPr>
          <w:noProof/>
          <w:lang w:val="en-US" w:eastAsia="zh-CN"/>
        </w:rPr>
        <w:drawing>
          <wp:inline distT="0" distB="0" distL="0" distR="0" wp14:anchorId="532FBDC6" wp14:editId="69903A15">
            <wp:extent cx="4476750" cy="3571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76750" cy="3571875"/>
                    </a:xfrm>
                    <a:prstGeom prst="rect">
                      <a:avLst/>
                    </a:prstGeom>
                  </pic:spPr>
                </pic:pic>
              </a:graphicData>
            </a:graphic>
          </wp:inline>
        </w:drawing>
      </w:r>
    </w:p>
    <w:p w:rsidR="008E5761" w:rsidRDefault="008E5761">
      <w:pPr>
        <w:spacing w:before="0" w:after="0"/>
        <w:jc w:val="left"/>
        <w:rPr>
          <w:b/>
        </w:rPr>
      </w:pPr>
      <w:r>
        <w:rPr>
          <w:b/>
        </w:rPr>
        <w:br w:type="page"/>
      </w:r>
    </w:p>
    <w:p w:rsidR="007D1EC2" w:rsidRDefault="00EC37F9" w:rsidP="007D1EC2">
      <w:pPr>
        <w:rPr>
          <w:b/>
          <w:u w:val="single"/>
        </w:rPr>
      </w:pPr>
      <w:r>
        <w:rPr>
          <w:b/>
          <w:u w:val="single"/>
        </w:rPr>
        <w:lastRenderedPageBreak/>
        <w:t xml:space="preserve">Bruxelles III </w:t>
      </w:r>
    </w:p>
    <w:p w:rsidR="00885C81" w:rsidRDefault="00CC6CBE" w:rsidP="00EA4025">
      <w:pPr>
        <w:rPr>
          <w:b/>
        </w:rPr>
      </w:pPr>
      <w:r>
        <w:rPr>
          <w:noProof/>
          <w:lang w:val="en-US" w:eastAsia="zh-CN"/>
        </w:rPr>
        <w:drawing>
          <wp:inline distT="0" distB="0" distL="0" distR="0" wp14:anchorId="321AFEFE" wp14:editId="518ADFA3">
            <wp:extent cx="3733800" cy="3228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33800" cy="3228975"/>
                    </a:xfrm>
                    <a:prstGeom prst="rect">
                      <a:avLst/>
                    </a:prstGeom>
                  </pic:spPr>
                </pic:pic>
              </a:graphicData>
            </a:graphic>
          </wp:inline>
        </w:drawing>
      </w:r>
    </w:p>
    <w:p w:rsidR="00CD419C" w:rsidRDefault="00CD419C" w:rsidP="007D1EC2">
      <w:pPr>
        <w:rPr>
          <w:b/>
          <w:u w:val="single"/>
        </w:rPr>
      </w:pPr>
    </w:p>
    <w:p w:rsidR="007D1EC2" w:rsidRDefault="007D1EC2" w:rsidP="007D1EC2">
      <w:pPr>
        <w:rPr>
          <w:b/>
          <w:u w:val="single"/>
        </w:rPr>
      </w:pPr>
      <w:r>
        <w:rPr>
          <w:b/>
          <w:u w:val="single"/>
        </w:rPr>
        <w:t>Bruxelles IV</w:t>
      </w:r>
    </w:p>
    <w:p w:rsidR="00CC6CBE" w:rsidRPr="00CC6CBE" w:rsidRDefault="00CC6CBE" w:rsidP="00CC6CBE">
      <w:pPr>
        <w:spacing w:before="0" w:after="0"/>
        <w:rPr>
          <w:b/>
          <w:sz w:val="16"/>
          <w:szCs w:val="16"/>
          <w:u w:val="single"/>
        </w:rPr>
      </w:pPr>
    </w:p>
    <w:p w:rsidR="00CD419C" w:rsidRPr="00987FB9" w:rsidRDefault="00CC6CBE" w:rsidP="00EA4025">
      <w:pPr>
        <w:rPr>
          <w:b/>
        </w:rPr>
      </w:pPr>
      <w:r>
        <w:rPr>
          <w:noProof/>
          <w:lang w:val="en-US" w:eastAsia="zh-CN"/>
        </w:rPr>
        <w:drawing>
          <wp:inline distT="0" distB="0" distL="0" distR="0" wp14:anchorId="51BA1B5B" wp14:editId="6BB8563C">
            <wp:extent cx="3752850"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52850" cy="2857500"/>
                    </a:xfrm>
                    <a:prstGeom prst="rect">
                      <a:avLst/>
                    </a:prstGeom>
                  </pic:spPr>
                </pic:pic>
              </a:graphicData>
            </a:graphic>
          </wp:inline>
        </w:drawing>
      </w:r>
    </w:p>
    <w:sectPr w:rsidR="00CD419C" w:rsidRPr="00987FB9" w:rsidSect="00C01338">
      <w:headerReference w:type="default" r:id="rId17"/>
      <w:footerReference w:type="default" r:id="rId18"/>
      <w:footerReference w:type="first" r:id="rId19"/>
      <w:pgSz w:w="11906" w:h="16838"/>
      <w:pgMar w:top="680" w:right="1701" w:bottom="680" w:left="1134"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38" w:rsidRDefault="00557C38">
      <w:r>
        <w:separator/>
      </w:r>
    </w:p>
  </w:endnote>
  <w:endnote w:type="continuationSeparator" w:id="0">
    <w:p w:rsidR="00557C38" w:rsidRDefault="005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BoldMT-Identity-H">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69" w:rsidRDefault="00812D69">
    <w:pPr>
      <w:pStyle w:val="Footer"/>
      <w:pBdr>
        <w:top w:val="single" w:sz="4" w:space="1" w:color="auto"/>
      </w:pBdr>
      <w:tabs>
        <w:tab w:val="left" w:pos="8364"/>
      </w:tabs>
      <w:ind w:right="-29"/>
    </w:pPr>
    <w:r>
      <w:t>2</w:t>
    </w:r>
    <w:r w:rsidR="00D6159A">
      <w:t>014</w:t>
    </w:r>
    <w:r>
      <w:t>-03-D</w:t>
    </w:r>
    <w:r w:rsidR="00D6159A">
      <w:t>-11</w:t>
    </w:r>
    <w:r>
      <w:t>-fr-1</w:t>
    </w:r>
    <w:r>
      <w:tab/>
    </w:r>
    <w:r>
      <w:rPr>
        <w:rStyle w:val="PageNumber"/>
      </w:rPr>
      <w:fldChar w:fldCharType="begin"/>
    </w:r>
    <w:r>
      <w:rPr>
        <w:rStyle w:val="PageNumber"/>
      </w:rPr>
      <w:instrText xml:space="preserve"> PAGE </w:instrText>
    </w:r>
    <w:r>
      <w:rPr>
        <w:rStyle w:val="PageNumber"/>
      </w:rPr>
      <w:fldChar w:fldCharType="separate"/>
    </w:r>
    <w:r w:rsidR="002B2201">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2201">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69" w:rsidRPr="008E3B7D" w:rsidRDefault="00812D69">
    <w:pPr>
      <w:pStyle w:val="Footer"/>
      <w:pBdr>
        <w:top w:val="single" w:sz="4" w:space="1" w:color="auto"/>
      </w:pBdr>
      <w:tabs>
        <w:tab w:val="center" w:pos="4253"/>
        <w:tab w:val="left" w:pos="8222"/>
      </w:tabs>
      <w:ind w:right="-29"/>
      <w:rPr>
        <w:rStyle w:val="PageNumber"/>
        <w:lang w:val="en-GB"/>
      </w:rPr>
    </w:pPr>
    <w:r w:rsidRPr="008E3B7D">
      <w:rPr>
        <w:lang w:val="en-GB"/>
      </w:rPr>
      <w:tab/>
    </w:r>
    <w:r w:rsidRPr="008E3B7D">
      <w:rPr>
        <w:lang w:val="en-GB"/>
      </w:rPr>
      <w:tab/>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2B2201">
      <w:rPr>
        <w:rStyle w:val="PageNumber"/>
        <w:noProof/>
        <w:lang w:val="en-GB"/>
      </w:rPr>
      <w:t>1</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2B2201">
      <w:rPr>
        <w:rStyle w:val="PageNumber"/>
        <w:noProof/>
        <w:lang w:val="en-GB"/>
      </w:rPr>
      <w:t>1</w:t>
    </w:r>
    <w:r w:rsidRPr="008E3B7D">
      <w:rPr>
        <w:rStyle w:val="PageNumber"/>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38" w:rsidRDefault="00557C38">
      <w:r>
        <w:separator/>
      </w:r>
    </w:p>
  </w:footnote>
  <w:footnote w:type="continuationSeparator" w:id="0">
    <w:p w:rsidR="00557C38" w:rsidRDefault="0055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69" w:rsidRDefault="00812D6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9B77CC"/>
    <w:multiLevelType w:val="hybridMultilevel"/>
    <w:tmpl w:val="1CB6F67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0F23C6"/>
    <w:multiLevelType w:val="hybridMultilevel"/>
    <w:tmpl w:val="A364B8B6"/>
    <w:lvl w:ilvl="0" w:tplc="4BCAF94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42CB5"/>
    <w:multiLevelType w:val="hybridMultilevel"/>
    <w:tmpl w:val="96FEF6B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1521813"/>
    <w:multiLevelType w:val="hybridMultilevel"/>
    <w:tmpl w:val="34D05E44"/>
    <w:lvl w:ilvl="0" w:tplc="116472C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nsid w:val="12D248F2"/>
    <w:multiLevelType w:val="hybridMultilevel"/>
    <w:tmpl w:val="23F86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6FE0FE8"/>
    <w:multiLevelType w:val="hybridMultilevel"/>
    <w:tmpl w:val="79226DDE"/>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79250AA"/>
    <w:multiLevelType w:val="hybridMultilevel"/>
    <w:tmpl w:val="B928AE3C"/>
    <w:lvl w:ilvl="0" w:tplc="A5C2AC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86D6380"/>
    <w:multiLevelType w:val="hybridMultilevel"/>
    <w:tmpl w:val="F320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A123BE"/>
    <w:multiLevelType w:val="hybridMultilevel"/>
    <w:tmpl w:val="9B8A7BD8"/>
    <w:lvl w:ilvl="0" w:tplc="DE1C87F8">
      <w:start w:val="2"/>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B24164"/>
    <w:multiLevelType w:val="hybridMultilevel"/>
    <w:tmpl w:val="EDE627E6"/>
    <w:lvl w:ilvl="0" w:tplc="7354F5F8">
      <w:start w:val="2007"/>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4CA6531E"/>
    <w:multiLevelType w:val="hybridMultilevel"/>
    <w:tmpl w:val="83CCC3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4DC3198"/>
    <w:multiLevelType w:val="hybridMultilevel"/>
    <w:tmpl w:val="F2347700"/>
    <w:lvl w:ilvl="0" w:tplc="BF70E1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33EEB"/>
    <w:multiLevelType w:val="multilevel"/>
    <w:tmpl w:val="073A78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8D35E84"/>
    <w:multiLevelType w:val="hybridMultilevel"/>
    <w:tmpl w:val="6A944F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B3A2019"/>
    <w:multiLevelType w:val="hybridMultilevel"/>
    <w:tmpl w:val="A71ED268"/>
    <w:lvl w:ilvl="0" w:tplc="99748B6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FBA676F"/>
    <w:multiLevelType w:val="hybridMultilevel"/>
    <w:tmpl w:val="856E708A"/>
    <w:lvl w:ilvl="0" w:tplc="EA1CCDA4">
      <w:start w:val="1"/>
      <w:numFmt w:val="lowerRoman"/>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
  </w:num>
  <w:num w:numId="2">
    <w:abstractNumId w:val="0"/>
  </w:num>
  <w:num w:numId="3">
    <w:abstractNumId w:val="18"/>
  </w:num>
  <w:num w:numId="4">
    <w:abstractNumId w:val="11"/>
  </w:num>
  <w:num w:numId="5">
    <w:abstractNumId w:val="9"/>
  </w:num>
  <w:num w:numId="6">
    <w:abstractNumId w:val="30"/>
  </w:num>
  <w:num w:numId="7">
    <w:abstractNumId w:val="32"/>
  </w:num>
  <w:num w:numId="8">
    <w:abstractNumId w:val="31"/>
  </w:num>
  <w:num w:numId="9">
    <w:abstractNumId w:val="34"/>
  </w:num>
  <w:num w:numId="10">
    <w:abstractNumId w:val="13"/>
  </w:num>
  <w:num w:numId="11">
    <w:abstractNumId w:val="19"/>
  </w:num>
  <w:num w:numId="12">
    <w:abstractNumId w:val="21"/>
  </w:num>
  <w:num w:numId="13">
    <w:abstractNumId w:val="20"/>
  </w:num>
  <w:num w:numId="14">
    <w:abstractNumId w:val="5"/>
  </w:num>
  <w:num w:numId="15">
    <w:abstractNumId w:val="23"/>
  </w:num>
  <w:num w:numId="16">
    <w:abstractNumId w:val="22"/>
  </w:num>
  <w:num w:numId="17">
    <w:abstractNumId w:val="12"/>
  </w:num>
  <w:num w:numId="18">
    <w:abstractNumId w:val="3"/>
  </w:num>
  <w:num w:numId="19">
    <w:abstractNumId w:val="2"/>
  </w:num>
  <w:num w:numId="20">
    <w:abstractNumId w:val="29"/>
  </w:num>
  <w:num w:numId="21">
    <w:abstractNumId w:val="33"/>
  </w:num>
  <w:num w:numId="22">
    <w:abstractNumId w:val="28"/>
  </w:num>
  <w:num w:numId="23">
    <w:abstractNumId w:val="36"/>
  </w:num>
  <w:num w:numId="24">
    <w:abstractNumId w:val="8"/>
  </w:num>
  <w:num w:numId="2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num>
  <w:num w:numId="28">
    <w:abstractNumId w:val="25"/>
  </w:num>
  <w:num w:numId="29">
    <w:abstractNumId w:val="7"/>
  </w:num>
  <w:num w:numId="30">
    <w:abstractNumId w:val="4"/>
  </w:num>
  <w:num w:numId="31">
    <w:abstractNumId w:val="35"/>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6"/>
  </w:num>
  <w:num w:numId="35">
    <w:abstractNumId w:val="15"/>
  </w:num>
  <w:num w:numId="36">
    <w:abstractNumId w:val="27"/>
  </w:num>
  <w:num w:numId="37">
    <w:abstractNumId w:val="10"/>
  </w:num>
  <w:num w:numId="38">
    <w:abstractNumId w:val="26"/>
  </w:num>
  <w:num w:numId="3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F6"/>
    <w:rsid w:val="00000053"/>
    <w:rsid w:val="00005771"/>
    <w:rsid w:val="00010421"/>
    <w:rsid w:val="00013B94"/>
    <w:rsid w:val="00014435"/>
    <w:rsid w:val="000157AF"/>
    <w:rsid w:val="000158FF"/>
    <w:rsid w:val="00020D25"/>
    <w:rsid w:val="00020FFC"/>
    <w:rsid w:val="00025289"/>
    <w:rsid w:val="00027098"/>
    <w:rsid w:val="000351A2"/>
    <w:rsid w:val="00035365"/>
    <w:rsid w:val="00042C69"/>
    <w:rsid w:val="00044A56"/>
    <w:rsid w:val="000450F4"/>
    <w:rsid w:val="00045319"/>
    <w:rsid w:val="00051224"/>
    <w:rsid w:val="00054281"/>
    <w:rsid w:val="000609D5"/>
    <w:rsid w:val="00061B2E"/>
    <w:rsid w:val="000640DF"/>
    <w:rsid w:val="00066FCD"/>
    <w:rsid w:val="0008030B"/>
    <w:rsid w:val="00090323"/>
    <w:rsid w:val="00090BEF"/>
    <w:rsid w:val="00091DAE"/>
    <w:rsid w:val="00097961"/>
    <w:rsid w:val="000A4C09"/>
    <w:rsid w:val="000B438D"/>
    <w:rsid w:val="000B77B7"/>
    <w:rsid w:val="000B7DE0"/>
    <w:rsid w:val="000C283B"/>
    <w:rsid w:val="000D1EA8"/>
    <w:rsid w:val="000D474D"/>
    <w:rsid w:val="000D7434"/>
    <w:rsid w:val="000E0C27"/>
    <w:rsid w:val="000E3577"/>
    <w:rsid w:val="000E3A09"/>
    <w:rsid w:val="000E4600"/>
    <w:rsid w:val="000E6A54"/>
    <w:rsid w:val="000E7105"/>
    <w:rsid w:val="000F053F"/>
    <w:rsid w:val="000F4F21"/>
    <w:rsid w:val="00100C02"/>
    <w:rsid w:val="00102A57"/>
    <w:rsid w:val="00104882"/>
    <w:rsid w:val="00107990"/>
    <w:rsid w:val="001100A9"/>
    <w:rsid w:val="00116F87"/>
    <w:rsid w:val="00121FA0"/>
    <w:rsid w:val="00130F5C"/>
    <w:rsid w:val="001315C2"/>
    <w:rsid w:val="00132A4D"/>
    <w:rsid w:val="00141163"/>
    <w:rsid w:val="00145D7F"/>
    <w:rsid w:val="00146402"/>
    <w:rsid w:val="0016194F"/>
    <w:rsid w:val="00161A36"/>
    <w:rsid w:val="00164449"/>
    <w:rsid w:val="001650F2"/>
    <w:rsid w:val="0017790E"/>
    <w:rsid w:val="0018223C"/>
    <w:rsid w:val="00182D38"/>
    <w:rsid w:val="00191E47"/>
    <w:rsid w:val="00197A61"/>
    <w:rsid w:val="00197C36"/>
    <w:rsid w:val="001A1E63"/>
    <w:rsid w:val="001A5459"/>
    <w:rsid w:val="001B3FCB"/>
    <w:rsid w:val="001C13A6"/>
    <w:rsid w:val="001C5F47"/>
    <w:rsid w:val="001C68CC"/>
    <w:rsid w:val="001D797B"/>
    <w:rsid w:val="001E09B2"/>
    <w:rsid w:val="001E4547"/>
    <w:rsid w:val="001F2CCD"/>
    <w:rsid w:val="001F365F"/>
    <w:rsid w:val="001F3B00"/>
    <w:rsid w:val="00211B59"/>
    <w:rsid w:val="00211E74"/>
    <w:rsid w:val="002162DB"/>
    <w:rsid w:val="00225A63"/>
    <w:rsid w:val="00225D67"/>
    <w:rsid w:val="00234262"/>
    <w:rsid w:val="0023781A"/>
    <w:rsid w:val="0024188C"/>
    <w:rsid w:val="00242B27"/>
    <w:rsid w:val="0025094B"/>
    <w:rsid w:val="00251FEF"/>
    <w:rsid w:val="0025346A"/>
    <w:rsid w:val="002677ED"/>
    <w:rsid w:val="00276436"/>
    <w:rsid w:val="00283438"/>
    <w:rsid w:val="002856A4"/>
    <w:rsid w:val="00286840"/>
    <w:rsid w:val="00287FAA"/>
    <w:rsid w:val="00290773"/>
    <w:rsid w:val="00291E05"/>
    <w:rsid w:val="00292256"/>
    <w:rsid w:val="00292421"/>
    <w:rsid w:val="00295E0A"/>
    <w:rsid w:val="0029799D"/>
    <w:rsid w:val="002A28BD"/>
    <w:rsid w:val="002A4601"/>
    <w:rsid w:val="002B1F16"/>
    <w:rsid w:val="002B2201"/>
    <w:rsid w:val="002B31B6"/>
    <w:rsid w:val="002B3A55"/>
    <w:rsid w:val="002B7B3C"/>
    <w:rsid w:val="002B7B45"/>
    <w:rsid w:val="002B7CDE"/>
    <w:rsid w:val="002C46DD"/>
    <w:rsid w:val="002D1028"/>
    <w:rsid w:val="002D2253"/>
    <w:rsid w:val="002D3C3B"/>
    <w:rsid w:val="002D762B"/>
    <w:rsid w:val="002E0DF8"/>
    <w:rsid w:val="002E6629"/>
    <w:rsid w:val="002F2013"/>
    <w:rsid w:val="00303F63"/>
    <w:rsid w:val="0030736D"/>
    <w:rsid w:val="003140DE"/>
    <w:rsid w:val="00315095"/>
    <w:rsid w:val="00320B42"/>
    <w:rsid w:val="003221C6"/>
    <w:rsid w:val="003224A2"/>
    <w:rsid w:val="0032381A"/>
    <w:rsid w:val="00335F17"/>
    <w:rsid w:val="00340764"/>
    <w:rsid w:val="003411F1"/>
    <w:rsid w:val="00341273"/>
    <w:rsid w:val="003426D7"/>
    <w:rsid w:val="00344187"/>
    <w:rsid w:val="0034568C"/>
    <w:rsid w:val="003540F0"/>
    <w:rsid w:val="003541B8"/>
    <w:rsid w:val="00360855"/>
    <w:rsid w:val="0036651D"/>
    <w:rsid w:val="00366C54"/>
    <w:rsid w:val="00371A39"/>
    <w:rsid w:val="003753A3"/>
    <w:rsid w:val="00384C8D"/>
    <w:rsid w:val="00386B7E"/>
    <w:rsid w:val="003940AB"/>
    <w:rsid w:val="00395EA7"/>
    <w:rsid w:val="003A5A06"/>
    <w:rsid w:val="003B0DFB"/>
    <w:rsid w:val="003B1737"/>
    <w:rsid w:val="003B35D6"/>
    <w:rsid w:val="003C16E9"/>
    <w:rsid w:val="003C4B35"/>
    <w:rsid w:val="003C4D0C"/>
    <w:rsid w:val="003D31A1"/>
    <w:rsid w:val="003D5262"/>
    <w:rsid w:val="003D61AA"/>
    <w:rsid w:val="003D78CD"/>
    <w:rsid w:val="003F43AB"/>
    <w:rsid w:val="003F477E"/>
    <w:rsid w:val="00401B1F"/>
    <w:rsid w:val="004110B1"/>
    <w:rsid w:val="0041232B"/>
    <w:rsid w:val="00414F62"/>
    <w:rsid w:val="00417FFE"/>
    <w:rsid w:val="004232BB"/>
    <w:rsid w:val="00423320"/>
    <w:rsid w:val="0042636B"/>
    <w:rsid w:val="0042770E"/>
    <w:rsid w:val="0043084F"/>
    <w:rsid w:val="0043142E"/>
    <w:rsid w:val="004336AD"/>
    <w:rsid w:val="00434535"/>
    <w:rsid w:val="00442FFF"/>
    <w:rsid w:val="00443FAC"/>
    <w:rsid w:val="004442CD"/>
    <w:rsid w:val="0044451B"/>
    <w:rsid w:val="00446A61"/>
    <w:rsid w:val="00446E17"/>
    <w:rsid w:val="00452E5E"/>
    <w:rsid w:val="004603D2"/>
    <w:rsid w:val="004604FC"/>
    <w:rsid w:val="004651EC"/>
    <w:rsid w:val="00466A09"/>
    <w:rsid w:val="00467D8C"/>
    <w:rsid w:val="004710DD"/>
    <w:rsid w:val="004740BB"/>
    <w:rsid w:val="004764C6"/>
    <w:rsid w:val="00476C72"/>
    <w:rsid w:val="004814F6"/>
    <w:rsid w:val="00487D38"/>
    <w:rsid w:val="00497AA8"/>
    <w:rsid w:val="004A15CD"/>
    <w:rsid w:val="004B3525"/>
    <w:rsid w:val="004C43F8"/>
    <w:rsid w:val="004D0581"/>
    <w:rsid w:val="004D2487"/>
    <w:rsid w:val="004D31ED"/>
    <w:rsid w:val="004E218F"/>
    <w:rsid w:val="004E5A95"/>
    <w:rsid w:val="004F494B"/>
    <w:rsid w:val="004F4E00"/>
    <w:rsid w:val="004F63BB"/>
    <w:rsid w:val="00501692"/>
    <w:rsid w:val="00503CDF"/>
    <w:rsid w:val="00503F56"/>
    <w:rsid w:val="00505543"/>
    <w:rsid w:val="005067DC"/>
    <w:rsid w:val="005100A9"/>
    <w:rsid w:val="0051104B"/>
    <w:rsid w:val="00511FB3"/>
    <w:rsid w:val="0051403D"/>
    <w:rsid w:val="00514D0B"/>
    <w:rsid w:val="00520E45"/>
    <w:rsid w:val="00521C83"/>
    <w:rsid w:val="00530FE5"/>
    <w:rsid w:val="005314DD"/>
    <w:rsid w:val="005339ED"/>
    <w:rsid w:val="0053432B"/>
    <w:rsid w:val="005377D4"/>
    <w:rsid w:val="00541E9C"/>
    <w:rsid w:val="00543588"/>
    <w:rsid w:val="0054667F"/>
    <w:rsid w:val="0055154E"/>
    <w:rsid w:val="005518CE"/>
    <w:rsid w:val="00551935"/>
    <w:rsid w:val="0055327D"/>
    <w:rsid w:val="00555487"/>
    <w:rsid w:val="00557C38"/>
    <w:rsid w:val="00563253"/>
    <w:rsid w:val="00565C12"/>
    <w:rsid w:val="005673D5"/>
    <w:rsid w:val="00567542"/>
    <w:rsid w:val="00567D49"/>
    <w:rsid w:val="00572541"/>
    <w:rsid w:val="005725FF"/>
    <w:rsid w:val="00575BA0"/>
    <w:rsid w:val="00580C5B"/>
    <w:rsid w:val="00581913"/>
    <w:rsid w:val="00582169"/>
    <w:rsid w:val="00583452"/>
    <w:rsid w:val="00592430"/>
    <w:rsid w:val="005934A6"/>
    <w:rsid w:val="005942A1"/>
    <w:rsid w:val="00595977"/>
    <w:rsid w:val="005B0E65"/>
    <w:rsid w:val="005B1491"/>
    <w:rsid w:val="005B1708"/>
    <w:rsid w:val="005B275E"/>
    <w:rsid w:val="005B36FC"/>
    <w:rsid w:val="005B4840"/>
    <w:rsid w:val="005C022B"/>
    <w:rsid w:val="005C0ACF"/>
    <w:rsid w:val="005C51CD"/>
    <w:rsid w:val="005C73DA"/>
    <w:rsid w:val="005C7F07"/>
    <w:rsid w:val="005D07FE"/>
    <w:rsid w:val="005D5453"/>
    <w:rsid w:val="005D5693"/>
    <w:rsid w:val="005E42B3"/>
    <w:rsid w:val="005E582E"/>
    <w:rsid w:val="005F216F"/>
    <w:rsid w:val="005F5D83"/>
    <w:rsid w:val="005F6007"/>
    <w:rsid w:val="005F68FD"/>
    <w:rsid w:val="00601332"/>
    <w:rsid w:val="00602512"/>
    <w:rsid w:val="00611D8E"/>
    <w:rsid w:val="00627307"/>
    <w:rsid w:val="0063288C"/>
    <w:rsid w:val="00635329"/>
    <w:rsid w:val="00636893"/>
    <w:rsid w:val="00636B04"/>
    <w:rsid w:val="006415B3"/>
    <w:rsid w:val="006426F3"/>
    <w:rsid w:val="0064329F"/>
    <w:rsid w:val="00651BC3"/>
    <w:rsid w:val="00653632"/>
    <w:rsid w:val="00664AE3"/>
    <w:rsid w:val="00667032"/>
    <w:rsid w:val="00673EE8"/>
    <w:rsid w:val="00676550"/>
    <w:rsid w:val="00680CEF"/>
    <w:rsid w:val="00682397"/>
    <w:rsid w:val="00683500"/>
    <w:rsid w:val="00683C5D"/>
    <w:rsid w:val="00685CD9"/>
    <w:rsid w:val="006863BC"/>
    <w:rsid w:val="006866EB"/>
    <w:rsid w:val="0068737D"/>
    <w:rsid w:val="00691CC8"/>
    <w:rsid w:val="00697B98"/>
    <w:rsid w:val="006A1539"/>
    <w:rsid w:val="006A23F5"/>
    <w:rsid w:val="006A4CD7"/>
    <w:rsid w:val="006A5450"/>
    <w:rsid w:val="006A679E"/>
    <w:rsid w:val="006B1390"/>
    <w:rsid w:val="006B1622"/>
    <w:rsid w:val="006B28DC"/>
    <w:rsid w:val="006B2F7D"/>
    <w:rsid w:val="006B33E1"/>
    <w:rsid w:val="006B3510"/>
    <w:rsid w:val="006C579B"/>
    <w:rsid w:val="006D0B06"/>
    <w:rsid w:val="006D38D5"/>
    <w:rsid w:val="006D4828"/>
    <w:rsid w:val="006F197A"/>
    <w:rsid w:val="0070659C"/>
    <w:rsid w:val="00713D4E"/>
    <w:rsid w:val="007206DF"/>
    <w:rsid w:val="00722BC3"/>
    <w:rsid w:val="00730B74"/>
    <w:rsid w:val="00731E26"/>
    <w:rsid w:val="007320CF"/>
    <w:rsid w:val="00740B66"/>
    <w:rsid w:val="007434E5"/>
    <w:rsid w:val="007446D7"/>
    <w:rsid w:val="00746054"/>
    <w:rsid w:val="0074631B"/>
    <w:rsid w:val="00746ECE"/>
    <w:rsid w:val="00747160"/>
    <w:rsid w:val="007500A1"/>
    <w:rsid w:val="00750C0F"/>
    <w:rsid w:val="00753C8B"/>
    <w:rsid w:val="007550A6"/>
    <w:rsid w:val="00765073"/>
    <w:rsid w:val="00775C1B"/>
    <w:rsid w:val="00782B9D"/>
    <w:rsid w:val="00785384"/>
    <w:rsid w:val="0078595A"/>
    <w:rsid w:val="007918E5"/>
    <w:rsid w:val="007920AD"/>
    <w:rsid w:val="007A22AF"/>
    <w:rsid w:val="007A4B16"/>
    <w:rsid w:val="007B55DF"/>
    <w:rsid w:val="007B5C0D"/>
    <w:rsid w:val="007B652B"/>
    <w:rsid w:val="007B6853"/>
    <w:rsid w:val="007C3BF4"/>
    <w:rsid w:val="007C4BB3"/>
    <w:rsid w:val="007C5450"/>
    <w:rsid w:val="007C5608"/>
    <w:rsid w:val="007D1BCB"/>
    <w:rsid w:val="007D1EC2"/>
    <w:rsid w:val="007E1357"/>
    <w:rsid w:val="007E2006"/>
    <w:rsid w:val="007E59AB"/>
    <w:rsid w:val="007E5E02"/>
    <w:rsid w:val="007F3968"/>
    <w:rsid w:val="00801895"/>
    <w:rsid w:val="008048F2"/>
    <w:rsid w:val="00810BFF"/>
    <w:rsid w:val="00812D69"/>
    <w:rsid w:val="00813658"/>
    <w:rsid w:val="00813A75"/>
    <w:rsid w:val="008145F9"/>
    <w:rsid w:val="0082331D"/>
    <w:rsid w:val="00825F7D"/>
    <w:rsid w:val="008268B8"/>
    <w:rsid w:val="008309A9"/>
    <w:rsid w:val="008311F1"/>
    <w:rsid w:val="00831326"/>
    <w:rsid w:val="00835D45"/>
    <w:rsid w:val="00843E0C"/>
    <w:rsid w:val="008459FE"/>
    <w:rsid w:val="00845BAC"/>
    <w:rsid w:val="00846503"/>
    <w:rsid w:val="00846996"/>
    <w:rsid w:val="008539E6"/>
    <w:rsid w:val="0086064B"/>
    <w:rsid w:val="00872265"/>
    <w:rsid w:val="008732A6"/>
    <w:rsid w:val="00885C81"/>
    <w:rsid w:val="0089121E"/>
    <w:rsid w:val="00891497"/>
    <w:rsid w:val="00891A3F"/>
    <w:rsid w:val="0089347F"/>
    <w:rsid w:val="008937F7"/>
    <w:rsid w:val="008A6781"/>
    <w:rsid w:val="008B4ED4"/>
    <w:rsid w:val="008B5D34"/>
    <w:rsid w:val="008C4BFE"/>
    <w:rsid w:val="008D79CC"/>
    <w:rsid w:val="008E113E"/>
    <w:rsid w:val="008E3B7D"/>
    <w:rsid w:val="008E5761"/>
    <w:rsid w:val="008F04B2"/>
    <w:rsid w:val="008F3996"/>
    <w:rsid w:val="008F4A45"/>
    <w:rsid w:val="00901E78"/>
    <w:rsid w:val="009030CD"/>
    <w:rsid w:val="00906627"/>
    <w:rsid w:val="00910792"/>
    <w:rsid w:val="00912F15"/>
    <w:rsid w:val="009130C5"/>
    <w:rsid w:val="009138A3"/>
    <w:rsid w:val="00915628"/>
    <w:rsid w:val="00916606"/>
    <w:rsid w:val="00916F30"/>
    <w:rsid w:val="00923281"/>
    <w:rsid w:val="009254C4"/>
    <w:rsid w:val="009339ED"/>
    <w:rsid w:val="0094332F"/>
    <w:rsid w:val="009437AD"/>
    <w:rsid w:val="009440EC"/>
    <w:rsid w:val="00945A97"/>
    <w:rsid w:val="00945B45"/>
    <w:rsid w:val="009558E5"/>
    <w:rsid w:val="00955E4D"/>
    <w:rsid w:val="00960EE5"/>
    <w:rsid w:val="00961984"/>
    <w:rsid w:val="009619E8"/>
    <w:rsid w:val="00964E68"/>
    <w:rsid w:val="0096534A"/>
    <w:rsid w:val="00966FC8"/>
    <w:rsid w:val="00971849"/>
    <w:rsid w:val="00972310"/>
    <w:rsid w:val="00974AFB"/>
    <w:rsid w:val="009814FE"/>
    <w:rsid w:val="009825E6"/>
    <w:rsid w:val="0098559A"/>
    <w:rsid w:val="00987211"/>
    <w:rsid w:val="00987FB9"/>
    <w:rsid w:val="00996106"/>
    <w:rsid w:val="00997446"/>
    <w:rsid w:val="009A046B"/>
    <w:rsid w:val="009A090B"/>
    <w:rsid w:val="009A09FB"/>
    <w:rsid w:val="009A0FCB"/>
    <w:rsid w:val="009A6F70"/>
    <w:rsid w:val="009A7794"/>
    <w:rsid w:val="009B1622"/>
    <w:rsid w:val="009B2F23"/>
    <w:rsid w:val="009B3566"/>
    <w:rsid w:val="009C110F"/>
    <w:rsid w:val="009C1221"/>
    <w:rsid w:val="009C1BD8"/>
    <w:rsid w:val="009E27FB"/>
    <w:rsid w:val="009E5E7D"/>
    <w:rsid w:val="009F5572"/>
    <w:rsid w:val="009F79BD"/>
    <w:rsid w:val="00A02F78"/>
    <w:rsid w:val="00A02FC8"/>
    <w:rsid w:val="00A10167"/>
    <w:rsid w:val="00A1255B"/>
    <w:rsid w:val="00A16E98"/>
    <w:rsid w:val="00A209A1"/>
    <w:rsid w:val="00A235F4"/>
    <w:rsid w:val="00A25398"/>
    <w:rsid w:val="00A43131"/>
    <w:rsid w:val="00A46E5B"/>
    <w:rsid w:val="00A50DEE"/>
    <w:rsid w:val="00A6084D"/>
    <w:rsid w:val="00A63060"/>
    <w:rsid w:val="00A65871"/>
    <w:rsid w:val="00A67E4B"/>
    <w:rsid w:val="00A7083D"/>
    <w:rsid w:val="00A709B9"/>
    <w:rsid w:val="00A72CAE"/>
    <w:rsid w:val="00A80328"/>
    <w:rsid w:val="00A8045D"/>
    <w:rsid w:val="00A8337B"/>
    <w:rsid w:val="00A91BD9"/>
    <w:rsid w:val="00A91CC1"/>
    <w:rsid w:val="00A9707C"/>
    <w:rsid w:val="00AA5766"/>
    <w:rsid w:val="00AA76EE"/>
    <w:rsid w:val="00AB7FBE"/>
    <w:rsid w:val="00AC17DA"/>
    <w:rsid w:val="00AC3C17"/>
    <w:rsid w:val="00AC6DCC"/>
    <w:rsid w:val="00AC7C09"/>
    <w:rsid w:val="00AD034A"/>
    <w:rsid w:val="00AD658D"/>
    <w:rsid w:val="00AD7D5A"/>
    <w:rsid w:val="00AE09D7"/>
    <w:rsid w:val="00AE641F"/>
    <w:rsid w:val="00AF3930"/>
    <w:rsid w:val="00AF3B64"/>
    <w:rsid w:val="00B01325"/>
    <w:rsid w:val="00B1100C"/>
    <w:rsid w:val="00B15220"/>
    <w:rsid w:val="00B2345A"/>
    <w:rsid w:val="00B333FE"/>
    <w:rsid w:val="00B351D2"/>
    <w:rsid w:val="00B4053D"/>
    <w:rsid w:val="00B43CB4"/>
    <w:rsid w:val="00B46028"/>
    <w:rsid w:val="00B51724"/>
    <w:rsid w:val="00B52868"/>
    <w:rsid w:val="00B55EB4"/>
    <w:rsid w:val="00B700AF"/>
    <w:rsid w:val="00B72630"/>
    <w:rsid w:val="00B75C09"/>
    <w:rsid w:val="00B76BBB"/>
    <w:rsid w:val="00B86CCB"/>
    <w:rsid w:val="00B932E7"/>
    <w:rsid w:val="00B96B9B"/>
    <w:rsid w:val="00B9708F"/>
    <w:rsid w:val="00BA1A5A"/>
    <w:rsid w:val="00BB4BFB"/>
    <w:rsid w:val="00BC1849"/>
    <w:rsid w:val="00BC1FE1"/>
    <w:rsid w:val="00BC611A"/>
    <w:rsid w:val="00BC7E32"/>
    <w:rsid w:val="00BD1240"/>
    <w:rsid w:val="00BD1DEA"/>
    <w:rsid w:val="00BD2148"/>
    <w:rsid w:val="00BD5EE3"/>
    <w:rsid w:val="00BD726E"/>
    <w:rsid w:val="00BE147C"/>
    <w:rsid w:val="00BE15B0"/>
    <w:rsid w:val="00BE199F"/>
    <w:rsid w:val="00BE503A"/>
    <w:rsid w:val="00BF0AD6"/>
    <w:rsid w:val="00BF1636"/>
    <w:rsid w:val="00BF253C"/>
    <w:rsid w:val="00C01338"/>
    <w:rsid w:val="00C11569"/>
    <w:rsid w:val="00C12969"/>
    <w:rsid w:val="00C13120"/>
    <w:rsid w:val="00C141F8"/>
    <w:rsid w:val="00C15FBE"/>
    <w:rsid w:val="00C1637C"/>
    <w:rsid w:val="00C210D3"/>
    <w:rsid w:val="00C227D9"/>
    <w:rsid w:val="00C32551"/>
    <w:rsid w:val="00C326EF"/>
    <w:rsid w:val="00C33B93"/>
    <w:rsid w:val="00C40AF8"/>
    <w:rsid w:val="00C40E7F"/>
    <w:rsid w:val="00C4399D"/>
    <w:rsid w:val="00C5686D"/>
    <w:rsid w:val="00C67AED"/>
    <w:rsid w:val="00C77DE1"/>
    <w:rsid w:val="00C820E1"/>
    <w:rsid w:val="00C87BAF"/>
    <w:rsid w:val="00C87F71"/>
    <w:rsid w:val="00C91AB7"/>
    <w:rsid w:val="00C91CA4"/>
    <w:rsid w:val="00C92441"/>
    <w:rsid w:val="00CA253C"/>
    <w:rsid w:val="00CB393C"/>
    <w:rsid w:val="00CB4BBA"/>
    <w:rsid w:val="00CC5003"/>
    <w:rsid w:val="00CC6CBE"/>
    <w:rsid w:val="00CD0E34"/>
    <w:rsid w:val="00CD122B"/>
    <w:rsid w:val="00CD419C"/>
    <w:rsid w:val="00CD53F3"/>
    <w:rsid w:val="00CE004A"/>
    <w:rsid w:val="00CF3C80"/>
    <w:rsid w:val="00CF4243"/>
    <w:rsid w:val="00CF578B"/>
    <w:rsid w:val="00D00CBA"/>
    <w:rsid w:val="00D03A9E"/>
    <w:rsid w:val="00D10A76"/>
    <w:rsid w:val="00D20649"/>
    <w:rsid w:val="00D232BF"/>
    <w:rsid w:val="00D23782"/>
    <w:rsid w:val="00D261D5"/>
    <w:rsid w:val="00D26876"/>
    <w:rsid w:val="00D2717A"/>
    <w:rsid w:val="00D30CA0"/>
    <w:rsid w:val="00D37F3B"/>
    <w:rsid w:val="00D430C7"/>
    <w:rsid w:val="00D46874"/>
    <w:rsid w:val="00D5002D"/>
    <w:rsid w:val="00D5285B"/>
    <w:rsid w:val="00D55AAC"/>
    <w:rsid w:val="00D5672E"/>
    <w:rsid w:val="00D6159A"/>
    <w:rsid w:val="00D70B19"/>
    <w:rsid w:val="00D71538"/>
    <w:rsid w:val="00D72C8F"/>
    <w:rsid w:val="00D76871"/>
    <w:rsid w:val="00D775E1"/>
    <w:rsid w:val="00D81AED"/>
    <w:rsid w:val="00D86BBD"/>
    <w:rsid w:val="00D91F25"/>
    <w:rsid w:val="00D928CC"/>
    <w:rsid w:val="00D9320D"/>
    <w:rsid w:val="00D94D18"/>
    <w:rsid w:val="00DA1CE2"/>
    <w:rsid w:val="00DA4180"/>
    <w:rsid w:val="00DA707D"/>
    <w:rsid w:val="00DA78BF"/>
    <w:rsid w:val="00DB23CB"/>
    <w:rsid w:val="00DB286C"/>
    <w:rsid w:val="00DB726D"/>
    <w:rsid w:val="00DC15BC"/>
    <w:rsid w:val="00DC5E69"/>
    <w:rsid w:val="00DD2B20"/>
    <w:rsid w:val="00DD451C"/>
    <w:rsid w:val="00DD5AF2"/>
    <w:rsid w:val="00DD5D3B"/>
    <w:rsid w:val="00DE0EA6"/>
    <w:rsid w:val="00DE6883"/>
    <w:rsid w:val="00DE79A9"/>
    <w:rsid w:val="00DF03F7"/>
    <w:rsid w:val="00DF501F"/>
    <w:rsid w:val="00DF758C"/>
    <w:rsid w:val="00E015C1"/>
    <w:rsid w:val="00E0249E"/>
    <w:rsid w:val="00E0287F"/>
    <w:rsid w:val="00E03C17"/>
    <w:rsid w:val="00E06D8A"/>
    <w:rsid w:val="00E15C31"/>
    <w:rsid w:val="00E218D8"/>
    <w:rsid w:val="00E3207D"/>
    <w:rsid w:val="00E3518E"/>
    <w:rsid w:val="00E36874"/>
    <w:rsid w:val="00E47B2A"/>
    <w:rsid w:val="00E51007"/>
    <w:rsid w:val="00E52C4D"/>
    <w:rsid w:val="00E549E8"/>
    <w:rsid w:val="00E65FC3"/>
    <w:rsid w:val="00E7034D"/>
    <w:rsid w:val="00E70CBB"/>
    <w:rsid w:val="00E70E95"/>
    <w:rsid w:val="00E74671"/>
    <w:rsid w:val="00E83E21"/>
    <w:rsid w:val="00E84144"/>
    <w:rsid w:val="00E84747"/>
    <w:rsid w:val="00E85CD2"/>
    <w:rsid w:val="00E87CF2"/>
    <w:rsid w:val="00E939C5"/>
    <w:rsid w:val="00E9498E"/>
    <w:rsid w:val="00EA21BD"/>
    <w:rsid w:val="00EA3B63"/>
    <w:rsid w:val="00EA3F5C"/>
    <w:rsid w:val="00EA4025"/>
    <w:rsid w:val="00EA6CD5"/>
    <w:rsid w:val="00EB23F2"/>
    <w:rsid w:val="00EB397B"/>
    <w:rsid w:val="00EB5F3D"/>
    <w:rsid w:val="00EC2D34"/>
    <w:rsid w:val="00EC37F9"/>
    <w:rsid w:val="00EC53AA"/>
    <w:rsid w:val="00EC563C"/>
    <w:rsid w:val="00EC6728"/>
    <w:rsid w:val="00ED08CE"/>
    <w:rsid w:val="00ED3F49"/>
    <w:rsid w:val="00ED5F21"/>
    <w:rsid w:val="00EE2991"/>
    <w:rsid w:val="00EE48DC"/>
    <w:rsid w:val="00EE75A7"/>
    <w:rsid w:val="00EF0720"/>
    <w:rsid w:val="00EF15AE"/>
    <w:rsid w:val="00EF2673"/>
    <w:rsid w:val="00EF4F90"/>
    <w:rsid w:val="00EF6F21"/>
    <w:rsid w:val="00EF7A07"/>
    <w:rsid w:val="00F01183"/>
    <w:rsid w:val="00F053DE"/>
    <w:rsid w:val="00F064FA"/>
    <w:rsid w:val="00F1659C"/>
    <w:rsid w:val="00F2136C"/>
    <w:rsid w:val="00F21E31"/>
    <w:rsid w:val="00F21E52"/>
    <w:rsid w:val="00F2430D"/>
    <w:rsid w:val="00F26E47"/>
    <w:rsid w:val="00F30638"/>
    <w:rsid w:val="00F350F6"/>
    <w:rsid w:val="00F358E4"/>
    <w:rsid w:val="00F36DBA"/>
    <w:rsid w:val="00F36EAD"/>
    <w:rsid w:val="00F37B86"/>
    <w:rsid w:val="00F37CD2"/>
    <w:rsid w:val="00F42B6F"/>
    <w:rsid w:val="00F4600F"/>
    <w:rsid w:val="00F47AF1"/>
    <w:rsid w:val="00F47E00"/>
    <w:rsid w:val="00F50918"/>
    <w:rsid w:val="00F5638E"/>
    <w:rsid w:val="00F616E7"/>
    <w:rsid w:val="00F61D5A"/>
    <w:rsid w:val="00F63D53"/>
    <w:rsid w:val="00F6491B"/>
    <w:rsid w:val="00F6678C"/>
    <w:rsid w:val="00F672CF"/>
    <w:rsid w:val="00F72019"/>
    <w:rsid w:val="00F77C6A"/>
    <w:rsid w:val="00F8095C"/>
    <w:rsid w:val="00F85B12"/>
    <w:rsid w:val="00F879EB"/>
    <w:rsid w:val="00F94815"/>
    <w:rsid w:val="00F96669"/>
    <w:rsid w:val="00FA3799"/>
    <w:rsid w:val="00FB0F53"/>
    <w:rsid w:val="00FB4C4F"/>
    <w:rsid w:val="00FB7967"/>
    <w:rsid w:val="00FD012F"/>
    <w:rsid w:val="00FD3D28"/>
    <w:rsid w:val="00FE1B5B"/>
    <w:rsid w:val="00FE2091"/>
    <w:rsid w:val="00FE57F1"/>
    <w:rsid w:val="00FF2094"/>
    <w:rsid w:val="00FF306E"/>
    <w:rsid w:val="00FF34C1"/>
    <w:rsid w:val="00FF44F0"/>
    <w:rsid w:val="00FF4646"/>
    <w:rsid w:val="00FF6E43"/>
    <w:rsid w:val="00FF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F3B00"/>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1569"/>
    <w:pPr>
      <w:widowControl w:val="0"/>
      <w:autoSpaceDE w:val="0"/>
      <w:autoSpaceDN w:val="0"/>
      <w:adjustRightInd w:val="0"/>
    </w:pPr>
    <w:rPr>
      <w:rFonts w:ascii="Arial" w:hAnsi="Arial" w:cs="Arial"/>
      <w:color w:val="000000"/>
      <w:sz w:val="24"/>
      <w:szCs w:val="24"/>
      <w:lang w:val="fr-FR" w:eastAsia="fr-FR"/>
    </w:rPr>
  </w:style>
  <w:style w:type="paragraph" w:styleId="BalloonText">
    <w:name w:val="Balloon Text"/>
    <w:basedOn w:val="Normal"/>
    <w:link w:val="BalloonTextChar"/>
    <w:rsid w:val="00FF6F44"/>
    <w:pPr>
      <w:spacing w:before="0" w:after="0"/>
    </w:pPr>
    <w:rPr>
      <w:rFonts w:ascii="Tahoma" w:hAnsi="Tahoma" w:cs="Tahoma"/>
      <w:sz w:val="16"/>
      <w:szCs w:val="16"/>
    </w:rPr>
  </w:style>
  <w:style w:type="character" w:customStyle="1" w:styleId="BalloonTextChar">
    <w:name w:val="Balloon Text Char"/>
    <w:link w:val="BalloonText"/>
    <w:rsid w:val="00FF6F44"/>
    <w:rPr>
      <w:rFonts w:ascii="Tahoma" w:hAnsi="Tahoma" w:cs="Tahoma"/>
      <w:sz w:val="16"/>
      <w:szCs w:val="16"/>
      <w:lang w:val="fr-FR" w:eastAsia="fr-FR"/>
    </w:rPr>
  </w:style>
  <w:style w:type="paragraph" w:styleId="ListParagraph">
    <w:name w:val="List Paragraph"/>
    <w:basedOn w:val="Normal"/>
    <w:uiPriority w:val="34"/>
    <w:qFormat/>
    <w:rsid w:val="008E57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F3B00"/>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1569"/>
    <w:pPr>
      <w:widowControl w:val="0"/>
      <w:autoSpaceDE w:val="0"/>
      <w:autoSpaceDN w:val="0"/>
      <w:adjustRightInd w:val="0"/>
    </w:pPr>
    <w:rPr>
      <w:rFonts w:ascii="Arial" w:hAnsi="Arial" w:cs="Arial"/>
      <w:color w:val="000000"/>
      <w:sz w:val="24"/>
      <w:szCs w:val="24"/>
      <w:lang w:val="fr-FR" w:eastAsia="fr-FR"/>
    </w:rPr>
  </w:style>
  <w:style w:type="paragraph" w:styleId="BalloonText">
    <w:name w:val="Balloon Text"/>
    <w:basedOn w:val="Normal"/>
    <w:link w:val="BalloonTextChar"/>
    <w:rsid w:val="00FF6F44"/>
    <w:pPr>
      <w:spacing w:before="0" w:after="0"/>
    </w:pPr>
    <w:rPr>
      <w:rFonts w:ascii="Tahoma" w:hAnsi="Tahoma" w:cs="Tahoma"/>
      <w:sz w:val="16"/>
      <w:szCs w:val="16"/>
    </w:rPr>
  </w:style>
  <w:style w:type="character" w:customStyle="1" w:styleId="BalloonTextChar">
    <w:name w:val="Balloon Text Char"/>
    <w:link w:val="BalloonText"/>
    <w:rsid w:val="00FF6F44"/>
    <w:rPr>
      <w:rFonts w:ascii="Tahoma" w:hAnsi="Tahoma" w:cs="Tahoma"/>
      <w:sz w:val="16"/>
      <w:szCs w:val="16"/>
      <w:lang w:val="fr-FR" w:eastAsia="fr-FR"/>
    </w:rPr>
  </w:style>
  <w:style w:type="paragraph" w:styleId="ListParagraph">
    <w:name w:val="List Paragraph"/>
    <w:basedOn w:val="Normal"/>
    <w:uiPriority w:val="34"/>
    <w:qFormat/>
    <w:rsid w:val="008E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91264300">
      <w:bodyDiv w:val="1"/>
      <w:marLeft w:val="0"/>
      <w:marRight w:val="0"/>
      <w:marTop w:val="0"/>
      <w:marBottom w:val="0"/>
      <w:divBdr>
        <w:top w:val="none" w:sz="0" w:space="0" w:color="auto"/>
        <w:left w:val="none" w:sz="0" w:space="0" w:color="auto"/>
        <w:bottom w:val="none" w:sz="0" w:space="0" w:color="auto"/>
        <w:right w:val="none" w:sz="0" w:space="0" w:color="auto"/>
      </w:divBdr>
    </w:div>
    <w:div w:id="579481634">
      <w:bodyDiv w:val="1"/>
      <w:marLeft w:val="0"/>
      <w:marRight w:val="0"/>
      <w:marTop w:val="0"/>
      <w:marBottom w:val="0"/>
      <w:divBdr>
        <w:top w:val="none" w:sz="0" w:space="0" w:color="auto"/>
        <w:left w:val="none" w:sz="0" w:space="0" w:color="auto"/>
        <w:bottom w:val="none" w:sz="0" w:space="0" w:color="auto"/>
        <w:right w:val="none" w:sz="0" w:space="0" w:color="auto"/>
      </w:divBdr>
    </w:div>
    <w:div w:id="615219087">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39193729">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973365933">
      <w:bodyDiv w:val="1"/>
      <w:marLeft w:val="0"/>
      <w:marRight w:val="0"/>
      <w:marTop w:val="0"/>
      <w:marBottom w:val="0"/>
      <w:divBdr>
        <w:top w:val="none" w:sz="0" w:space="0" w:color="auto"/>
        <w:left w:val="none" w:sz="0" w:space="0" w:color="auto"/>
        <w:bottom w:val="none" w:sz="0" w:space="0" w:color="auto"/>
        <w:right w:val="none" w:sz="0" w:space="0" w:color="auto"/>
      </w:divBdr>
    </w:div>
    <w:div w:id="1003971376">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290239025">
      <w:bodyDiv w:val="1"/>
      <w:marLeft w:val="0"/>
      <w:marRight w:val="0"/>
      <w:marTop w:val="0"/>
      <w:marBottom w:val="0"/>
      <w:divBdr>
        <w:top w:val="none" w:sz="0" w:space="0" w:color="auto"/>
        <w:left w:val="none" w:sz="0" w:space="0" w:color="auto"/>
        <w:bottom w:val="none" w:sz="0" w:space="0" w:color="auto"/>
        <w:right w:val="none" w:sz="0" w:space="0" w:color="auto"/>
      </w:divBdr>
    </w:div>
    <w:div w:id="1306810451">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457681871">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508057861">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565525408">
      <w:bodyDiv w:val="1"/>
      <w:marLeft w:val="0"/>
      <w:marRight w:val="0"/>
      <w:marTop w:val="0"/>
      <w:marBottom w:val="0"/>
      <w:divBdr>
        <w:top w:val="none" w:sz="0" w:space="0" w:color="auto"/>
        <w:left w:val="none" w:sz="0" w:space="0" w:color="auto"/>
        <w:bottom w:val="none" w:sz="0" w:space="0" w:color="auto"/>
        <w:right w:val="none" w:sz="0" w:space="0" w:color="auto"/>
      </w:divBdr>
    </w:div>
    <w:div w:id="1583836277">
      <w:bodyDiv w:val="1"/>
      <w:marLeft w:val="0"/>
      <w:marRight w:val="0"/>
      <w:marTop w:val="0"/>
      <w:marBottom w:val="0"/>
      <w:divBdr>
        <w:top w:val="none" w:sz="0" w:space="0" w:color="auto"/>
        <w:left w:val="none" w:sz="0" w:space="0" w:color="auto"/>
        <w:bottom w:val="none" w:sz="0" w:space="0" w:color="auto"/>
        <w:right w:val="none" w:sz="0" w:space="0" w:color="auto"/>
      </w:divBdr>
      <w:divsChild>
        <w:div w:id="1267618417">
          <w:marLeft w:val="0"/>
          <w:marRight w:val="0"/>
          <w:marTop w:val="0"/>
          <w:marBottom w:val="0"/>
          <w:divBdr>
            <w:top w:val="none" w:sz="0" w:space="0" w:color="auto"/>
            <w:left w:val="none" w:sz="0" w:space="0" w:color="auto"/>
            <w:bottom w:val="none" w:sz="0" w:space="0" w:color="auto"/>
            <w:right w:val="none" w:sz="0" w:space="0" w:color="auto"/>
          </w:divBdr>
          <w:divsChild>
            <w:div w:id="16427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26637126">
      <w:bodyDiv w:val="1"/>
      <w:marLeft w:val="0"/>
      <w:marRight w:val="0"/>
      <w:marTop w:val="0"/>
      <w:marBottom w:val="0"/>
      <w:divBdr>
        <w:top w:val="none" w:sz="0" w:space="0" w:color="auto"/>
        <w:left w:val="none" w:sz="0" w:space="0" w:color="auto"/>
        <w:bottom w:val="none" w:sz="0" w:space="0" w:color="auto"/>
        <w:right w:val="none" w:sz="0" w:space="0" w:color="auto"/>
      </w:divBdr>
    </w:div>
    <w:div w:id="1740060421">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 w:id="20969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EDC35-6F23-4641-A401-C67FDCE2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Template>
  <TotalTime>0</TotalTime>
  <Pages>8</Pages>
  <Words>1867</Words>
  <Characters>10402</Characters>
  <Application>Microsoft Office Word</Application>
  <DocSecurity>4</DocSecurity>
  <PresentationFormat>Microsoft Word 11.0</PresentationFormat>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RYAN</dc:creator>
  <cp:keywords>EL4</cp:keywords>
  <cp:lastModifiedBy>Megane D'anna</cp:lastModifiedBy>
  <cp:revision>2</cp:revision>
  <cp:lastPrinted>2014-03-28T09:38:00Z</cp:lastPrinted>
  <dcterms:created xsi:type="dcterms:W3CDTF">2014-03-28T13:28:00Z</dcterms:created>
  <dcterms:modified xsi:type="dcterms:W3CDTF">2014-03-28T13:28:00Z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