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310" w:rsidRPr="00021B01" w:rsidRDefault="0070486A" w:rsidP="00FE234A">
      <w:pPr>
        <w:pStyle w:val="ZCom"/>
        <w:ind w:left="6379"/>
        <w:jc w:val="left"/>
        <w:rPr>
          <w:color w:val="0000FF"/>
          <w:sz w:val="18"/>
          <w:szCs w:val="18"/>
        </w:rPr>
      </w:pPr>
      <w:bookmarkStart w:id="0" w:name="_GoBack"/>
      <w:bookmarkEnd w:id="0"/>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05pt;margin-top:30.6pt;width:243pt;height:66.2pt;z-index:251658240">
            <v:imagedata r:id="rId8" o:title=""/>
            <w10:wrap type="topAndBottom"/>
          </v:shape>
          <o:OLEObject Type="Embed" ProgID="MSPhotoEd.3" ShapeID="_x0000_s1026" DrawAspect="Content" ObjectID="_1447322117" r:id="rId9"/>
        </w:pict>
      </w:r>
      <w:r w:rsidR="00EB1E93">
        <w:rPr>
          <w:color w:val="0000FF"/>
          <w:sz w:val="28"/>
          <w:szCs w:val="28"/>
        </w:rPr>
        <w:t xml:space="preserve">Écoles  </w:t>
      </w:r>
      <w:r w:rsidR="00205965">
        <w:rPr>
          <w:color w:val="0000FF"/>
          <w:sz w:val="28"/>
          <w:szCs w:val="28"/>
        </w:rPr>
        <w:t>europ</w:t>
      </w:r>
      <w:r w:rsidR="00D20310" w:rsidRPr="00021B01">
        <w:rPr>
          <w:color w:val="0000FF"/>
          <w:sz w:val="28"/>
          <w:szCs w:val="28"/>
        </w:rPr>
        <w:t>éennes</w:t>
      </w:r>
      <w:r w:rsidR="00D20310">
        <w:tab/>
      </w:r>
      <w:r w:rsidR="00D20310">
        <w:tab/>
      </w:r>
      <w:r w:rsidR="00D20310">
        <w:tab/>
      </w:r>
      <w:r w:rsidR="00D20310">
        <w:tab/>
      </w:r>
    </w:p>
    <w:p w:rsidR="00EB1E93" w:rsidRDefault="00EB1E93" w:rsidP="00BF6205">
      <w:pPr>
        <w:spacing w:after="0" w:line="240" w:lineRule="auto"/>
        <w:jc w:val="center"/>
        <w:rPr>
          <w:rFonts w:ascii="Times New Roman" w:hAnsi="Times New Roman" w:cs="Times New Roman"/>
          <w:b/>
          <w:sz w:val="24"/>
          <w:szCs w:val="24"/>
          <w:lang w:val="fr-FR"/>
        </w:rPr>
      </w:pPr>
    </w:p>
    <w:p w:rsidR="008771E8" w:rsidRDefault="008771E8" w:rsidP="00EB1E93">
      <w:pPr>
        <w:spacing w:after="0" w:line="240" w:lineRule="auto"/>
        <w:jc w:val="center"/>
        <w:rPr>
          <w:rFonts w:ascii="Times New Roman" w:hAnsi="Times New Roman" w:cs="Times New Roman"/>
          <w:sz w:val="24"/>
          <w:szCs w:val="24"/>
          <w:lang w:val="fr-FR"/>
        </w:rPr>
      </w:pPr>
    </w:p>
    <w:p w:rsidR="004D54EA" w:rsidRPr="004D54EA" w:rsidRDefault="004D54EA" w:rsidP="004D54EA">
      <w:pPr>
        <w:spacing w:after="120" w:line="240" w:lineRule="auto"/>
        <w:rPr>
          <w:rFonts w:ascii="Arial" w:eastAsia="Times New Roman" w:hAnsi="Arial" w:cs="Arial"/>
          <w:b/>
          <w:sz w:val="24"/>
          <w:szCs w:val="24"/>
          <w:lang w:val="fr-FR" w:eastAsia="fr-FR"/>
        </w:rPr>
      </w:pPr>
      <w:r w:rsidRPr="004D54EA">
        <w:rPr>
          <w:rFonts w:ascii="Arial" w:eastAsia="Times New Roman" w:hAnsi="Arial" w:cs="Arial"/>
          <w:b/>
          <w:sz w:val="24"/>
          <w:szCs w:val="24"/>
          <w:lang w:val="fr-FR" w:eastAsia="fr-FR"/>
        </w:rPr>
        <w:t xml:space="preserve">Réf. : </w:t>
      </w:r>
      <w:r w:rsidRPr="00652C03">
        <w:rPr>
          <w:rFonts w:ascii="Arial" w:eastAsia="Times New Roman" w:hAnsi="Arial" w:cs="Arial"/>
          <w:b/>
          <w:sz w:val="24"/>
          <w:szCs w:val="24"/>
          <w:lang w:val="fr-FR" w:eastAsia="fr-FR"/>
        </w:rPr>
        <w:t>2013-</w:t>
      </w:r>
      <w:r w:rsidR="00652C03" w:rsidRPr="00652C03">
        <w:rPr>
          <w:rFonts w:ascii="Arial" w:eastAsia="Times New Roman" w:hAnsi="Arial" w:cs="Arial"/>
          <w:b/>
          <w:sz w:val="24"/>
          <w:szCs w:val="24"/>
          <w:lang w:val="fr-FR" w:eastAsia="fr-FR"/>
        </w:rPr>
        <w:t>11-D-12-fr</w:t>
      </w:r>
      <w:r w:rsidR="009E7705">
        <w:rPr>
          <w:rFonts w:ascii="Arial" w:eastAsia="Times New Roman" w:hAnsi="Arial" w:cs="Arial"/>
          <w:b/>
          <w:sz w:val="24"/>
          <w:szCs w:val="24"/>
          <w:lang w:val="fr-FR" w:eastAsia="fr-FR"/>
        </w:rPr>
        <w:t>-1</w:t>
      </w:r>
    </w:p>
    <w:p w:rsidR="004D54EA" w:rsidRPr="004D54EA" w:rsidRDefault="004D54EA" w:rsidP="004D54EA">
      <w:pPr>
        <w:spacing w:after="0" w:line="240" w:lineRule="auto"/>
        <w:rPr>
          <w:rFonts w:ascii="Arial" w:eastAsia="Times New Roman" w:hAnsi="Arial" w:cs="Arial"/>
          <w:b/>
          <w:sz w:val="24"/>
          <w:szCs w:val="24"/>
          <w:lang w:val="fr-FR" w:eastAsia="fr-FR"/>
        </w:rPr>
      </w:pPr>
      <w:r w:rsidRPr="004D54EA">
        <w:rPr>
          <w:rFonts w:ascii="Arial" w:eastAsia="Times New Roman" w:hAnsi="Arial" w:cs="Arial"/>
          <w:b/>
          <w:sz w:val="24"/>
          <w:szCs w:val="24"/>
          <w:lang w:val="fr-FR" w:eastAsia="fr-FR"/>
        </w:rPr>
        <w:t xml:space="preserve">Original : FR </w:t>
      </w:r>
    </w:p>
    <w:p w:rsidR="004D54EA" w:rsidRPr="004D54EA" w:rsidRDefault="004D54EA" w:rsidP="004D54EA">
      <w:pPr>
        <w:pBdr>
          <w:bottom w:val="single" w:sz="4" w:space="0" w:color="auto"/>
        </w:pBdr>
        <w:spacing w:before="3120" w:after="0" w:line="240" w:lineRule="auto"/>
        <w:jc w:val="both"/>
        <w:outlineLvl w:val="0"/>
        <w:rPr>
          <w:rFonts w:ascii="Arial" w:eastAsia="Times" w:hAnsi="Arial" w:cs="Arial"/>
          <w:b/>
          <w:kern w:val="28"/>
          <w:sz w:val="36"/>
          <w:szCs w:val="36"/>
          <w:lang w:val="fr-FR" w:eastAsia="fr-FR" w:bidi="fr-FR"/>
        </w:rPr>
      </w:pPr>
      <w:r w:rsidRPr="004D54EA">
        <w:rPr>
          <w:rFonts w:ascii="Arial" w:eastAsia="Times" w:hAnsi="Arial" w:cs="Arial"/>
          <w:b/>
          <w:kern w:val="28"/>
          <w:sz w:val="36"/>
          <w:szCs w:val="36"/>
          <w:lang w:val="fr-FR" w:eastAsia="fr-FR" w:bidi="fr-FR"/>
        </w:rPr>
        <w:t>GROUPE DE TRAVAIL SUR LA PROTECTION JURIDI</w:t>
      </w:r>
      <w:r w:rsidR="00B456CC">
        <w:rPr>
          <w:rFonts w:ascii="Arial" w:eastAsia="Times" w:hAnsi="Arial" w:cs="Arial"/>
          <w:b/>
          <w:kern w:val="28"/>
          <w:sz w:val="36"/>
          <w:szCs w:val="36"/>
          <w:lang w:val="fr-FR" w:eastAsia="fr-FR" w:bidi="fr-FR"/>
        </w:rPr>
        <w:t xml:space="preserve">CTIONNELLE </w:t>
      </w:r>
    </w:p>
    <w:p w:rsidR="004D54EA" w:rsidRPr="004D54EA" w:rsidRDefault="004D54EA" w:rsidP="004D54EA">
      <w:pPr>
        <w:spacing w:before="240" w:after="360" w:line="240" w:lineRule="auto"/>
        <w:jc w:val="both"/>
        <w:rPr>
          <w:rFonts w:ascii="Arial" w:eastAsia="Times" w:hAnsi="Arial" w:cs="Times New Roman"/>
          <w:b/>
          <w:sz w:val="24"/>
          <w:szCs w:val="20"/>
          <w:lang w:val="fr-FR" w:eastAsia="fr-BE"/>
        </w:rPr>
      </w:pPr>
      <w:r w:rsidRPr="004D54EA">
        <w:rPr>
          <w:rFonts w:ascii="Arial" w:eastAsia="Times" w:hAnsi="Arial" w:cs="Times New Roman"/>
          <w:b/>
          <w:sz w:val="24"/>
          <w:szCs w:val="20"/>
          <w:lang w:val="fr-FR" w:eastAsia="fr-BE"/>
        </w:rPr>
        <w:t>CONSEIL SUPERIEUR DES ECOLES EUROPEENNES</w:t>
      </w:r>
    </w:p>
    <w:p w:rsidR="004D54EA" w:rsidRPr="004D54EA" w:rsidRDefault="004D54EA" w:rsidP="004D54EA">
      <w:pPr>
        <w:pBdr>
          <w:bottom w:val="single" w:sz="4" w:space="1" w:color="auto"/>
        </w:pBdr>
        <w:spacing w:before="720" w:after="360" w:line="240" w:lineRule="auto"/>
        <w:jc w:val="both"/>
        <w:rPr>
          <w:rFonts w:ascii="Arial" w:eastAsia="Times" w:hAnsi="Arial" w:cs="Times New Roman"/>
          <w:sz w:val="24"/>
          <w:szCs w:val="20"/>
          <w:lang w:val="fr-FR" w:eastAsia="fr-BE"/>
        </w:rPr>
      </w:pPr>
      <w:r w:rsidRPr="004D54EA">
        <w:rPr>
          <w:rFonts w:ascii="Arial" w:eastAsia="Times" w:hAnsi="Arial" w:cs="Times New Roman"/>
          <w:sz w:val="24"/>
          <w:szCs w:val="20"/>
          <w:lang w:val="fr-FR" w:eastAsia="fr-BE"/>
        </w:rPr>
        <w:t>Réunion des 3, 4 et 5 décembre 2013 – Bruxelles</w:t>
      </w:r>
    </w:p>
    <w:p w:rsidR="00424209" w:rsidRDefault="00424209" w:rsidP="008771E8">
      <w:pPr>
        <w:outlineLvl w:val="0"/>
        <w:rPr>
          <w:rFonts w:ascii="Arial" w:hAnsi="Arial" w:cs="Arial"/>
          <w:b/>
          <w:sz w:val="28"/>
          <w:szCs w:val="28"/>
          <w:lang w:val="fr-FR"/>
        </w:rPr>
      </w:pPr>
    </w:p>
    <w:p w:rsidR="00424209" w:rsidRDefault="00424209" w:rsidP="008771E8">
      <w:pPr>
        <w:outlineLvl w:val="0"/>
        <w:rPr>
          <w:rFonts w:ascii="Arial" w:hAnsi="Arial" w:cs="Arial"/>
          <w:b/>
          <w:sz w:val="28"/>
          <w:szCs w:val="28"/>
          <w:lang w:val="fr-FR"/>
        </w:rPr>
      </w:pPr>
    </w:p>
    <w:p w:rsidR="00424209" w:rsidRDefault="00424209" w:rsidP="007024CA">
      <w:pPr>
        <w:jc w:val="center"/>
        <w:outlineLvl w:val="0"/>
        <w:rPr>
          <w:rFonts w:ascii="Arial" w:hAnsi="Arial" w:cs="Arial"/>
          <w:b/>
          <w:sz w:val="28"/>
          <w:szCs w:val="28"/>
          <w:lang w:val="fr-FR"/>
        </w:rPr>
      </w:pPr>
    </w:p>
    <w:p w:rsidR="00852C61" w:rsidRDefault="00852C61" w:rsidP="007024CA">
      <w:pPr>
        <w:jc w:val="center"/>
        <w:outlineLvl w:val="0"/>
        <w:rPr>
          <w:rFonts w:ascii="Arial" w:hAnsi="Arial" w:cs="Arial"/>
          <w:b/>
          <w:sz w:val="28"/>
          <w:szCs w:val="28"/>
          <w:lang w:val="fr-FR"/>
        </w:rPr>
      </w:pPr>
    </w:p>
    <w:p w:rsidR="007024CA" w:rsidRDefault="007024CA" w:rsidP="007024CA">
      <w:pPr>
        <w:jc w:val="center"/>
        <w:outlineLvl w:val="0"/>
        <w:rPr>
          <w:rFonts w:ascii="Arial" w:hAnsi="Arial" w:cs="Arial"/>
          <w:sz w:val="28"/>
          <w:szCs w:val="28"/>
          <w:lang w:val="fr-FR"/>
        </w:rPr>
      </w:pPr>
    </w:p>
    <w:p w:rsidR="00852C61" w:rsidRDefault="00852C61" w:rsidP="007024CA">
      <w:pPr>
        <w:jc w:val="center"/>
        <w:outlineLvl w:val="0"/>
        <w:rPr>
          <w:rFonts w:ascii="Arial" w:hAnsi="Arial" w:cs="Arial"/>
          <w:sz w:val="28"/>
          <w:szCs w:val="28"/>
          <w:lang w:val="fr-FR"/>
        </w:rPr>
      </w:pPr>
    </w:p>
    <w:p w:rsidR="00424209" w:rsidRDefault="00424209" w:rsidP="007024CA">
      <w:pPr>
        <w:jc w:val="center"/>
        <w:outlineLvl w:val="0"/>
        <w:rPr>
          <w:rFonts w:ascii="Arial" w:hAnsi="Arial" w:cs="Arial"/>
          <w:sz w:val="28"/>
          <w:szCs w:val="28"/>
          <w:lang w:val="fr-FR"/>
        </w:rPr>
      </w:pPr>
    </w:p>
    <w:p w:rsidR="00652C03" w:rsidRDefault="00652C03" w:rsidP="005A5946">
      <w:pPr>
        <w:jc w:val="both"/>
        <w:outlineLvl w:val="0"/>
        <w:rPr>
          <w:rFonts w:ascii="Arial" w:hAnsi="Arial" w:cs="Arial"/>
          <w:sz w:val="24"/>
          <w:szCs w:val="24"/>
          <w:lang w:val="fr-FR"/>
        </w:rPr>
      </w:pPr>
    </w:p>
    <w:p w:rsidR="00652C03" w:rsidRDefault="00652C03" w:rsidP="005A5946">
      <w:pPr>
        <w:jc w:val="both"/>
        <w:outlineLvl w:val="0"/>
        <w:rPr>
          <w:rFonts w:ascii="Arial" w:hAnsi="Arial" w:cs="Arial"/>
          <w:sz w:val="24"/>
          <w:szCs w:val="24"/>
          <w:lang w:val="fr-FR"/>
        </w:rPr>
      </w:pPr>
    </w:p>
    <w:p w:rsidR="00652C03" w:rsidRDefault="00652C03" w:rsidP="005A5946">
      <w:pPr>
        <w:jc w:val="both"/>
        <w:outlineLvl w:val="0"/>
        <w:rPr>
          <w:rFonts w:ascii="Arial" w:hAnsi="Arial" w:cs="Arial"/>
          <w:sz w:val="24"/>
          <w:szCs w:val="24"/>
          <w:lang w:val="fr-FR"/>
        </w:rPr>
      </w:pPr>
    </w:p>
    <w:p w:rsidR="005A5946" w:rsidRPr="00652C03" w:rsidRDefault="005A5946" w:rsidP="005A5946">
      <w:pPr>
        <w:jc w:val="both"/>
        <w:outlineLvl w:val="0"/>
        <w:rPr>
          <w:rFonts w:ascii="Arial" w:hAnsi="Arial" w:cs="Arial"/>
          <w:sz w:val="24"/>
          <w:szCs w:val="24"/>
          <w:lang w:val="fr-FR"/>
        </w:rPr>
      </w:pPr>
      <w:r w:rsidRPr="00652C03">
        <w:rPr>
          <w:rFonts w:ascii="Arial" w:hAnsi="Arial" w:cs="Arial"/>
          <w:sz w:val="24"/>
          <w:szCs w:val="24"/>
          <w:lang w:val="fr-FR"/>
        </w:rPr>
        <w:t>Lors de sa réunion des 16-18 avril 2013, le Conseil supérieur des écoles européennes</w:t>
      </w:r>
      <w:r w:rsidR="00BF0944" w:rsidRPr="00652C03">
        <w:rPr>
          <w:rFonts w:ascii="Arial" w:hAnsi="Arial" w:cs="Arial"/>
          <w:sz w:val="24"/>
          <w:szCs w:val="24"/>
          <w:lang w:val="fr-FR"/>
        </w:rPr>
        <w:t>, faisant suite à une demande de la Commission européenne tendant à ce que soit porté à l'ordre du jour un point de débat consacré au fonctionnement de la Chambre de recours,</w:t>
      </w:r>
      <w:r w:rsidRPr="00652C03">
        <w:rPr>
          <w:rFonts w:ascii="Arial" w:hAnsi="Arial" w:cs="Arial"/>
          <w:sz w:val="24"/>
          <w:szCs w:val="24"/>
          <w:lang w:val="fr-FR"/>
        </w:rPr>
        <w:t xml:space="preserve"> a donné mandat à un groupe de travail ad hoc de lui soumettre dès que possible une proposition sur la manière de renforcer la protection juridique dans le système des écoles européennes.</w:t>
      </w:r>
    </w:p>
    <w:p w:rsidR="00424209" w:rsidRPr="00652C03" w:rsidRDefault="005A5946" w:rsidP="005A5946">
      <w:pPr>
        <w:jc w:val="both"/>
        <w:outlineLvl w:val="0"/>
        <w:rPr>
          <w:rFonts w:ascii="Arial" w:hAnsi="Arial" w:cs="Arial"/>
          <w:sz w:val="24"/>
          <w:szCs w:val="24"/>
          <w:lang w:val="fr-FR"/>
        </w:rPr>
      </w:pPr>
      <w:r w:rsidRPr="00652C03">
        <w:rPr>
          <w:rFonts w:ascii="Arial" w:hAnsi="Arial" w:cs="Arial"/>
          <w:sz w:val="24"/>
          <w:szCs w:val="24"/>
          <w:lang w:val="fr-FR"/>
        </w:rPr>
        <w:t xml:space="preserve">Ce groupe de travail a été installé à l'initiative de M. Kari Kivinen, Secrétaire général des écoles européennes, le 15 octobre 2013. </w:t>
      </w:r>
    </w:p>
    <w:p w:rsidR="00BF0944" w:rsidRPr="00652C03" w:rsidRDefault="00BF0944" w:rsidP="005A5946">
      <w:pPr>
        <w:jc w:val="both"/>
        <w:outlineLvl w:val="0"/>
        <w:rPr>
          <w:rFonts w:ascii="Arial" w:hAnsi="Arial" w:cs="Arial"/>
          <w:sz w:val="24"/>
          <w:szCs w:val="24"/>
          <w:lang w:val="fr-FR"/>
        </w:rPr>
      </w:pPr>
      <w:r w:rsidRPr="00652C03">
        <w:rPr>
          <w:rFonts w:ascii="Arial" w:hAnsi="Arial" w:cs="Arial"/>
          <w:sz w:val="24"/>
          <w:szCs w:val="24"/>
          <w:lang w:val="fr-FR"/>
        </w:rPr>
        <w:t>E</w:t>
      </w:r>
      <w:r w:rsidR="005A5946" w:rsidRPr="00652C03">
        <w:rPr>
          <w:rFonts w:ascii="Arial" w:hAnsi="Arial" w:cs="Arial"/>
          <w:sz w:val="24"/>
          <w:szCs w:val="24"/>
          <w:lang w:val="fr-FR"/>
        </w:rPr>
        <w:t xml:space="preserve">taient présents </w:t>
      </w:r>
      <w:r w:rsidRPr="00652C03">
        <w:rPr>
          <w:rFonts w:ascii="Arial" w:hAnsi="Arial" w:cs="Arial"/>
          <w:sz w:val="24"/>
          <w:szCs w:val="24"/>
          <w:lang w:val="fr-FR"/>
        </w:rPr>
        <w:t>lors de cette pr</w:t>
      </w:r>
      <w:r w:rsidR="00852C61" w:rsidRPr="00652C03">
        <w:rPr>
          <w:rFonts w:ascii="Arial" w:hAnsi="Arial" w:cs="Arial"/>
          <w:sz w:val="24"/>
          <w:szCs w:val="24"/>
          <w:lang w:val="fr-FR"/>
        </w:rPr>
        <w:t>e</w:t>
      </w:r>
      <w:r w:rsidRPr="00652C03">
        <w:rPr>
          <w:rFonts w:ascii="Arial" w:hAnsi="Arial" w:cs="Arial"/>
          <w:sz w:val="24"/>
          <w:szCs w:val="24"/>
          <w:lang w:val="fr-FR"/>
        </w:rPr>
        <w:t xml:space="preserve">mière réunion, </w:t>
      </w:r>
      <w:r w:rsidR="00424209" w:rsidRPr="00652C03">
        <w:rPr>
          <w:rFonts w:ascii="Arial" w:hAnsi="Arial" w:cs="Arial"/>
          <w:sz w:val="24"/>
          <w:szCs w:val="24"/>
          <w:lang w:val="fr-FR"/>
        </w:rPr>
        <w:t xml:space="preserve">à laquelle M. Kivinen était lui-même excusé, </w:t>
      </w:r>
      <w:r w:rsidR="005A5946" w:rsidRPr="00652C03">
        <w:rPr>
          <w:rFonts w:ascii="Arial" w:hAnsi="Arial" w:cs="Arial"/>
          <w:sz w:val="24"/>
          <w:szCs w:val="24"/>
          <w:lang w:val="fr-FR"/>
        </w:rPr>
        <w:t>deux représentants du Bureau du Secrétaire général (M. Andreas Beckmann, chef de l'unité Ressources humaines, et Mme Laurence Bernard, assistante juridique), deux représentants de la Chambre de recours (M. Henri Chavrier, président, et Mme Nathalie Peigneur, assistante juridique), deux représentants de la Commission européenne (Mme Brigitte Dengler et M. Lars Albath, de la direction générale Ressources humaines ) et un représentant de la Cour de justice de l'Union européenne (M. Agostino</w:t>
      </w:r>
      <w:r w:rsidRPr="00652C03">
        <w:rPr>
          <w:rFonts w:ascii="Arial" w:hAnsi="Arial" w:cs="Arial"/>
          <w:sz w:val="24"/>
          <w:szCs w:val="24"/>
          <w:lang w:val="fr-FR"/>
        </w:rPr>
        <w:t xml:space="preserve"> Placco, conseiller jurid</w:t>
      </w:r>
      <w:r w:rsidR="00D77E16" w:rsidRPr="00652C03">
        <w:rPr>
          <w:rFonts w:ascii="Arial" w:hAnsi="Arial" w:cs="Arial"/>
          <w:sz w:val="24"/>
          <w:szCs w:val="24"/>
          <w:lang w:val="fr-FR"/>
        </w:rPr>
        <w:t>i</w:t>
      </w:r>
      <w:r w:rsidRPr="00652C03">
        <w:rPr>
          <w:rFonts w:ascii="Arial" w:hAnsi="Arial" w:cs="Arial"/>
          <w:sz w:val="24"/>
          <w:szCs w:val="24"/>
          <w:lang w:val="fr-FR"/>
        </w:rPr>
        <w:t>que pour les affaires administratives).</w:t>
      </w:r>
      <w:r w:rsidR="00FA71F7" w:rsidRPr="00652C03">
        <w:rPr>
          <w:rFonts w:ascii="Arial" w:hAnsi="Arial" w:cs="Arial"/>
          <w:sz w:val="24"/>
          <w:szCs w:val="24"/>
          <w:lang w:val="fr-FR"/>
        </w:rPr>
        <w:t xml:space="preserve"> L</w:t>
      </w:r>
      <w:r w:rsidR="005F5D22" w:rsidRPr="00652C03">
        <w:rPr>
          <w:rFonts w:ascii="Arial" w:hAnsi="Arial" w:cs="Arial"/>
          <w:sz w:val="24"/>
          <w:szCs w:val="24"/>
          <w:lang w:val="fr-FR"/>
        </w:rPr>
        <w:t>a</w:t>
      </w:r>
      <w:r w:rsidR="00FA71F7" w:rsidRPr="00652C03">
        <w:rPr>
          <w:rFonts w:ascii="Arial" w:hAnsi="Arial" w:cs="Arial"/>
          <w:sz w:val="24"/>
          <w:szCs w:val="24"/>
          <w:lang w:val="fr-FR"/>
        </w:rPr>
        <w:t xml:space="preserve"> Président</w:t>
      </w:r>
      <w:r w:rsidR="005F5D22" w:rsidRPr="00652C03">
        <w:rPr>
          <w:rFonts w:ascii="Arial" w:hAnsi="Arial" w:cs="Arial"/>
          <w:sz w:val="24"/>
          <w:szCs w:val="24"/>
          <w:lang w:val="fr-FR"/>
        </w:rPr>
        <w:t>e</w:t>
      </w:r>
      <w:r w:rsidR="00FA71F7" w:rsidRPr="00652C03">
        <w:rPr>
          <w:rFonts w:ascii="Arial" w:hAnsi="Arial" w:cs="Arial"/>
          <w:sz w:val="24"/>
          <w:szCs w:val="24"/>
          <w:lang w:val="fr-FR"/>
        </w:rPr>
        <w:t xml:space="preserve"> du Comité budgétaire</w:t>
      </w:r>
      <w:r w:rsidR="005F5D22" w:rsidRPr="00652C03">
        <w:rPr>
          <w:rFonts w:ascii="Arial" w:hAnsi="Arial" w:cs="Arial"/>
          <w:sz w:val="24"/>
          <w:szCs w:val="24"/>
          <w:lang w:val="fr-FR"/>
        </w:rPr>
        <w:t xml:space="preserve">, </w:t>
      </w:r>
      <w:r w:rsidR="00FA71F7" w:rsidRPr="00652C03">
        <w:rPr>
          <w:rFonts w:ascii="Arial" w:hAnsi="Arial" w:cs="Arial"/>
          <w:sz w:val="24"/>
          <w:szCs w:val="24"/>
          <w:lang w:val="fr-FR"/>
        </w:rPr>
        <w:t>invité</w:t>
      </w:r>
      <w:r w:rsidR="005F5D22" w:rsidRPr="00652C03">
        <w:rPr>
          <w:rFonts w:ascii="Arial" w:hAnsi="Arial" w:cs="Arial"/>
          <w:sz w:val="24"/>
          <w:szCs w:val="24"/>
          <w:lang w:val="fr-FR"/>
        </w:rPr>
        <w:t>e,</w:t>
      </w:r>
      <w:r w:rsidR="00FA71F7" w:rsidRPr="00652C03">
        <w:rPr>
          <w:rFonts w:ascii="Arial" w:hAnsi="Arial" w:cs="Arial"/>
          <w:sz w:val="24"/>
          <w:szCs w:val="24"/>
          <w:lang w:val="fr-FR"/>
        </w:rPr>
        <w:t xml:space="preserve"> était excusé</w:t>
      </w:r>
      <w:r w:rsidR="005F5D22" w:rsidRPr="00652C03">
        <w:rPr>
          <w:rFonts w:ascii="Arial" w:hAnsi="Arial" w:cs="Arial"/>
          <w:sz w:val="24"/>
          <w:szCs w:val="24"/>
          <w:lang w:val="fr-FR"/>
        </w:rPr>
        <w:t>e</w:t>
      </w:r>
      <w:r w:rsidR="00FA71F7" w:rsidRPr="00652C03">
        <w:rPr>
          <w:rFonts w:ascii="Arial" w:hAnsi="Arial" w:cs="Arial"/>
          <w:sz w:val="24"/>
          <w:szCs w:val="24"/>
          <w:lang w:val="fr-FR"/>
        </w:rPr>
        <w:t>.</w:t>
      </w:r>
    </w:p>
    <w:p w:rsidR="00D77E16" w:rsidRPr="00652C03" w:rsidRDefault="00BF0944" w:rsidP="005A5946">
      <w:pPr>
        <w:jc w:val="both"/>
        <w:outlineLvl w:val="0"/>
        <w:rPr>
          <w:rFonts w:ascii="Arial" w:hAnsi="Arial" w:cs="Arial"/>
          <w:sz w:val="24"/>
          <w:szCs w:val="24"/>
          <w:lang w:val="fr-FR"/>
        </w:rPr>
      </w:pPr>
      <w:r w:rsidRPr="00652C03">
        <w:rPr>
          <w:rFonts w:ascii="Arial" w:hAnsi="Arial" w:cs="Arial"/>
          <w:sz w:val="24"/>
          <w:szCs w:val="24"/>
          <w:lang w:val="fr-FR"/>
        </w:rPr>
        <w:t>Au cours de cette réunion, il a d'abord été précisé que la mission du groupe de travail port</w:t>
      </w:r>
      <w:r w:rsidR="001A0F3C" w:rsidRPr="00652C03">
        <w:rPr>
          <w:rFonts w:ascii="Arial" w:hAnsi="Arial" w:cs="Arial"/>
          <w:sz w:val="24"/>
          <w:szCs w:val="24"/>
          <w:lang w:val="fr-FR"/>
        </w:rPr>
        <w:t>ait</w:t>
      </w:r>
      <w:r w:rsidRPr="00652C03">
        <w:rPr>
          <w:rFonts w:ascii="Arial" w:hAnsi="Arial" w:cs="Arial"/>
          <w:sz w:val="24"/>
          <w:szCs w:val="24"/>
          <w:lang w:val="fr-FR"/>
        </w:rPr>
        <w:t xml:space="preserve"> sur l</w:t>
      </w:r>
      <w:r w:rsidR="00424209" w:rsidRPr="00652C03">
        <w:rPr>
          <w:rFonts w:ascii="Arial" w:hAnsi="Arial" w:cs="Arial"/>
          <w:sz w:val="24"/>
          <w:szCs w:val="24"/>
          <w:lang w:val="fr-FR"/>
        </w:rPr>
        <w:t>'amél</w:t>
      </w:r>
      <w:r w:rsidR="00B566D3" w:rsidRPr="00652C03">
        <w:rPr>
          <w:rFonts w:ascii="Arial" w:hAnsi="Arial" w:cs="Arial"/>
          <w:sz w:val="24"/>
          <w:szCs w:val="24"/>
          <w:lang w:val="fr-FR"/>
        </w:rPr>
        <w:t>i</w:t>
      </w:r>
      <w:r w:rsidR="00424209" w:rsidRPr="00652C03">
        <w:rPr>
          <w:rFonts w:ascii="Arial" w:hAnsi="Arial" w:cs="Arial"/>
          <w:sz w:val="24"/>
          <w:szCs w:val="24"/>
          <w:lang w:val="fr-FR"/>
        </w:rPr>
        <w:t xml:space="preserve">oration du </w:t>
      </w:r>
      <w:r w:rsidRPr="00652C03">
        <w:rPr>
          <w:rFonts w:ascii="Arial" w:hAnsi="Arial" w:cs="Arial"/>
          <w:sz w:val="24"/>
          <w:szCs w:val="24"/>
          <w:lang w:val="fr-FR"/>
        </w:rPr>
        <w:t>système de recours dans les écoles européennes</w:t>
      </w:r>
      <w:r w:rsidR="00D77E16" w:rsidRPr="00652C03">
        <w:rPr>
          <w:rFonts w:ascii="Arial" w:hAnsi="Arial" w:cs="Arial"/>
          <w:sz w:val="24"/>
          <w:szCs w:val="24"/>
          <w:lang w:val="fr-FR"/>
        </w:rPr>
        <w:t xml:space="preserve"> et donc </w:t>
      </w:r>
      <w:r w:rsidR="00424209" w:rsidRPr="00652C03">
        <w:rPr>
          <w:rFonts w:ascii="Arial" w:hAnsi="Arial" w:cs="Arial"/>
          <w:sz w:val="24"/>
          <w:szCs w:val="24"/>
          <w:lang w:val="fr-FR"/>
        </w:rPr>
        <w:t>de</w:t>
      </w:r>
      <w:r w:rsidR="00D77E16" w:rsidRPr="00652C03">
        <w:rPr>
          <w:rFonts w:ascii="Arial" w:hAnsi="Arial" w:cs="Arial"/>
          <w:sz w:val="24"/>
          <w:szCs w:val="24"/>
          <w:lang w:val="fr-FR"/>
        </w:rPr>
        <w:t xml:space="preserve"> la protection juridictionnelle.</w:t>
      </w:r>
      <w:r w:rsidRPr="00652C03">
        <w:rPr>
          <w:rFonts w:ascii="Arial" w:hAnsi="Arial" w:cs="Arial"/>
          <w:sz w:val="24"/>
          <w:szCs w:val="24"/>
          <w:lang w:val="fr-FR"/>
        </w:rPr>
        <w:t xml:space="preserve"> </w:t>
      </w:r>
      <w:r w:rsidR="00D77E16" w:rsidRPr="00652C03">
        <w:rPr>
          <w:rFonts w:ascii="Arial" w:hAnsi="Arial" w:cs="Arial"/>
          <w:sz w:val="24"/>
          <w:szCs w:val="24"/>
          <w:lang w:val="fr-FR"/>
        </w:rPr>
        <w:t xml:space="preserve">Dans cet esprit, le Secrétaire général a souhaité que le groupe </w:t>
      </w:r>
      <w:r w:rsidR="00424209" w:rsidRPr="00652C03">
        <w:rPr>
          <w:rFonts w:ascii="Arial" w:hAnsi="Arial" w:cs="Arial"/>
          <w:sz w:val="24"/>
          <w:szCs w:val="24"/>
          <w:lang w:val="fr-FR"/>
        </w:rPr>
        <w:t xml:space="preserve"> </w:t>
      </w:r>
      <w:r w:rsidR="00D77E16" w:rsidRPr="00652C03">
        <w:rPr>
          <w:rFonts w:ascii="Arial" w:hAnsi="Arial" w:cs="Arial"/>
          <w:sz w:val="24"/>
          <w:szCs w:val="24"/>
          <w:lang w:val="fr-FR"/>
        </w:rPr>
        <w:t>so</w:t>
      </w:r>
      <w:r w:rsidR="004A17AB" w:rsidRPr="00652C03">
        <w:rPr>
          <w:rFonts w:ascii="Arial" w:hAnsi="Arial" w:cs="Arial"/>
          <w:sz w:val="24"/>
          <w:szCs w:val="24"/>
          <w:lang w:val="fr-FR"/>
        </w:rPr>
        <w:t>it</w:t>
      </w:r>
      <w:r w:rsidR="00D77E16" w:rsidRPr="00652C03">
        <w:rPr>
          <w:rFonts w:ascii="Arial" w:hAnsi="Arial" w:cs="Arial"/>
          <w:sz w:val="24"/>
          <w:szCs w:val="24"/>
          <w:lang w:val="fr-FR"/>
        </w:rPr>
        <w:t xml:space="preserve"> présidé par le président de la Chambre de recours.</w:t>
      </w:r>
    </w:p>
    <w:p w:rsidR="00D77E16" w:rsidRPr="00652C03" w:rsidRDefault="00D77E16" w:rsidP="005A5946">
      <w:pPr>
        <w:jc w:val="both"/>
        <w:outlineLvl w:val="0"/>
        <w:rPr>
          <w:rFonts w:ascii="Arial" w:hAnsi="Arial" w:cs="Arial"/>
          <w:sz w:val="24"/>
          <w:szCs w:val="24"/>
          <w:lang w:val="fr-FR"/>
        </w:rPr>
      </w:pPr>
      <w:r w:rsidRPr="00652C03">
        <w:rPr>
          <w:rFonts w:ascii="Arial" w:hAnsi="Arial" w:cs="Arial"/>
          <w:sz w:val="24"/>
          <w:szCs w:val="24"/>
          <w:lang w:val="fr-FR"/>
        </w:rPr>
        <w:t>Il a</w:t>
      </w:r>
      <w:r w:rsidR="00852C61" w:rsidRPr="00652C03">
        <w:rPr>
          <w:rFonts w:ascii="Arial" w:hAnsi="Arial" w:cs="Arial"/>
          <w:sz w:val="24"/>
          <w:szCs w:val="24"/>
          <w:lang w:val="fr-FR"/>
        </w:rPr>
        <w:t xml:space="preserve"> </w:t>
      </w:r>
      <w:r w:rsidRPr="00652C03">
        <w:rPr>
          <w:rFonts w:ascii="Arial" w:hAnsi="Arial" w:cs="Arial"/>
          <w:sz w:val="24"/>
          <w:szCs w:val="24"/>
          <w:lang w:val="fr-FR"/>
        </w:rPr>
        <w:t xml:space="preserve">ensuite été </w:t>
      </w:r>
      <w:r w:rsidR="004A17AB" w:rsidRPr="00652C03">
        <w:rPr>
          <w:rFonts w:ascii="Arial" w:hAnsi="Arial" w:cs="Arial"/>
          <w:sz w:val="24"/>
          <w:szCs w:val="24"/>
          <w:lang w:val="fr-FR"/>
        </w:rPr>
        <w:t>convenu qu'il y avait lieu de</w:t>
      </w:r>
      <w:r w:rsidRPr="00652C03">
        <w:rPr>
          <w:rFonts w:ascii="Arial" w:hAnsi="Arial" w:cs="Arial"/>
          <w:sz w:val="24"/>
          <w:szCs w:val="24"/>
          <w:lang w:val="fr-FR"/>
        </w:rPr>
        <w:t xml:space="preserve"> distinguer deux types de mesures envisageables </w:t>
      </w:r>
      <w:r w:rsidR="0087218A" w:rsidRPr="00652C03">
        <w:rPr>
          <w:rFonts w:ascii="Arial" w:hAnsi="Arial" w:cs="Arial"/>
          <w:sz w:val="24"/>
          <w:szCs w:val="24"/>
          <w:lang w:val="fr-FR"/>
        </w:rPr>
        <w:t xml:space="preserve">afin d'améliorer la protection juridictionnelle  </w:t>
      </w:r>
      <w:r w:rsidRPr="00652C03">
        <w:rPr>
          <w:rFonts w:ascii="Arial" w:hAnsi="Arial" w:cs="Arial"/>
          <w:sz w:val="24"/>
          <w:szCs w:val="24"/>
          <w:lang w:val="fr-FR"/>
        </w:rPr>
        <w:t>:</w:t>
      </w:r>
    </w:p>
    <w:p w:rsidR="004A17AB" w:rsidRPr="00652C03" w:rsidRDefault="00D77E16" w:rsidP="005A5946">
      <w:pPr>
        <w:jc w:val="both"/>
        <w:outlineLvl w:val="0"/>
        <w:rPr>
          <w:rFonts w:ascii="Arial" w:hAnsi="Arial" w:cs="Arial"/>
          <w:sz w:val="24"/>
          <w:szCs w:val="24"/>
          <w:lang w:val="fr-FR"/>
        </w:rPr>
      </w:pPr>
      <w:r w:rsidRPr="00652C03">
        <w:rPr>
          <w:rFonts w:ascii="Arial" w:hAnsi="Arial" w:cs="Arial"/>
          <w:sz w:val="24"/>
          <w:szCs w:val="24"/>
          <w:lang w:val="fr-FR"/>
        </w:rPr>
        <w:t>- celles</w:t>
      </w:r>
      <w:r w:rsidR="004A17AB" w:rsidRPr="00652C03">
        <w:rPr>
          <w:rFonts w:ascii="Arial" w:hAnsi="Arial" w:cs="Arial"/>
          <w:sz w:val="24"/>
          <w:szCs w:val="24"/>
          <w:lang w:val="fr-FR"/>
        </w:rPr>
        <w:t xml:space="preserve"> nécessitant des modifications de la convention portant statut des écoles européennes, qui supposent de recourir à la lourde procédure de modification et de ratification prévue par les articles 31.4 et 33 de ladite convention ;</w:t>
      </w:r>
    </w:p>
    <w:p w:rsidR="004A17AB" w:rsidRPr="00652C03" w:rsidRDefault="004A17AB" w:rsidP="005A5946">
      <w:pPr>
        <w:jc w:val="both"/>
        <w:outlineLvl w:val="0"/>
        <w:rPr>
          <w:rFonts w:ascii="Arial" w:hAnsi="Arial" w:cs="Arial"/>
          <w:sz w:val="24"/>
          <w:szCs w:val="24"/>
          <w:lang w:val="fr-FR"/>
        </w:rPr>
      </w:pPr>
      <w:r w:rsidRPr="00652C03">
        <w:rPr>
          <w:rFonts w:ascii="Arial" w:hAnsi="Arial" w:cs="Arial"/>
          <w:sz w:val="24"/>
          <w:szCs w:val="24"/>
          <w:lang w:val="fr-FR"/>
        </w:rPr>
        <w:t>- celles nécessit</w:t>
      </w:r>
      <w:r w:rsidR="0087218A" w:rsidRPr="00652C03">
        <w:rPr>
          <w:rFonts w:ascii="Arial" w:hAnsi="Arial" w:cs="Arial"/>
          <w:sz w:val="24"/>
          <w:szCs w:val="24"/>
          <w:lang w:val="fr-FR"/>
        </w:rPr>
        <w:t>a</w:t>
      </w:r>
      <w:r w:rsidRPr="00652C03">
        <w:rPr>
          <w:rFonts w:ascii="Arial" w:hAnsi="Arial" w:cs="Arial"/>
          <w:sz w:val="24"/>
          <w:szCs w:val="24"/>
          <w:lang w:val="fr-FR"/>
        </w:rPr>
        <w:t>nt des modifications de textes d'application de la convention (notamment le statut et le règlement de procédure de la Chambre de recours, le règlement général des écoles européennes, le statut du personnel détaché et celui des chargés de cours), qui relèvent de la compétence du Conseil supérieur.</w:t>
      </w:r>
    </w:p>
    <w:p w:rsidR="00424209" w:rsidRPr="00652C03" w:rsidRDefault="00424209" w:rsidP="005A5946">
      <w:pPr>
        <w:jc w:val="both"/>
        <w:outlineLvl w:val="0"/>
        <w:rPr>
          <w:rFonts w:ascii="Arial" w:hAnsi="Arial" w:cs="Arial"/>
          <w:sz w:val="24"/>
          <w:szCs w:val="24"/>
          <w:lang w:val="fr-FR"/>
        </w:rPr>
      </w:pPr>
    </w:p>
    <w:p w:rsidR="00652C03" w:rsidRDefault="00652C03">
      <w:pPr>
        <w:rPr>
          <w:rFonts w:ascii="Arial" w:hAnsi="Arial" w:cs="Arial"/>
          <w:b/>
          <w:sz w:val="24"/>
          <w:szCs w:val="24"/>
          <w:lang w:val="fr-FR"/>
        </w:rPr>
      </w:pPr>
      <w:r>
        <w:rPr>
          <w:rFonts w:ascii="Arial" w:hAnsi="Arial" w:cs="Arial"/>
          <w:b/>
          <w:sz w:val="24"/>
          <w:szCs w:val="24"/>
          <w:lang w:val="fr-FR"/>
        </w:rPr>
        <w:br w:type="page"/>
      </w:r>
    </w:p>
    <w:p w:rsidR="001A0F3C" w:rsidRPr="00652C03" w:rsidRDefault="001A0F3C" w:rsidP="005A5946">
      <w:pPr>
        <w:jc w:val="both"/>
        <w:outlineLvl w:val="0"/>
        <w:rPr>
          <w:rFonts w:ascii="Arial" w:hAnsi="Arial" w:cs="Arial"/>
          <w:b/>
          <w:sz w:val="24"/>
          <w:szCs w:val="24"/>
          <w:lang w:val="fr-FR"/>
        </w:rPr>
      </w:pPr>
      <w:r w:rsidRPr="00652C03">
        <w:rPr>
          <w:rFonts w:ascii="Arial" w:hAnsi="Arial" w:cs="Arial"/>
          <w:b/>
          <w:sz w:val="24"/>
          <w:szCs w:val="24"/>
          <w:lang w:val="fr-FR"/>
        </w:rPr>
        <w:lastRenderedPageBreak/>
        <w:t xml:space="preserve">I - Les modifications </w:t>
      </w:r>
      <w:r w:rsidR="00186FF8" w:rsidRPr="00652C03">
        <w:rPr>
          <w:rFonts w:ascii="Arial" w:hAnsi="Arial" w:cs="Arial"/>
          <w:b/>
          <w:sz w:val="24"/>
          <w:szCs w:val="24"/>
          <w:lang w:val="fr-FR"/>
        </w:rPr>
        <w:t xml:space="preserve">possibles </w:t>
      </w:r>
      <w:r w:rsidRPr="00652C03">
        <w:rPr>
          <w:rFonts w:ascii="Arial" w:hAnsi="Arial" w:cs="Arial"/>
          <w:b/>
          <w:sz w:val="24"/>
          <w:szCs w:val="24"/>
          <w:lang w:val="fr-FR"/>
        </w:rPr>
        <w:t>de la convention</w:t>
      </w:r>
    </w:p>
    <w:p w:rsidR="00831BDE" w:rsidRPr="00652C03" w:rsidRDefault="00831BDE" w:rsidP="005A5946">
      <w:pPr>
        <w:jc w:val="both"/>
        <w:outlineLvl w:val="0"/>
        <w:rPr>
          <w:rFonts w:ascii="Arial" w:hAnsi="Arial" w:cs="Arial"/>
          <w:sz w:val="24"/>
          <w:szCs w:val="24"/>
          <w:lang w:val="fr-FR"/>
        </w:rPr>
      </w:pPr>
      <w:r w:rsidRPr="00652C03">
        <w:rPr>
          <w:rFonts w:ascii="Arial" w:hAnsi="Arial" w:cs="Arial"/>
          <w:sz w:val="24"/>
          <w:szCs w:val="24"/>
          <w:lang w:val="fr-FR"/>
        </w:rPr>
        <w:t>En vertu de l'article 27</w:t>
      </w:r>
      <w:r w:rsidR="00424209" w:rsidRPr="00652C03">
        <w:rPr>
          <w:rFonts w:ascii="Arial" w:hAnsi="Arial" w:cs="Arial"/>
          <w:sz w:val="24"/>
          <w:szCs w:val="24"/>
          <w:lang w:val="fr-FR"/>
        </w:rPr>
        <w:t xml:space="preserve">.2 </w:t>
      </w:r>
      <w:r w:rsidRPr="00652C03">
        <w:rPr>
          <w:rFonts w:ascii="Arial" w:hAnsi="Arial" w:cs="Arial"/>
          <w:sz w:val="24"/>
          <w:szCs w:val="24"/>
          <w:lang w:val="fr-FR"/>
        </w:rPr>
        <w:t>de la convention portant statut des écoles européennes, la Chambre de recours est une juridiction de première et dernière instance et, ainsi que la Cour de justice de l'Union européenne l'a relevé dans son important arrêt du 14 juin 2011 (</w:t>
      </w:r>
      <w:r w:rsidR="004947AB" w:rsidRPr="00652C03">
        <w:rPr>
          <w:rFonts w:ascii="Arial" w:hAnsi="Arial" w:cs="Arial"/>
          <w:sz w:val="24"/>
          <w:szCs w:val="24"/>
          <w:lang w:val="fr-FR"/>
        </w:rPr>
        <w:t xml:space="preserve">affaire </w:t>
      </w:r>
      <w:r w:rsidRPr="00652C03">
        <w:rPr>
          <w:rFonts w:ascii="Arial" w:hAnsi="Arial" w:cs="Arial"/>
          <w:sz w:val="24"/>
          <w:szCs w:val="24"/>
          <w:lang w:val="fr-FR"/>
        </w:rPr>
        <w:t xml:space="preserve">C-196/09), elle ne peut pas saisir cette haute juridiction européenne par renvoi préjudiciel. Elle est donc appelée à statuer sans appel ni possibilité de renvoi, même lorsque les données du litige l'amènent à faire application du droit de l'Union européenne. </w:t>
      </w:r>
    </w:p>
    <w:p w:rsidR="008E5EB0" w:rsidRPr="00652C03" w:rsidRDefault="008E5EB0" w:rsidP="008E5EB0">
      <w:pPr>
        <w:jc w:val="both"/>
        <w:outlineLvl w:val="0"/>
        <w:rPr>
          <w:i/>
          <w:sz w:val="24"/>
          <w:szCs w:val="24"/>
          <w:lang w:val="fr-BE"/>
        </w:rPr>
      </w:pPr>
      <w:r w:rsidRPr="00652C03">
        <w:rPr>
          <w:rStyle w:val="Emphasis"/>
          <w:rFonts w:ascii="Arial" w:hAnsi="Arial" w:cs="Arial"/>
          <w:i w:val="0"/>
          <w:sz w:val="24"/>
          <w:szCs w:val="24"/>
          <w:lang w:val="fr-FR"/>
        </w:rPr>
        <w:t xml:space="preserve">La question a d'ailleurs été posée de savoir si la rédaction de l'article 27.2 de ladite convention, qui précise que "la Chambre de recours a compétence exclusive de première et dernière instance", pourrait être comprise comme permettant l'existence d'une procédure d'appel au sein même de cette juridiction.  </w:t>
      </w:r>
    </w:p>
    <w:p w:rsidR="00CA7CC8" w:rsidRPr="00652C03" w:rsidRDefault="00831BDE" w:rsidP="005A5946">
      <w:pPr>
        <w:jc w:val="both"/>
        <w:outlineLvl w:val="0"/>
        <w:rPr>
          <w:rFonts w:ascii="Arial" w:hAnsi="Arial" w:cs="Arial"/>
          <w:sz w:val="24"/>
          <w:szCs w:val="24"/>
          <w:lang w:val="fr-FR"/>
        </w:rPr>
      </w:pPr>
      <w:r w:rsidRPr="00652C03">
        <w:rPr>
          <w:rFonts w:ascii="Arial" w:hAnsi="Arial" w:cs="Arial"/>
          <w:sz w:val="24"/>
          <w:szCs w:val="24"/>
          <w:lang w:val="fr-FR"/>
        </w:rPr>
        <w:t xml:space="preserve">S'il est vrai que le </w:t>
      </w:r>
      <w:r w:rsidR="00CA7CC8" w:rsidRPr="00652C03">
        <w:rPr>
          <w:rFonts w:ascii="Arial" w:hAnsi="Arial" w:cs="Arial"/>
          <w:sz w:val="24"/>
          <w:szCs w:val="24"/>
          <w:lang w:val="fr-FR"/>
        </w:rPr>
        <w:t xml:space="preserve">droit à un </w:t>
      </w:r>
      <w:r w:rsidRPr="00652C03">
        <w:rPr>
          <w:rFonts w:ascii="Arial" w:hAnsi="Arial" w:cs="Arial"/>
          <w:sz w:val="24"/>
          <w:szCs w:val="24"/>
          <w:lang w:val="fr-FR"/>
        </w:rPr>
        <w:t>double degré de juridiction n</w:t>
      </w:r>
      <w:r w:rsidR="00CA7CC8" w:rsidRPr="00652C03">
        <w:rPr>
          <w:rFonts w:ascii="Arial" w:hAnsi="Arial" w:cs="Arial"/>
          <w:sz w:val="24"/>
          <w:szCs w:val="24"/>
          <w:lang w:val="fr-FR"/>
        </w:rPr>
        <w:t>'est reconnu, par protocole additionnel à la convention européenne des droits de l'homme, qu'en matière pénale, il n'en reste pas moins que l</w:t>
      </w:r>
      <w:r w:rsidR="0092741E" w:rsidRPr="00652C03">
        <w:rPr>
          <w:rFonts w:ascii="Arial" w:hAnsi="Arial" w:cs="Arial"/>
          <w:sz w:val="24"/>
          <w:szCs w:val="24"/>
          <w:lang w:val="fr-FR"/>
        </w:rPr>
        <w:t>e niveau de l</w:t>
      </w:r>
      <w:r w:rsidR="00CA7CC8" w:rsidRPr="00652C03">
        <w:rPr>
          <w:rFonts w:ascii="Arial" w:hAnsi="Arial" w:cs="Arial"/>
          <w:sz w:val="24"/>
          <w:szCs w:val="24"/>
          <w:lang w:val="fr-FR"/>
        </w:rPr>
        <w:t>a protection juridictionnelle ainsi prévue par le système des écoles européennes</w:t>
      </w:r>
      <w:r w:rsidR="0092741E" w:rsidRPr="00652C03">
        <w:rPr>
          <w:rFonts w:ascii="Arial" w:hAnsi="Arial" w:cs="Arial"/>
          <w:sz w:val="24"/>
          <w:szCs w:val="24"/>
          <w:lang w:val="fr-FR"/>
        </w:rPr>
        <w:t xml:space="preserve"> </w:t>
      </w:r>
      <w:r w:rsidR="00CA7CC8" w:rsidRPr="00652C03">
        <w:rPr>
          <w:rFonts w:ascii="Arial" w:hAnsi="Arial" w:cs="Arial"/>
          <w:sz w:val="24"/>
          <w:szCs w:val="24"/>
          <w:lang w:val="fr-FR"/>
        </w:rPr>
        <w:t>est</w:t>
      </w:r>
      <w:r w:rsidR="00424209" w:rsidRPr="00652C03">
        <w:rPr>
          <w:rFonts w:ascii="Arial" w:hAnsi="Arial" w:cs="Arial"/>
          <w:sz w:val="24"/>
          <w:szCs w:val="24"/>
          <w:lang w:val="fr-FR"/>
        </w:rPr>
        <w:t xml:space="preserve"> nettement </w:t>
      </w:r>
      <w:r w:rsidR="00CA7CC8" w:rsidRPr="00652C03">
        <w:rPr>
          <w:rFonts w:ascii="Arial" w:hAnsi="Arial" w:cs="Arial"/>
          <w:sz w:val="24"/>
          <w:szCs w:val="24"/>
          <w:lang w:val="fr-FR"/>
        </w:rPr>
        <w:t xml:space="preserve">moins </w:t>
      </w:r>
      <w:r w:rsidR="0092741E" w:rsidRPr="00652C03">
        <w:rPr>
          <w:rFonts w:ascii="Arial" w:hAnsi="Arial" w:cs="Arial"/>
          <w:sz w:val="24"/>
          <w:szCs w:val="24"/>
          <w:lang w:val="fr-FR"/>
        </w:rPr>
        <w:t>élevé</w:t>
      </w:r>
      <w:r w:rsidR="00CA7CC8" w:rsidRPr="00652C03">
        <w:rPr>
          <w:rFonts w:ascii="Arial" w:hAnsi="Arial" w:cs="Arial"/>
          <w:sz w:val="24"/>
          <w:szCs w:val="24"/>
          <w:lang w:val="fr-FR"/>
        </w:rPr>
        <w:t xml:space="preserve"> que ce</w:t>
      </w:r>
      <w:r w:rsidR="0092741E" w:rsidRPr="00652C03">
        <w:rPr>
          <w:rFonts w:ascii="Arial" w:hAnsi="Arial" w:cs="Arial"/>
          <w:sz w:val="24"/>
          <w:szCs w:val="24"/>
          <w:lang w:val="fr-FR"/>
        </w:rPr>
        <w:t>lui</w:t>
      </w:r>
      <w:r w:rsidR="00CA7CC8" w:rsidRPr="00652C03">
        <w:rPr>
          <w:rFonts w:ascii="Arial" w:hAnsi="Arial" w:cs="Arial"/>
          <w:sz w:val="24"/>
          <w:szCs w:val="24"/>
          <w:lang w:val="fr-FR"/>
        </w:rPr>
        <w:t xml:space="preserve"> assuré par les juridictions de l'Union européenne. C'est précisément cette constatation qui a conduit le Conseil supérieur à envisager la constitution du groupe de travail.</w:t>
      </w:r>
    </w:p>
    <w:p w:rsidR="00CA7CC8" w:rsidRPr="00652C03" w:rsidRDefault="00CA7CC8" w:rsidP="005A5946">
      <w:pPr>
        <w:jc w:val="both"/>
        <w:outlineLvl w:val="0"/>
        <w:rPr>
          <w:rFonts w:ascii="Arial" w:hAnsi="Arial" w:cs="Arial"/>
          <w:sz w:val="24"/>
          <w:szCs w:val="24"/>
          <w:lang w:val="fr-FR"/>
        </w:rPr>
      </w:pPr>
      <w:r w:rsidRPr="00652C03">
        <w:rPr>
          <w:rFonts w:ascii="Arial" w:hAnsi="Arial" w:cs="Arial"/>
          <w:sz w:val="24"/>
          <w:szCs w:val="24"/>
          <w:lang w:val="fr-FR"/>
        </w:rPr>
        <w:t>A ce stade de la réflexion, trois mesures possibles ont été évoquées :</w:t>
      </w:r>
    </w:p>
    <w:p w:rsidR="00CA7CC8" w:rsidRPr="00652C03" w:rsidRDefault="00CA7CC8" w:rsidP="005A5946">
      <w:pPr>
        <w:jc w:val="both"/>
        <w:outlineLvl w:val="0"/>
        <w:rPr>
          <w:rFonts w:ascii="Arial" w:hAnsi="Arial" w:cs="Arial"/>
          <w:sz w:val="24"/>
          <w:szCs w:val="24"/>
          <w:lang w:val="fr-FR"/>
        </w:rPr>
      </w:pPr>
      <w:r w:rsidRPr="00652C03">
        <w:rPr>
          <w:rFonts w:ascii="Arial" w:hAnsi="Arial" w:cs="Arial"/>
          <w:sz w:val="24"/>
          <w:szCs w:val="24"/>
          <w:lang w:val="fr-FR"/>
        </w:rPr>
        <w:t xml:space="preserve">- la création d'une véritable juridiction d'appel au sein même du système des écoles européennes, dont l'impact budgétaire devrait naturellement être </w:t>
      </w:r>
      <w:r w:rsidR="00186FF8" w:rsidRPr="00652C03">
        <w:rPr>
          <w:rFonts w:ascii="Arial" w:hAnsi="Arial" w:cs="Arial"/>
          <w:sz w:val="24"/>
          <w:szCs w:val="24"/>
          <w:lang w:val="fr-FR"/>
        </w:rPr>
        <w:t>mesuré</w:t>
      </w:r>
      <w:r w:rsidRPr="00652C03">
        <w:rPr>
          <w:rFonts w:ascii="Arial" w:hAnsi="Arial" w:cs="Arial"/>
          <w:sz w:val="24"/>
          <w:szCs w:val="24"/>
          <w:lang w:val="fr-FR"/>
        </w:rPr>
        <w:t xml:space="preserve"> ;</w:t>
      </w:r>
    </w:p>
    <w:p w:rsidR="00186FF8" w:rsidRPr="00652C03" w:rsidRDefault="00CA7CC8" w:rsidP="005A5946">
      <w:pPr>
        <w:jc w:val="both"/>
        <w:outlineLvl w:val="0"/>
        <w:rPr>
          <w:rFonts w:ascii="Arial" w:hAnsi="Arial" w:cs="Arial"/>
          <w:sz w:val="24"/>
          <w:szCs w:val="24"/>
          <w:lang w:val="fr-FR"/>
        </w:rPr>
      </w:pPr>
      <w:r w:rsidRPr="00652C03">
        <w:rPr>
          <w:rFonts w:ascii="Arial" w:hAnsi="Arial" w:cs="Arial"/>
          <w:sz w:val="24"/>
          <w:szCs w:val="24"/>
          <w:lang w:val="fr-FR"/>
        </w:rPr>
        <w:t>- la possibilité de frapper certaines décisions de la Chambre de recours d'un pourvoi devant l</w:t>
      </w:r>
      <w:r w:rsidR="00186FF8" w:rsidRPr="00652C03">
        <w:rPr>
          <w:rFonts w:ascii="Arial" w:hAnsi="Arial" w:cs="Arial"/>
          <w:sz w:val="24"/>
          <w:szCs w:val="24"/>
          <w:lang w:val="fr-FR"/>
        </w:rPr>
        <w:t>e</w:t>
      </w:r>
      <w:r w:rsidRPr="00652C03">
        <w:rPr>
          <w:rFonts w:ascii="Arial" w:hAnsi="Arial" w:cs="Arial"/>
          <w:sz w:val="24"/>
          <w:szCs w:val="24"/>
          <w:lang w:val="fr-FR"/>
        </w:rPr>
        <w:t xml:space="preserve"> Tribunal de l'Union européenne, dans des conditions comparables à celui ouvert contre les </w:t>
      </w:r>
      <w:r w:rsidR="00186FF8" w:rsidRPr="00652C03">
        <w:rPr>
          <w:rFonts w:ascii="Arial" w:hAnsi="Arial" w:cs="Arial"/>
          <w:sz w:val="24"/>
          <w:szCs w:val="24"/>
          <w:lang w:val="fr-FR"/>
        </w:rPr>
        <w:t>décisions du Tribunal de la fonction publique, dont l'impact sur le fonctionnement de la Cour de justice devrait également être mesuré ;</w:t>
      </w:r>
    </w:p>
    <w:p w:rsidR="00186FF8" w:rsidRPr="00652C03" w:rsidRDefault="00186FF8" w:rsidP="005A5946">
      <w:pPr>
        <w:jc w:val="both"/>
        <w:outlineLvl w:val="0"/>
        <w:rPr>
          <w:rFonts w:ascii="Arial" w:hAnsi="Arial" w:cs="Arial"/>
          <w:sz w:val="24"/>
          <w:szCs w:val="24"/>
          <w:lang w:val="fr-FR"/>
        </w:rPr>
      </w:pPr>
      <w:r w:rsidRPr="00652C03">
        <w:rPr>
          <w:rFonts w:ascii="Arial" w:hAnsi="Arial" w:cs="Arial"/>
          <w:sz w:val="24"/>
          <w:szCs w:val="24"/>
          <w:lang w:val="fr-FR"/>
        </w:rPr>
        <w:t xml:space="preserve">- la possibilité pour la Chambre de recours, ainsi que  l'a suggéré la Cour de justice elle-même dans l'arrêt précité, de saisir cette haute juridiction européenne par renvoi préjudiciel, dans le souci de permettre une interprétation uniforme des principes retenus par le droit de l'Union européenne.  </w:t>
      </w:r>
    </w:p>
    <w:p w:rsidR="004A17AB" w:rsidRPr="00652C03" w:rsidRDefault="00186FF8" w:rsidP="005A5946">
      <w:pPr>
        <w:jc w:val="both"/>
        <w:outlineLvl w:val="0"/>
        <w:rPr>
          <w:rFonts w:ascii="Arial" w:hAnsi="Arial" w:cs="Arial"/>
          <w:sz w:val="24"/>
          <w:szCs w:val="24"/>
          <w:lang w:val="fr-FR"/>
        </w:rPr>
      </w:pPr>
      <w:r w:rsidRPr="00652C03">
        <w:rPr>
          <w:rFonts w:ascii="Arial" w:hAnsi="Arial" w:cs="Arial"/>
          <w:sz w:val="24"/>
          <w:szCs w:val="24"/>
          <w:lang w:val="fr-FR"/>
        </w:rPr>
        <w:t>Sans pouvoir encore dégager de proposition à cet égard, les avantages et les inconvénients de chacune de ces mesures devant être déte</w:t>
      </w:r>
      <w:r w:rsidR="003F3990" w:rsidRPr="00652C03">
        <w:rPr>
          <w:rFonts w:ascii="Arial" w:hAnsi="Arial" w:cs="Arial"/>
          <w:sz w:val="24"/>
          <w:szCs w:val="24"/>
          <w:lang w:val="fr-FR"/>
        </w:rPr>
        <w:t>r</w:t>
      </w:r>
      <w:r w:rsidRPr="00652C03">
        <w:rPr>
          <w:rFonts w:ascii="Arial" w:hAnsi="Arial" w:cs="Arial"/>
          <w:sz w:val="24"/>
          <w:szCs w:val="24"/>
          <w:lang w:val="fr-FR"/>
        </w:rPr>
        <w:t>miné</w:t>
      </w:r>
      <w:r w:rsidR="003F3990" w:rsidRPr="00652C03">
        <w:rPr>
          <w:rFonts w:ascii="Arial" w:hAnsi="Arial" w:cs="Arial"/>
          <w:sz w:val="24"/>
          <w:szCs w:val="24"/>
          <w:lang w:val="fr-FR"/>
        </w:rPr>
        <w:t>s</w:t>
      </w:r>
      <w:r w:rsidRPr="00652C03">
        <w:rPr>
          <w:rFonts w:ascii="Arial" w:hAnsi="Arial" w:cs="Arial"/>
          <w:sz w:val="24"/>
          <w:szCs w:val="24"/>
          <w:lang w:val="fr-FR"/>
        </w:rPr>
        <w:t xml:space="preserve"> avec précision, les membres du groupe de travail sont </w:t>
      </w:r>
      <w:r w:rsidR="003F3990" w:rsidRPr="00652C03">
        <w:rPr>
          <w:rFonts w:ascii="Arial" w:hAnsi="Arial" w:cs="Arial"/>
          <w:sz w:val="24"/>
          <w:szCs w:val="24"/>
          <w:lang w:val="fr-FR"/>
        </w:rPr>
        <w:t xml:space="preserve">dores et déjà </w:t>
      </w:r>
      <w:r w:rsidRPr="00652C03">
        <w:rPr>
          <w:rFonts w:ascii="Arial" w:hAnsi="Arial" w:cs="Arial"/>
          <w:sz w:val="24"/>
          <w:szCs w:val="24"/>
          <w:lang w:val="fr-FR"/>
        </w:rPr>
        <w:t>conscients</w:t>
      </w:r>
      <w:r w:rsidR="003F3990" w:rsidRPr="00652C03">
        <w:rPr>
          <w:rFonts w:ascii="Arial" w:hAnsi="Arial" w:cs="Arial"/>
          <w:sz w:val="24"/>
          <w:szCs w:val="24"/>
          <w:lang w:val="fr-FR"/>
        </w:rPr>
        <w:t xml:space="preserve"> des difficultés découlant de la lourdeur et de la longueur de la procédure de révision de la convention.</w:t>
      </w:r>
      <w:r w:rsidR="00424209" w:rsidRPr="00652C03">
        <w:rPr>
          <w:rFonts w:ascii="Arial" w:hAnsi="Arial" w:cs="Arial"/>
          <w:sz w:val="24"/>
          <w:szCs w:val="24"/>
          <w:lang w:val="fr-FR"/>
        </w:rPr>
        <w:t xml:space="preserve"> </w:t>
      </w:r>
      <w:r w:rsidR="003F3990" w:rsidRPr="00652C03">
        <w:rPr>
          <w:rFonts w:ascii="Arial" w:hAnsi="Arial" w:cs="Arial"/>
          <w:sz w:val="24"/>
          <w:szCs w:val="24"/>
          <w:lang w:val="fr-FR"/>
        </w:rPr>
        <w:t>Ils considèrent, en conséquence, qu'il convient de privilégier les réflexions sur les mesures susceptibles d'être arrêtées et mises en vigueur  par le Conseil supérieur lui-même.</w:t>
      </w:r>
    </w:p>
    <w:p w:rsidR="005D4D6A" w:rsidRDefault="005D4D6A" w:rsidP="005A5946">
      <w:pPr>
        <w:jc w:val="both"/>
        <w:outlineLvl w:val="0"/>
        <w:rPr>
          <w:rFonts w:ascii="Arial" w:hAnsi="Arial" w:cs="Arial"/>
          <w:sz w:val="24"/>
          <w:szCs w:val="24"/>
          <w:lang w:val="fr-FR"/>
        </w:rPr>
      </w:pPr>
    </w:p>
    <w:p w:rsidR="009E7705" w:rsidRDefault="009E7705" w:rsidP="005A5946">
      <w:pPr>
        <w:jc w:val="both"/>
        <w:outlineLvl w:val="0"/>
        <w:rPr>
          <w:rFonts w:ascii="Arial" w:hAnsi="Arial" w:cs="Arial"/>
          <w:sz w:val="24"/>
          <w:szCs w:val="24"/>
          <w:lang w:val="fr-FR"/>
        </w:rPr>
      </w:pPr>
    </w:p>
    <w:p w:rsidR="009E7705" w:rsidRPr="00652C03" w:rsidRDefault="009E7705" w:rsidP="005A5946">
      <w:pPr>
        <w:jc w:val="both"/>
        <w:outlineLvl w:val="0"/>
        <w:rPr>
          <w:rFonts w:ascii="Arial" w:hAnsi="Arial" w:cs="Arial"/>
          <w:sz w:val="24"/>
          <w:szCs w:val="24"/>
          <w:lang w:val="fr-FR"/>
        </w:rPr>
      </w:pPr>
    </w:p>
    <w:p w:rsidR="005D4D6A" w:rsidRPr="00652C03" w:rsidRDefault="005D4D6A" w:rsidP="005A5946">
      <w:pPr>
        <w:jc w:val="both"/>
        <w:outlineLvl w:val="0"/>
        <w:rPr>
          <w:rFonts w:ascii="Arial" w:hAnsi="Arial" w:cs="Arial"/>
          <w:sz w:val="24"/>
          <w:szCs w:val="24"/>
          <w:lang w:val="fr-FR"/>
        </w:rPr>
      </w:pPr>
      <w:r w:rsidRPr="00652C03">
        <w:rPr>
          <w:rFonts w:ascii="Arial" w:hAnsi="Arial" w:cs="Arial"/>
          <w:b/>
          <w:sz w:val="24"/>
          <w:szCs w:val="24"/>
          <w:lang w:val="fr-FR"/>
        </w:rPr>
        <w:t>II - Les modifications possibles des textes d'application</w:t>
      </w:r>
    </w:p>
    <w:p w:rsidR="005D4D6A" w:rsidRPr="00652C03" w:rsidRDefault="007F4B6A" w:rsidP="005A5946">
      <w:pPr>
        <w:jc w:val="both"/>
        <w:outlineLvl w:val="0"/>
        <w:rPr>
          <w:rFonts w:ascii="Arial" w:hAnsi="Arial" w:cs="Arial"/>
          <w:sz w:val="24"/>
          <w:szCs w:val="24"/>
          <w:lang w:val="fr-FR"/>
        </w:rPr>
      </w:pPr>
      <w:r w:rsidRPr="00652C03">
        <w:rPr>
          <w:rFonts w:ascii="Arial" w:hAnsi="Arial" w:cs="Arial"/>
          <w:sz w:val="24"/>
          <w:szCs w:val="24"/>
          <w:lang w:val="fr-FR"/>
        </w:rPr>
        <w:t>Les membres du groupe de travail ont évoqué un certain nombre de modifications possibles des textes d'application de la convention portant statut des écoles européennes en vue d'assurer la "protection juridictionnelle adéquate" prévue au quatrième considérant de ladite convention. Chacune des mesures ainsi envisagées devra faire l'objet d'une réflexion plus approfondie pour en déterminer l'impact exact.</w:t>
      </w:r>
    </w:p>
    <w:p w:rsidR="00652C03" w:rsidRDefault="00652C03" w:rsidP="005A5946">
      <w:pPr>
        <w:jc w:val="both"/>
        <w:outlineLvl w:val="0"/>
        <w:rPr>
          <w:rFonts w:ascii="Arial" w:hAnsi="Arial" w:cs="Arial"/>
          <w:sz w:val="24"/>
          <w:szCs w:val="24"/>
          <w:lang w:val="fr-FR"/>
        </w:rPr>
      </w:pPr>
    </w:p>
    <w:p w:rsidR="005D4D6A" w:rsidRPr="00652C03" w:rsidRDefault="007F4B6A" w:rsidP="005A5946">
      <w:pPr>
        <w:jc w:val="both"/>
        <w:outlineLvl w:val="0"/>
        <w:rPr>
          <w:rFonts w:ascii="Arial" w:hAnsi="Arial" w:cs="Arial"/>
          <w:sz w:val="24"/>
          <w:szCs w:val="24"/>
          <w:lang w:val="fr-FR"/>
        </w:rPr>
      </w:pPr>
      <w:r w:rsidRPr="00652C03">
        <w:rPr>
          <w:rFonts w:ascii="Arial" w:hAnsi="Arial" w:cs="Arial"/>
          <w:sz w:val="24"/>
          <w:szCs w:val="24"/>
          <w:lang w:val="fr-FR"/>
        </w:rPr>
        <w:t xml:space="preserve">A - </w:t>
      </w:r>
      <w:r w:rsidRPr="00652C03">
        <w:rPr>
          <w:rFonts w:ascii="Arial" w:hAnsi="Arial" w:cs="Arial"/>
          <w:i/>
          <w:sz w:val="24"/>
          <w:szCs w:val="24"/>
          <w:lang w:val="fr-FR"/>
        </w:rPr>
        <w:t>Le statut et le règlement de procédure de la Chambre de recours</w:t>
      </w:r>
    </w:p>
    <w:p w:rsidR="008E5EB0" w:rsidRPr="00652C03" w:rsidRDefault="008E5EB0" w:rsidP="008E5EB0">
      <w:pPr>
        <w:jc w:val="both"/>
        <w:outlineLvl w:val="0"/>
        <w:rPr>
          <w:i/>
          <w:sz w:val="24"/>
          <w:szCs w:val="24"/>
          <w:lang w:val="fr-BE"/>
        </w:rPr>
      </w:pPr>
      <w:r w:rsidRPr="00652C03">
        <w:rPr>
          <w:rStyle w:val="Emphasis"/>
          <w:rFonts w:ascii="Arial" w:hAnsi="Arial" w:cs="Arial"/>
          <w:i w:val="0"/>
          <w:sz w:val="24"/>
          <w:szCs w:val="24"/>
          <w:lang w:val="fr-FR"/>
        </w:rPr>
        <w:t>Plusieurs améliorations pourraient être apportées au fonctionnement de la Chambre de recours dans le souci de permettre un traitement plus efficace des recours, dont le nombre a considérablement augmenté au cours des dernières années, et d'assurer ainsi une meilleure protection juridictionnelle.</w:t>
      </w:r>
    </w:p>
    <w:p w:rsidR="00561206" w:rsidRPr="00652C03" w:rsidRDefault="00E80E68" w:rsidP="005A5946">
      <w:pPr>
        <w:jc w:val="both"/>
        <w:outlineLvl w:val="0"/>
        <w:rPr>
          <w:rFonts w:ascii="Arial" w:hAnsi="Arial" w:cs="Arial"/>
          <w:sz w:val="24"/>
          <w:szCs w:val="24"/>
          <w:lang w:val="fr-FR"/>
        </w:rPr>
      </w:pPr>
      <w:r w:rsidRPr="00652C03">
        <w:rPr>
          <w:rFonts w:ascii="Arial" w:hAnsi="Arial" w:cs="Arial"/>
          <w:sz w:val="24"/>
          <w:szCs w:val="24"/>
          <w:lang w:val="fr-FR"/>
        </w:rPr>
        <w:t>La principale innovation pourrait consister en l</w:t>
      </w:r>
      <w:r w:rsidR="006A37D7" w:rsidRPr="00652C03">
        <w:rPr>
          <w:rFonts w:ascii="Arial" w:hAnsi="Arial" w:cs="Arial"/>
          <w:sz w:val="24"/>
          <w:szCs w:val="24"/>
          <w:lang w:val="fr-FR"/>
        </w:rPr>
        <w:t>'extension de l</w:t>
      </w:r>
      <w:r w:rsidRPr="00652C03">
        <w:rPr>
          <w:rFonts w:ascii="Arial" w:hAnsi="Arial" w:cs="Arial"/>
          <w:sz w:val="24"/>
          <w:szCs w:val="24"/>
          <w:lang w:val="fr-FR"/>
        </w:rPr>
        <w:t xml:space="preserve">a </w:t>
      </w:r>
      <w:r w:rsidR="006A37D7" w:rsidRPr="00652C03">
        <w:rPr>
          <w:rFonts w:ascii="Arial" w:hAnsi="Arial" w:cs="Arial"/>
          <w:sz w:val="24"/>
          <w:szCs w:val="24"/>
          <w:lang w:val="fr-FR"/>
        </w:rPr>
        <w:t>possibilité donnée à un</w:t>
      </w:r>
      <w:r w:rsidRPr="00652C03">
        <w:rPr>
          <w:rFonts w:ascii="Arial" w:hAnsi="Arial" w:cs="Arial"/>
          <w:sz w:val="24"/>
          <w:szCs w:val="24"/>
          <w:lang w:val="fr-FR"/>
        </w:rPr>
        <w:t xml:space="preserve"> juge </w:t>
      </w:r>
      <w:r w:rsidR="006A37D7" w:rsidRPr="00652C03">
        <w:rPr>
          <w:rFonts w:ascii="Arial" w:hAnsi="Arial" w:cs="Arial"/>
          <w:sz w:val="24"/>
          <w:szCs w:val="24"/>
          <w:lang w:val="fr-FR"/>
        </w:rPr>
        <w:t>de statuer seul</w:t>
      </w:r>
      <w:r w:rsidRPr="00652C03">
        <w:rPr>
          <w:rFonts w:ascii="Arial" w:hAnsi="Arial" w:cs="Arial"/>
          <w:sz w:val="24"/>
          <w:szCs w:val="24"/>
          <w:lang w:val="fr-FR"/>
        </w:rPr>
        <w:t xml:space="preserve"> sur un certain nombre de recours. Actuellement, </w:t>
      </w:r>
      <w:r w:rsidR="006A37D7" w:rsidRPr="00652C03">
        <w:rPr>
          <w:rFonts w:ascii="Arial" w:hAnsi="Arial" w:cs="Arial"/>
          <w:sz w:val="24"/>
          <w:szCs w:val="24"/>
          <w:lang w:val="fr-FR"/>
        </w:rPr>
        <w:t>cette possibilité n'existe que pour</w:t>
      </w:r>
      <w:r w:rsidRPr="00652C03">
        <w:rPr>
          <w:rFonts w:ascii="Arial" w:hAnsi="Arial" w:cs="Arial"/>
          <w:sz w:val="24"/>
          <w:szCs w:val="24"/>
          <w:lang w:val="fr-FR"/>
        </w:rPr>
        <w:t xml:space="preserve"> les recours en référé et </w:t>
      </w:r>
      <w:r w:rsidR="006A37D7" w:rsidRPr="00652C03">
        <w:rPr>
          <w:rFonts w:ascii="Arial" w:hAnsi="Arial" w:cs="Arial"/>
          <w:sz w:val="24"/>
          <w:szCs w:val="24"/>
          <w:lang w:val="fr-FR"/>
        </w:rPr>
        <w:t xml:space="preserve">pour </w:t>
      </w:r>
      <w:r w:rsidRPr="00652C03">
        <w:rPr>
          <w:rFonts w:ascii="Arial" w:hAnsi="Arial" w:cs="Arial"/>
          <w:sz w:val="24"/>
          <w:szCs w:val="24"/>
          <w:lang w:val="fr-FR"/>
        </w:rPr>
        <w:t>certains incidents de procédure (désistement et non-lieu</w:t>
      </w:r>
      <w:r w:rsidR="006A37D7" w:rsidRPr="00652C03">
        <w:rPr>
          <w:rFonts w:ascii="Arial" w:hAnsi="Arial" w:cs="Arial"/>
          <w:sz w:val="24"/>
          <w:szCs w:val="24"/>
          <w:lang w:val="fr-FR"/>
        </w:rPr>
        <w:t xml:space="preserve"> aboutissant à la radiation</w:t>
      </w:r>
      <w:r w:rsidRPr="00652C03">
        <w:rPr>
          <w:rFonts w:ascii="Arial" w:hAnsi="Arial" w:cs="Arial"/>
          <w:sz w:val="24"/>
          <w:szCs w:val="24"/>
          <w:lang w:val="fr-FR"/>
        </w:rPr>
        <w:t>) .</w:t>
      </w:r>
    </w:p>
    <w:p w:rsidR="00E80E68" w:rsidRPr="00652C03" w:rsidRDefault="00E80E68" w:rsidP="005A5946">
      <w:pPr>
        <w:jc w:val="both"/>
        <w:outlineLvl w:val="0"/>
        <w:rPr>
          <w:rFonts w:ascii="Arial" w:hAnsi="Arial" w:cs="Arial"/>
          <w:sz w:val="24"/>
          <w:szCs w:val="24"/>
          <w:lang w:val="fr-FR"/>
        </w:rPr>
      </w:pPr>
      <w:r w:rsidRPr="00652C03">
        <w:rPr>
          <w:rFonts w:ascii="Arial" w:hAnsi="Arial" w:cs="Arial"/>
          <w:sz w:val="24"/>
          <w:szCs w:val="24"/>
          <w:lang w:val="fr-FR"/>
        </w:rPr>
        <w:t>A l'instar de ce qui existe devant le Tribunal de l'Union européenne et le Tribunal de la fonction publique, les recours les plus simples</w:t>
      </w:r>
      <w:r w:rsidR="006A37D7" w:rsidRPr="00652C03">
        <w:rPr>
          <w:rFonts w:ascii="Arial" w:hAnsi="Arial" w:cs="Arial"/>
          <w:sz w:val="24"/>
          <w:szCs w:val="24"/>
          <w:lang w:val="fr-FR"/>
        </w:rPr>
        <w:t>, notamment mais pas seulement</w:t>
      </w:r>
      <w:r w:rsidRPr="00652C03">
        <w:rPr>
          <w:rFonts w:ascii="Arial" w:hAnsi="Arial" w:cs="Arial"/>
          <w:sz w:val="24"/>
          <w:szCs w:val="24"/>
          <w:lang w:val="fr-FR"/>
        </w:rPr>
        <w:t xml:space="preserve"> ceux mentionnés à l'article 32 du règlement de procédure de la Chambre de recours (recours manifestement irrecevables ou manifestement dépourvus de fondement en droit) pourraient être confiés à un juge unique appelé à statuer par ordonnance motivée.</w:t>
      </w:r>
    </w:p>
    <w:p w:rsidR="00E80E68" w:rsidRPr="00652C03" w:rsidRDefault="00E80E68" w:rsidP="005A5946">
      <w:pPr>
        <w:jc w:val="both"/>
        <w:outlineLvl w:val="0"/>
        <w:rPr>
          <w:rFonts w:ascii="Arial" w:hAnsi="Arial" w:cs="Arial"/>
          <w:sz w:val="24"/>
          <w:szCs w:val="24"/>
          <w:lang w:val="fr-FR"/>
        </w:rPr>
      </w:pPr>
      <w:r w:rsidRPr="00652C03">
        <w:rPr>
          <w:rFonts w:ascii="Arial" w:hAnsi="Arial" w:cs="Arial"/>
          <w:sz w:val="24"/>
          <w:szCs w:val="24"/>
          <w:lang w:val="fr-FR"/>
        </w:rPr>
        <w:t xml:space="preserve">Une telle mesure permettrait d'alléger la charge de fonctionnement de la Chambre </w:t>
      </w:r>
      <w:r w:rsidR="006A37D7" w:rsidRPr="00652C03">
        <w:rPr>
          <w:rFonts w:ascii="Arial" w:hAnsi="Arial" w:cs="Arial"/>
          <w:sz w:val="24"/>
          <w:szCs w:val="24"/>
          <w:lang w:val="fr-FR"/>
        </w:rPr>
        <w:t xml:space="preserve">de recours </w:t>
      </w:r>
      <w:r w:rsidRPr="00652C03">
        <w:rPr>
          <w:rFonts w:ascii="Arial" w:hAnsi="Arial" w:cs="Arial"/>
          <w:sz w:val="24"/>
          <w:szCs w:val="24"/>
          <w:lang w:val="fr-FR"/>
        </w:rPr>
        <w:t>et donc son coût. Mais elle pourrait aussi être accompagnée</w:t>
      </w:r>
      <w:r w:rsidR="006A37D7" w:rsidRPr="00652C03">
        <w:rPr>
          <w:rFonts w:ascii="Arial" w:hAnsi="Arial" w:cs="Arial"/>
          <w:sz w:val="24"/>
          <w:szCs w:val="24"/>
          <w:lang w:val="fr-FR"/>
        </w:rPr>
        <w:t>, parce que la Chambre statue en dernier ressort,</w:t>
      </w:r>
      <w:r w:rsidRPr="00652C03">
        <w:rPr>
          <w:rFonts w:ascii="Arial" w:hAnsi="Arial" w:cs="Arial"/>
          <w:sz w:val="24"/>
          <w:szCs w:val="24"/>
          <w:lang w:val="fr-FR"/>
        </w:rPr>
        <w:t xml:space="preserve"> de la possibilité, dans des conditions strictement définies, d'un renvoi à une formation collégiale. Un telle procédure, </w:t>
      </w:r>
      <w:r w:rsidR="006A37D7" w:rsidRPr="00652C03">
        <w:rPr>
          <w:rFonts w:ascii="Arial" w:hAnsi="Arial" w:cs="Arial"/>
          <w:sz w:val="24"/>
          <w:szCs w:val="24"/>
          <w:lang w:val="fr-FR"/>
        </w:rPr>
        <w:t>non</w:t>
      </w:r>
      <w:r w:rsidRPr="00652C03">
        <w:rPr>
          <w:rFonts w:ascii="Arial" w:hAnsi="Arial" w:cs="Arial"/>
          <w:sz w:val="24"/>
          <w:szCs w:val="24"/>
          <w:lang w:val="fr-FR"/>
        </w:rPr>
        <w:t xml:space="preserve"> constitutive d'un appel au sens strict,</w:t>
      </w:r>
      <w:r w:rsidR="006A37D7" w:rsidRPr="00652C03">
        <w:rPr>
          <w:rFonts w:ascii="Arial" w:hAnsi="Arial" w:cs="Arial"/>
          <w:sz w:val="24"/>
          <w:szCs w:val="24"/>
          <w:lang w:val="fr-FR"/>
        </w:rPr>
        <w:t xml:space="preserve"> s'apparenterait au mécanisme existant devant la Cour européenne des droits de l'homme pour le renvoi en grande chambre d'une affaire jugée par une chambre.</w:t>
      </w:r>
    </w:p>
    <w:p w:rsidR="006A37D7" w:rsidRPr="00652C03" w:rsidRDefault="006A37D7" w:rsidP="005A5946">
      <w:pPr>
        <w:jc w:val="both"/>
        <w:outlineLvl w:val="0"/>
        <w:rPr>
          <w:rFonts w:ascii="Arial" w:hAnsi="Arial" w:cs="Arial"/>
          <w:sz w:val="24"/>
          <w:szCs w:val="24"/>
          <w:lang w:val="fr-FR"/>
        </w:rPr>
      </w:pPr>
      <w:r w:rsidRPr="00652C03">
        <w:rPr>
          <w:rFonts w:ascii="Arial" w:hAnsi="Arial" w:cs="Arial"/>
          <w:sz w:val="24"/>
          <w:szCs w:val="24"/>
          <w:lang w:val="fr-FR"/>
        </w:rPr>
        <w:t>En outre, afin de décourager certains abus de procédures qui ont été constatés ces derniers temps, pourrait être instituée la possibilité pour la Chambre de recours d'infliger une amende pour recours abusif</w:t>
      </w:r>
      <w:r w:rsidR="00C142FC" w:rsidRPr="00652C03">
        <w:rPr>
          <w:rFonts w:ascii="Arial" w:hAnsi="Arial" w:cs="Arial"/>
          <w:sz w:val="24"/>
          <w:szCs w:val="24"/>
          <w:lang w:val="fr-FR"/>
        </w:rPr>
        <w:t>, dont l</w:t>
      </w:r>
      <w:r w:rsidR="004947AB" w:rsidRPr="00652C03">
        <w:rPr>
          <w:rFonts w:ascii="Arial" w:hAnsi="Arial" w:cs="Arial"/>
          <w:sz w:val="24"/>
          <w:szCs w:val="24"/>
          <w:lang w:val="fr-FR"/>
        </w:rPr>
        <w:t>e principe a été admis par la</w:t>
      </w:r>
      <w:r w:rsidR="00C142FC" w:rsidRPr="00652C03">
        <w:rPr>
          <w:rFonts w:ascii="Arial" w:hAnsi="Arial" w:cs="Arial"/>
          <w:sz w:val="24"/>
          <w:szCs w:val="24"/>
          <w:lang w:val="fr-FR"/>
        </w:rPr>
        <w:t xml:space="preserve"> Cour européenne des droits de l'homme</w:t>
      </w:r>
      <w:r w:rsidRPr="00652C03">
        <w:rPr>
          <w:rFonts w:ascii="Arial" w:hAnsi="Arial" w:cs="Arial"/>
          <w:sz w:val="24"/>
          <w:szCs w:val="24"/>
          <w:lang w:val="fr-FR"/>
        </w:rPr>
        <w:t xml:space="preserve"> </w:t>
      </w:r>
      <w:r w:rsidR="004947AB" w:rsidRPr="00652C03">
        <w:rPr>
          <w:rFonts w:ascii="Arial" w:hAnsi="Arial" w:cs="Arial"/>
          <w:sz w:val="24"/>
          <w:szCs w:val="24"/>
          <w:lang w:val="fr-FR"/>
        </w:rPr>
        <w:t>dès lors qu'elle a pour objet d'assurer une bonne administration de la justice et que son montant ne dépasse pas une somme pouvant être regardée comme constituant un obstacle à l'accès à un tribunal (CEDH 6 décembre 2005, requête n°35009/02).</w:t>
      </w:r>
    </w:p>
    <w:p w:rsidR="006A37D7" w:rsidRPr="00652C03" w:rsidRDefault="006A37D7" w:rsidP="005A5946">
      <w:pPr>
        <w:jc w:val="both"/>
        <w:outlineLvl w:val="0"/>
        <w:rPr>
          <w:rFonts w:ascii="Arial" w:hAnsi="Arial" w:cs="Arial"/>
          <w:sz w:val="24"/>
          <w:szCs w:val="24"/>
          <w:lang w:val="fr-FR"/>
        </w:rPr>
      </w:pPr>
    </w:p>
    <w:p w:rsidR="00A11B64" w:rsidRPr="00652C03" w:rsidRDefault="00A11B64" w:rsidP="005A5946">
      <w:pPr>
        <w:jc w:val="both"/>
        <w:outlineLvl w:val="0"/>
        <w:rPr>
          <w:rFonts w:ascii="Arial" w:hAnsi="Arial" w:cs="Arial"/>
          <w:sz w:val="24"/>
          <w:szCs w:val="24"/>
          <w:lang w:val="fr-FR"/>
        </w:rPr>
      </w:pPr>
      <w:r w:rsidRPr="00652C03">
        <w:rPr>
          <w:rFonts w:ascii="Arial" w:hAnsi="Arial" w:cs="Arial"/>
          <w:sz w:val="24"/>
          <w:szCs w:val="24"/>
          <w:lang w:val="fr-FR"/>
        </w:rPr>
        <w:t xml:space="preserve">B - </w:t>
      </w:r>
      <w:r w:rsidRPr="00652C03">
        <w:rPr>
          <w:rFonts w:ascii="Arial" w:hAnsi="Arial" w:cs="Arial"/>
          <w:i/>
          <w:sz w:val="24"/>
          <w:szCs w:val="24"/>
          <w:lang w:val="fr-FR"/>
        </w:rPr>
        <w:t>Le règlement général des écoles européennes</w:t>
      </w:r>
    </w:p>
    <w:p w:rsidR="00A11B64" w:rsidRPr="00652C03" w:rsidRDefault="004947AB" w:rsidP="00EB5E92">
      <w:pPr>
        <w:jc w:val="both"/>
        <w:outlineLvl w:val="0"/>
        <w:rPr>
          <w:rFonts w:ascii="Arial" w:hAnsi="Arial" w:cs="Arial"/>
          <w:sz w:val="24"/>
          <w:szCs w:val="24"/>
          <w:lang w:val="fr-FR"/>
        </w:rPr>
      </w:pPr>
      <w:r w:rsidRPr="00652C03">
        <w:rPr>
          <w:rFonts w:ascii="Arial" w:hAnsi="Arial" w:cs="Arial"/>
          <w:sz w:val="24"/>
          <w:szCs w:val="24"/>
          <w:lang w:val="fr-FR"/>
        </w:rPr>
        <w:t>Plusieurs modifications ou compléments peuvent être envisagés pour que ce règlement général, qui n'assure qu'une protection juridictionnelle limitée, soit plus en harmonie avec l'article 27 de la convention portant statut des écoles européennes</w:t>
      </w:r>
      <w:r w:rsidR="00EB5E92" w:rsidRPr="00652C03">
        <w:rPr>
          <w:rFonts w:ascii="Arial" w:hAnsi="Arial" w:cs="Arial"/>
          <w:sz w:val="24"/>
          <w:szCs w:val="24"/>
          <w:lang w:val="fr-FR"/>
        </w:rPr>
        <w:t>, selon lequel le contrôle de légalité exercé par la Chambre de recours doit porter sur tout "acte faisant grief fondé sur la convention ou sur des règles arrêtées en application de celle-ci".</w:t>
      </w:r>
    </w:p>
    <w:p w:rsidR="00F92F02" w:rsidRPr="00652C03" w:rsidRDefault="00EB5E92" w:rsidP="00EB5E92">
      <w:pPr>
        <w:jc w:val="both"/>
        <w:outlineLvl w:val="0"/>
        <w:rPr>
          <w:rFonts w:ascii="Arial" w:hAnsi="Arial" w:cs="Arial"/>
          <w:sz w:val="24"/>
          <w:szCs w:val="24"/>
          <w:lang w:val="fr-FR"/>
        </w:rPr>
      </w:pPr>
      <w:r w:rsidRPr="00652C03">
        <w:rPr>
          <w:rFonts w:ascii="Arial" w:hAnsi="Arial" w:cs="Arial"/>
          <w:sz w:val="24"/>
          <w:szCs w:val="24"/>
          <w:lang w:val="fr-FR"/>
        </w:rPr>
        <w:t>Outre les possibilités de recours prévus par les articles 66 et 67 du règlement général, qui sont limitées à des actes spécifiques et dans des délais très courts, il y aurait lieu de prévoir la possibilité de contester tout autre acte faisant grief dans des conditions plus proches de celles observées en général devant les juridictions administratives</w:t>
      </w:r>
      <w:r w:rsidR="00F92F02" w:rsidRPr="00652C03">
        <w:rPr>
          <w:rFonts w:ascii="Arial" w:hAnsi="Arial" w:cs="Arial"/>
          <w:sz w:val="24"/>
          <w:szCs w:val="24"/>
          <w:lang w:val="fr-FR"/>
        </w:rPr>
        <w:t>.</w:t>
      </w:r>
    </w:p>
    <w:p w:rsidR="00F92F02" w:rsidRPr="00652C03" w:rsidRDefault="00F92F02" w:rsidP="00EB5E92">
      <w:pPr>
        <w:jc w:val="both"/>
        <w:outlineLvl w:val="0"/>
        <w:rPr>
          <w:rFonts w:ascii="Arial" w:hAnsi="Arial" w:cs="Arial"/>
          <w:sz w:val="24"/>
          <w:szCs w:val="24"/>
          <w:lang w:val="fr-FR"/>
        </w:rPr>
      </w:pPr>
      <w:r w:rsidRPr="00652C03">
        <w:rPr>
          <w:rFonts w:ascii="Arial" w:hAnsi="Arial" w:cs="Arial"/>
          <w:sz w:val="24"/>
          <w:szCs w:val="24"/>
          <w:lang w:val="fr-FR"/>
        </w:rPr>
        <w:t xml:space="preserve">En ce qui concerne les délais de recours, si celui de deux semaines semble justifié pour les recours devant être traités assez rapidement en raison de l'échéance de la rentrée scolaire (notamment les recours dirigés contre les refus d'inscription ou de passage en classe supérieure), il n'en est pas de même </w:t>
      </w:r>
      <w:r w:rsidR="00743B1D" w:rsidRPr="00652C03">
        <w:rPr>
          <w:rFonts w:ascii="Arial" w:hAnsi="Arial" w:cs="Arial"/>
          <w:sz w:val="24"/>
          <w:szCs w:val="24"/>
          <w:lang w:val="fr-FR"/>
        </w:rPr>
        <w:t>pour l</w:t>
      </w:r>
      <w:r w:rsidRPr="00652C03">
        <w:rPr>
          <w:rFonts w:ascii="Arial" w:hAnsi="Arial" w:cs="Arial"/>
          <w:sz w:val="24"/>
          <w:szCs w:val="24"/>
          <w:lang w:val="fr-FR"/>
        </w:rPr>
        <w:t xml:space="preserve">es autres recours. Un délai d'au moins un mois doit pouvoir être admis </w:t>
      </w:r>
      <w:r w:rsidR="00743B1D" w:rsidRPr="00652C03">
        <w:rPr>
          <w:rFonts w:ascii="Arial" w:hAnsi="Arial" w:cs="Arial"/>
          <w:sz w:val="24"/>
          <w:szCs w:val="24"/>
          <w:lang w:val="fr-FR"/>
        </w:rPr>
        <w:t xml:space="preserve">pour </w:t>
      </w:r>
      <w:r w:rsidR="0092741E" w:rsidRPr="00652C03">
        <w:rPr>
          <w:rFonts w:ascii="Arial" w:hAnsi="Arial" w:cs="Arial"/>
          <w:sz w:val="24"/>
          <w:szCs w:val="24"/>
          <w:lang w:val="fr-FR"/>
        </w:rPr>
        <w:t>ceux-ci</w:t>
      </w:r>
      <w:r w:rsidRPr="00652C03">
        <w:rPr>
          <w:rFonts w:ascii="Arial" w:hAnsi="Arial" w:cs="Arial"/>
          <w:sz w:val="24"/>
          <w:szCs w:val="24"/>
          <w:lang w:val="fr-FR"/>
        </w:rPr>
        <w:t xml:space="preserve"> (le délai le plus généralement reconnu </w:t>
      </w:r>
      <w:r w:rsidR="00424209" w:rsidRPr="00652C03">
        <w:rPr>
          <w:rFonts w:ascii="Arial" w:hAnsi="Arial" w:cs="Arial"/>
          <w:sz w:val="24"/>
          <w:szCs w:val="24"/>
          <w:lang w:val="fr-FR"/>
        </w:rPr>
        <w:t xml:space="preserve">en matière administrative </w:t>
      </w:r>
      <w:r w:rsidRPr="00652C03">
        <w:rPr>
          <w:rFonts w:ascii="Arial" w:hAnsi="Arial" w:cs="Arial"/>
          <w:sz w:val="24"/>
          <w:szCs w:val="24"/>
          <w:lang w:val="fr-FR"/>
        </w:rPr>
        <w:t>est de deux mois et il est même de trois mois pour le personnel détaché devant la Chambre de recours et pour les fonctionnaires de l'Union européenne devant le Tribunal de la fonction publique).</w:t>
      </w:r>
    </w:p>
    <w:p w:rsidR="00EB5E92" w:rsidRPr="00652C03" w:rsidRDefault="00F92F02" w:rsidP="00EB5E92">
      <w:pPr>
        <w:jc w:val="both"/>
        <w:outlineLvl w:val="0"/>
        <w:rPr>
          <w:rFonts w:ascii="Arial" w:hAnsi="Arial" w:cs="Arial"/>
          <w:sz w:val="24"/>
          <w:szCs w:val="24"/>
          <w:lang w:val="fr-FR"/>
        </w:rPr>
      </w:pPr>
      <w:r w:rsidRPr="00652C03">
        <w:rPr>
          <w:rFonts w:ascii="Arial" w:hAnsi="Arial" w:cs="Arial"/>
          <w:sz w:val="24"/>
          <w:szCs w:val="24"/>
          <w:lang w:val="fr-FR"/>
        </w:rPr>
        <w:t>S'agissant des</w:t>
      </w:r>
      <w:r w:rsidR="00EB5E92" w:rsidRPr="00652C03">
        <w:rPr>
          <w:rFonts w:ascii="Arial" w:hAnsi="Arial" w:cs="Arial"/>
          <w:sz w:val="24"/>
          <w:szCs w:val="24"/>
          <w:lang w:val="fr-FR"/>
        </w:rPr>
        <w:t xml:space="preserve"> modalités déjà existantes,</w:t>
      </w:r>
      <w:r w:rsidR="00424209" w:rsidRPr="00652C03">
        <w:rPr>
          <w:rFonts w:ascii="Arial" w:hAnsi="Arial" w:cs="Arial"/>
          <w:sz w:val="24"/>
          <w:szCs w:val="24"/>
          <w:lang w:val="fr-FR"/>
        </w:rPr>
        <w:t xml:space="preserve"> </w:t>
      </w:r>
      <w:r w:rsidR="00EB5E92" w:rsidRPr="00652C03">
        <w:rPr>
          <w:rFonts w:ascii="Arial" w:hAnsi="Arial" w:cs="Arial"/>
          <w:sz w:val="24"/>
          <w:szCs w:val="24"/>
          <w:lang w:val="fr-FR"/>
        </w:rPr>
        <w:t>certaines améliorations peuvent également être envisagées</w:t>
      </w:r>
      <w:r w:rsidR="00D56706" w:rsidRPr="00652C03">
        <w:rPr>
          <w:rFonts w:ascii="Arial" w:hAnsi="Arial" w:cs="Arial"/>
          <w:sz w:val="24"/>
          <w:szCs w:val="24"/>
          <w:lang w:val="fr-FR"/>
        </w:rPr>
        <w:t xml:space="preserve">, par exemple </w:t>
      </w:r>
      <w:r w:rsidR="00EB5E92" w:rsidRPr="00652C03">
        <w:rPr>
          <w:rFonts w:ascii="Arial" w:hAnsi="Arial" w:cs="Arial"/>
          <w:sz w:val="24"/>
          <w:szCs w:val="24"/>
          <w:lang w:val="fr-FR"/>
        </w:rPr>
        <w:t>:</w:t>
      </w:r>
    </w:p>
    <w:p w:rsidR="00EB5E92" w:rsidRPr="00652C03" w:rsidRDefault="00EB5E92" w:rsidP="00EB5E92">
      <w:pPr>
        <w:jc w:val="both"/>
        <w:outlineLvl w:val="0"/>
        <w:rPr>
          <w:rFonts w:ascii="Arial" w:hAnsi="Arial" w:cs="Arial"/>
          <w:sz w:val="24"/>
          <w:szCs w:val="24"/>
          <w:lang w:val="fr-FR"/>
        </w:rPr>
      </w:pPr>
      <w:r w:rsidRPr="00652C03">
        <w:rPr>
          <w:rFonts w:ascii="Arial" w:hAnsi="Arial" w:cs="Arial"/>
          <w:sz w:val="24"/>
          <w:szCs w:val="24"/>
          <w:lang w:val="fr-FR"/>
        </w:rPr>
        <w:t>-</w:t>
      </w:r>
      <w:r w:rsidR="00F92F02" w:rsidRPr="00652C03">
        <w:rPr>
          <w:rFonts w:ascii="Arial" w:hAnsi="Arial" w:cs="Arial"/>
          <w:sz w:val="24"/>
          <w:szCs w:val="24"/>
          <w:lang w:val="fr-FR"/>
        </w:rPr>
        <w:t xml:space="preserve"> </w:t>
      </w:r>
      <w:r w:rsidRPr="00652C03">
        <w:rPr>
          <w:rFonts w:ascii="Arial" w:hAnsi="Arial" w:cs="Arial"/>
          <w:sz w:val="24"/>
          <w:szCs w:val="24"/>
          <w:lang w:val="fr-FR"/>
        </w:rPr>
        <w:t xml:space="preserve"> </w:t>
      </w:r>
      <w:r w:rsidR="00D56706" w:rsidRPr="00652C03">
        <w:rPr>
          <w:rFonts w:ascii="Arial" w:hAnsi="Arial" w:cs="Arial"/>
          <w:sz w:val="24"/>
          <w:szCs w:val="24"/>
          <w:lang w:val="fr-FR"/>
        </w:rPr>
        <w:t>la possibilité de contester les mesures disciplinaires concernant les élèves ne devrait pas être limitée aux décisions portant exclusion temporaire d'au moins dix jours ou exclusion définitive (article 44</w:t>
      </w:r>
      <w:r w:rsidR="005E0C5F" w:rsidRPr="00652C03">
        <w:rPr>
          <w:rFonts w:ascii="Arial" w:hAnsi="Arial" w:cs="Arial"/>
          <w:sz w:val="24"/>
          <w:szCs w:val="24"/>
          <w:lang w:val="fr-FR"/>
        </w:rPr>
        <w:t>.9</w:t>
      </w:r>
      <w:r w:rsidR="00D56706" w:rsidRPr="00652C03">
        <w:rPr>
          <w:rFonts w:ascii="Arial" w:hAnsi="Arial" w:cs="Arial"/>
          <w:sz w:val="24"/>
          <w:szCs w:val="24"/>
          <w:lang w:val="fr-FR"/>
        </w:rPr>
        <w:t>) mais étendue à toutes les décisions prises sur proposition du conseil de discipline ;</w:t>
      </w:r>
    </w:p>
    <w:p w:rsidR="00D56706" w:rsidRPr="00652C03" w:rsidRDefault="00D56706" w:rsidP="00EB5E92">
      <w:pPr>
        <w:jc w:val="both"/>
        <w:outlineLvl w:val="0"/>
        <w:rPr>
          <w:rFonts w:ascii="Arial" w:hAnsi="Arial" w:cs="Arial"/>
          <w:sz w:val="24"/>
          <w:szCs w:val="24"/>
          <w:lang w:val="fr-FR"/>
        </w:rPr>
      </w:pPr>
      <w:r w:rsidRPr="00652C03">
        <w:rPr>
          <w:rFonts w:ascii="Arial" w:hAnsi="Arial" w:cs="Arial"/>
          <w:sz w:val="24"/>
          <w:szCs w:val="24"/>
          <w:lang w:val="fr-FR"/>
        </w:rPr>
        <w:t>- la possibilité de saisir directement la Chambre de recours pour contester une décision de l'Autorité centrale des inscription</w:t>
      </w:r>
      <w:r w:rsidR="00743B1D" w:rsidRPr="00652C03">
        <w:rPr>
          <w:rFonts w:ascii="Arial" w:hAnsi="Arial" w:cs="Arial"/>
          <w:sz w:val="24"/>
          <w:szCs w:val="24"/>
          <w:lang w:val="fr-FR"/>
        </w:rPr>
        <w:t>s</w:t>
      </w:r>
      <w:r w:rsidRPr="00652C03">
        <w:rPr>
          <w:rFonts w:ascii="Arial" w:hAnsi="Arial" w:cs="Arial"/>
          <w:sz w:val="24"/>
          <w:szCs w:val="24"/>
          <w:lang w:val="fr-FR"/>
        </w:rPr>
        <w:t xml:space="preserve"> des écoles européennes de Bruxelles (article 50 bis</w:t>
      </w:r>
      <w:r w:rsidR="005E0C5F" w:rsidRPr="00652C03">
        <w:rPr>
          <w:rFonts w:ascii="Arial" w:hAnsi="Arial" w:cs="Arial"/>
          <w:sz w:val="24"/>
          <w:szCs w:val="24"/>
          <w:lang w:val="fr-FR"/>
        </w:rPr>
        <w:t>.3</w:t>
      </w:r>
      <w:r w:rsidRPr="00652C03">
        <w:rPr>
          <w:rFonts w:ascii="Arial" w:hAnsi="Arial" w:cs="Arial"/>
          <w:sz w:val="24"/>
          <w:szCs w:val="24"/>
          <w:lang w:val="fr-FR"/>
        </w:rPr>
        <w:t>) ne devrait pas exclure celle de saisir cette Autorité d'un recours gracieux conservant le délai de recours contentieux ;</w:t>
      </w:r>
    </w:p>
    <w:p w:rsidR="00EB5E92" w:rsidRPr="00652C03" w:rsidRDefault="00D56706" w:rsidP="00EB5E92">
      <w:pPr>
        <w:jc w:val="both"/>
        <w:outlineLvl w:val="0"/>
        <w:rPr>
          <w:rFonts w:ascii="Arial" w:hAnsi="Arial" w:cs="Arial"/>
          <w:sz w:val="24"/>
          <w:szCs w:val="24"/>
          <w:lang w:val="fr-FR"/>
        </w:rPr>
      </w:pPr>
      <w:r w:rsidRPr="00652C03">
        <w:rPr>
          <w:rFonts w:ascii="Arial" w:hAnsi="Arial" w:cs="Arial"/>
          <w:sz w:val="24"/>
          <w:szCs w:val="24"/>
          <w:lang w:val="fr-FR"/>
        </w:rPr>
        <w:t xml:space="preserve">- la notification des décisions susceptibles d'être contestées devant ,la Chambre de recours ne devrait pas être réputée </w:t>
      </w:r>
      <w:r w:rsidR="005E0C5F" w:rsidRPr="00652C03">
        <w:rPr>
          <w:rFonts w:ascii="Arial" w:hAnsi="Arial" w:cs="Arial"/>
          <w:sz w:val="24"/>
          <w:szCs w:val="24"/>
          <w:lang w:val="fr-FR"/>
        </w:rPr>
        <w:t>faite à partir de son envoi (article 66.5) ma</w:t>
      </w:r>
      <w:r w:rsidR="0092741E" w:rsidRPr="00652C03">
        <w:rPr>
          <w:rFonts w:ascii="Arial" w:hAnsi="Arial" w:cs="Arial"/>
          <w:sz w:val="24"/>
          <w:szCs w:val="24"/>
          <w:lang w:val="fr-FR"/>
        </w:rPr>
        <w:t>is</w:t>
      </w:r>
      <w:r w:rsidR="005E0C5F" w:rsidRPr="00652C03">
        <w:rPr>
          <w:rFonts w:ascii="Arial" w:hAnsi="Arial" w:cs="Arial"/>
          <w:sz w:val="24"/>
          <w:szCs w:val="24"/>
          <w:lang w:val="fr-FR"/>
        </w:rPr>
        <w:t xml:space="preserve"> à pa</w:t>
      </w:r>
      <w:r w:rsidR="0092741E" w:rsidRPr="00652C03">
        <w:rPr>
          <w:rFonts w:ascii="Arial" w:hAnsi="Arial" w:cs="Arial"/>
          <w:sz w:val="24"/>
          <w:szCs w:val="24"/>
          <w:lang w:val="fr-FR"/>
        </w:rPr>
        <w:t>rt</w:t>
      </w:r>
      <w:r w:rsidR="005E0C5F" w:rsidRPr="00652C03">
        <w:rPr>
          <w:rFonts w:ascii="Arial" w:hAnsi="Arial" w:cs="Arial"/>
          <w:sz w:val="24"/>
          <w:szCs w:val="24"/>
          <w:lang w:val="fr-FR"/>
        </w:rPr>
        <w:t>ir de sa réception effective.</w:t>
      </w:r>
    </w:p>
    <w:p w:rsidR="00A11B64" w:rsidRPr="00652C03" w:rsidRDefault="00A11B64" w:rsidP="005A5946">
      <w:pPr>
        <w:jc w:val="both"/>
        <w:outlineLvl w:val="0"/>
        <w:rPr>
          <w:rFonts w:ascii="Arial" w:hAnsi="Arial" w:cs="Arial"/>
          <w:sz w:val="24"/>
          <w:szCs w:val="24"/>
          <w:lang w:val="fr-FR"/>
        </w:rPr>
      </w:pPr>
    </w:p>
    <w:p w:rsidR="00652C03" w:rsidRDefault="00652C03">
      <w:pPr>
        <w:rPr>
          <w:rFonts w:ascii="Arial" w:hAnsi="Arial" w:cs="Arial"/>
          <w:sz w:val="24"/>
          <w:szCs w:val="24"/>
          <w:lang w:val="fr-FR"/>
        </w:rPr>
      </w:pPr>
      <w:r>
        <w:rPr>
          <w:rFonts w:ascii="Arial" w:hAnsi="Arial" w:cs="Arial"/>
          <w:sz w:val="24"/>
          <w:szCs w:val="24"/>
          <w:lang w:val="fr-FR"/>
        </w:rPr>
        <w:br w:type="page"/>
      </w:r>
    </w:p>
    <w:p w:rsidR="00A11B64" w:rsidRPr="00652C03" w:rsidRDefault="00A11B64" w:rsidP="005A5946">
      <w:pPr>
        <w:jc w:val="both"/>
        <w:outlineLvl w:val="0"/>
        <w:rPr>
          <w:rFonts w:ascii="Arial" w:hAnsi="Arial" w:cs="Arial"/>
          <w:i/>
          <w:sz w:val="24"/>
          <w:szCs w:val="24"/>
          <w:lang w:val="fr-FR"/>
        </w:rPr>
      </w:pPr>
      <w:r w:rsidRPr="00652C03">
        <w:rPr>
          <w:rFonts w:ascii="Arial" w:hAnsi="Arial" w:cs="Arial"/>
          <w:sz w:val="24"/>
          <w:szCs w:val="24"/>
          <w:lang w:val="fr-FR"/>
        </w:rPr>
        <w:t xml:space="preserve">C - </w:t>
      </w:r>
      <w:r w:rsidRPr="00652C03">
        <w:rPr>
          <w:rFonts w:ascii="Arial" w:hAnsi="Arial" w:cs="Arial"/>
          <w:i/>
          <w:sz w:val="24"/>
          <w:szCs w:val="24"/>
          <w:lang w:val="fr-FR"/>
        </w:rPr>
        <w:t>Le st</w:t>
      </w:r>
      <w:r w:rsidR="004947AB" w:rsidRPr="00652C03">
        <w:rPr>
          <w:rFonts w:ascii="Arial" w:hAnsi="Arial" w:cs="Arial"/>
          <w:i/>
          <w:sz w:val="24"/>
          <w:szCs w:val="24"/>
          <w:lang w:val="fr-FR"/>
        </w:rPr>
        <w:t>a</w:t>
      </w:r>
      <w:r w:rsidRPr="00652C03">
        <w:rPr>
          <w:rFonts w:ascii="Arial" w:hAnsi="Arial" w:cs="Arial"/>
          <w:i/>
          <w:sz w:val="24"/>
          <w:szCs w:val="24"/>
          <w:lang w:val="fr-FR"/>
        </w:rPr>
        <w:t>tut du personnel détaché et celui des chargés de cours</w:t>
      </w:r>
    </w:p>
    <w:p w:rsidR="005E0C5F" w:rsidRPr="00652C03" w:rsidRDefault="005E0C5F" w:rsidP="005A5946">
      <w:pPr>
        <w:jc w:val="both"/>
        <w:outlineLvl w:val="0"/>
        <w:rPr>
          <w:rFonts w:ascii="Arial" w:hAnsi="Arial" w:cs="Arial"/>
          <w:sz w:val="24"/>
          <w:szCs w:val="24"/>
          <w:lang w:val="fr-FR"/>
        </w:rPr>
      </w:pPr>
      <w:r w:rsidRPr="00652C03">
        <w:rPr>
          <w:rFonts w:ascii="Arial" w:hAnsi="Arial" w:cs="Arial"/>
          <w:sz w:val="24"/>
          <w:szCs w:val="24"/>
          <w:lang w:val="fr-FR"/>
        </w:rPr>
        <w:t>Pour le statut du personnel détaché, qui est assez largement inspiré de celui des fonctionnaires de l'Union européenne, il conviendrait seulement de lui apporter des modifications analogues à celle qui ont été apportées à ce dernier en matière de recours</w:t>
      </w:r>
      <w:r w:rsidR="00AE72B5" w:rsidRPr="00652C03">
        <w:rPr>
          <w:rFonts w:ascii="Arial" w:hAnsi="Arial" w:cs="Arial"/>
          <w:sz w:val="24"/>
          <w:szCs w:val="24"/>
          <w:lang w:val="fr-FR"/>
        </w:rPr>
        <w:t xml:space="preserve"> (notamment en ce qui concerne les délais).</w:t>
      </w:r>
    </w:p>
    <w:p w:rsidR="005E0C5F" w:rsidRPr="00652C03" w:rsidRDefault="005E0C5F" w:rsidP="005A5946">
      <w:pPr>
        <w:jc w:val="both"/>
        <w:outlineLvl w:val="0"/>
        <w:rPr>
          <w:rFonts w:ascii="Arial" w:hAnsi="Arial" w:cs="Arial"/>
          <w:sz w:val="24"/>
          <w:szCs w:val="24"/>
          <w:lang w:val="fr-FR"/>
        </w:rPr>
      </w:pPr>
      <w:r w:rsidRPr="00652C03">
        <w:rPr>
          <w:rFonts w:ascii="Arial" w:hAnsi="Arial" w:cs="Arial"/>
          <w:sz w:val="24"/>
          <w:szCs w:val="24"/>
          <w:lang w:val="fr-FR"/>
        </w:rPr>
        <w:t xml:space="preserve">Quant au statut des chargés de cours, qui ne prévoit que de manière restrictive la compétence de la Chambre de recours, il semble opportun d'attendre l'arrêt que doit rendre à ce sujet la Cour de justice de l'Union européenne, saisie de cette question par un renvoi préjudiciel du </w:t>
      </w:r>
      <w:r w:rsidRPr="00652C03">
        <w:rPr>
          <w:rFonts w:ascii="Arial" w:hAnsi="Arial" w:cs="Arial"/>
          <w:i/>
          <w:sz w:val="24"/>
          <w:szCs w:val="24"/>
          <w:lang w:val="fr-FR"/>
        </w:rPr>
        <w:t xml:space="preserve">Bundesarbeitsgericht </w:t>
      </w:r>
      <w:r w:rsidRPr="00652C03">
        <w:rPr>
          <w:rFonts w:ascii="Arial" w:hAnsi="Arial" w:cs="Arial"/>
          <w:sz w:val="24"/>
          <w:szCs w:val="24"/>
          <w:lang w:val="fr-FR"/>
        </w:rPr>
        <w:t xml:space="preserve"> (Cour fédérale allemande du travail).</w:t>
      </w:r>
    </w:p>
    <w:p w:rsidR="00652C03" w:rsidRPr="009E7705" w:rsidRDefault="00652C03" w:rsidP="009E7705">
      <w:pPr>
        <w:outlineLvl w:val="0"/>
        <w:rPr>
          <w:rFonts w:ascii="Arial" w:hAnsi="Arial" w:cs="Arial"/>
          <w:sz w:val="24"/>
          <w:szCs w:val="24"/>
          <w:lang w:val="fr-FR"/>
        </w:rPr>
      </w:pPr>
    </w:p>
    <w:p w:rsidR="00652C03" w:rsidRPr="00652C03" w:rsidRDefault="00652C03" w:rsidP="005A5946">
      <w:pPr>
        <w:jc w:val="both"/>
        <w:outlineLvl w:val="0"/>
        <w:rPr>
          <w:rFonts w:ascii="Arial" w:hAnsi="Arial" w:cs="Arial"/>
          <w:sz w:val="24"/>
          <w:szCs w:val="24"/>
          <w:lang w:val="fr-FR"/>
        </w:rPr>
      </w:pPr>
    </w:p>
    <w:p w:rsidR="005E0C5F" w:rsidRPr="00652C03" w:rsidRDefault="005E0C5F" w:rsidP="005A5946">
      <w:pPr>
        <w:jc w:val="both"/>
        <w:outlineLvl w:val="0"/>
        <w:rPr>
          <w:rFonts w:ascii="Arial" w:hAnsi="Arial" w:cs="Arial"/>
          <w:sz w:val="24"/>
          <w:szCs w:val="24"/>
          <w:lang w:val="fr-FR"/>
        </w:rPr>
      </w:pPr>
      <w:r w:rsidRPr="00652C03">
        <w:rPr>
          <w:rFonts w:ascii="Arial" w:hAnsi="Arial" w:cs="Arial"/>
          <w:sz w:val="24"/>
          <w:szCs w:val="24"/>
          <w:lang w:val="fr-FR"/>
        </w:rPr>
        <w:t>Telles sont les réflexions initiales du groupe de travail qui peuvent être soumises en l'état au Conseil supérieur des écoles européennes.</w:t>
      </w:r>
    </w:p>
    <w:p w:rsidR="00424209" w:rsidRPr="00652C03" w:rsidRDefault="00424209" w:rsidP="00424209">
      <w:pPr>
        <w:jc w:val="both"/>
        <w:outlineLvl w:val="0"/>
        <w:rPr>
          <w:rFonts w:ascii="Arial" w:hAnsi="Arial" w:cs="Arial"/>
          <w:sz w:val="24"/>
          <w:szCs w:val="24"/>
          <w:lang w:val="fr-FR"/>
        </w:rPr>
      </w:pPr>
      <w:r w:rsidRPr="00652C03">
        <w:rPr>
          <w:rFonts w:ascii="Arial" w:hAnsi="Arial" w:cs="Arial"/>
          <w:sz w:val="24"/>
          <w:szCs w:val="24"/>
          <w:lang w:val="fr-FR"/>
        </w:rPr>
        <w:t xml:space="preserve">Il a été convenu de tenir une nouvelle réunion le </w:t>
      </w:r>
      <w:r w:rsidRPr="00652C03">
        <w:rPr>
          <w:rFonts w:ascii="Arial" w:hAnsi="Arial" w:cs="Arial"/>
          <w:sz w:val="24"/>
          <w:szCs w:val="24"/>
          <w:u w:val="single"/>
          <w:lang w:val="fr-FR"/>
        </w:rPr>
        <w:t>29 janvier 2014</w:t>
      </w:r>
      <w:r w:rsidRPr="00652C03">
        <w:rPr>
          <w:rFonts w:ascii="Arial" w:hAnsi="Arial" w:cs="Arial"/>
          <w:sz w:val="24"/>
          <w:szCs w:val="24"/>
          <w:lang w:val="fr-FR"/>
        </w:rPr>
        <w:t>, à laquelle il serait souhaitable que puisse participer un représentant de la présidence bulgare et/ou du Comité budgétaire. II reviendra par la suite au groupe de communiquer des éléments plus précis permettant de formuler des propositions concrètes en vue de la modification des textes en cause.</w:t>
      </w:r>
    </w:p>
    <w:p w:rsidR="00424209" w:rsidRPr="00652C03" w:rsidRDefault="00424209" w:rsidP="005A5946">
      <w:pPr>
        <w:jc w:val="both"/>
        <w:outlineLvl w:val="0"/>
        <w:rPr>
          <w:rFonts w:ascii="Arial" w:hAnsi="Arial" w:cs="Arial"/>
          <w:sz w:val="24"/>
          <w:szCs w:val="24"/>
          <w:lang w:val="fr-FR"/>
        </w:rPr>
      </w:pPr>
    </w:p>
    <w:sectPr w:rsidR="00424209" w:rsidRPr="00652C03" w:rsidSect="00725589">
      <w:footerReference w:type="default" r:id="rId10"/>
      <w:pgSz w:w="12240" w:h="15840"/>
      <w:pgMar w:top="964"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86A" w:rsidRDefault="0070486A" w:rsidP="004D54EA">
      <w:pPr>
        <w:spacing w:after="0" w:line="240" w:lineRule="auto"/>
      </w:pPr>
      <w:r>
        <w:separator/>
      </w:r>
    </w:p>
  </w:endnote>
  <w:endnote w:type="continuationSeparator" w:id="0">
    <w:p w:rsidR="0070486A" w:rsidRDefault="0070486A" w:rsidP="004D5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54EA" w:rsidRDefault="0070486A">
    <w:pPr>
      <w:pStyle w:val="Footer"/>
    </w:pPr>
    <w:sdt>
      <w:sdtPr>
        <w:id w:val="2010244854"/>
        <w:docPartObj>
          <w:docPartGallery w:val="Page Numbers (Bottom of Page)"/>
          <w:docPartUnique/>
        </w:docPartObj>
      </w:sdtPr>
      <w:sdtEndPr>
        <w:rPr>
          <w:noProof/>
        </w:rPr>
      </w:sdtEndPr>
      <w:sdtContent>
        <w:r w:rsidR="004D54EA">
          <w:t xml:space="preserve">Page | </w:t>
        </w:r>
        <w:r w:rsidR="004D54EA">
          <w:fldChar w:fldCharType="begin"/>
        </w:r>
        <w:r w:rsidR="004D54EA">
          <w:instrText xml:space="preserve"> PAGE   \* MERGEFORMAT </w:instrText>
        </w:r>
        <w:r w:rsidR="004D54EA">
          <w:fldChar w:fldCharType="separate"/>
        </w:r>
        <w:r w:rsidR="00641162">
          <w:rPr>
            <w:noProof/>
          </w:rPr>
          <w:t>1</w:t>
        </w:r>
        <w:r w:rsidR="004D54EA">
          <w:rPr>
            <w:noProof/>
          </w:rPr>
          <w:fldChar w:fldCharType="end"/>
        </w:r>
      </w:sdtContent>
    </w:sdt>
    <w:r w:rsidR="009E7705">
      <w:tab/>
    </w:r>
    <w:r w:rsidR="009E7705">
      <w:tab/>
    </w:r>
    <w:r w:rsidR="008E5EB0" w:rsidRPr="00652C03">
      <w:t>2013-</w:t>
    </w:r>
    <w:r w:rsidR="00652C03" w:rsidRPr="00652C03">
      <w:t>11-</w:t>
    </w:r>
    <w:r w:rsidR="00652C03">
      <w:t>D-12-fr</w:t>
    </w:r>
    <w:r w:rsidR="009E7705">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86A" w:rsidRDefault="0070486A" w:rsidP="004D54EA">
      <w:pPr>
        <w:spacing w:after="0" w:line="240" w:lineRule="auto"/>
      </w:pPr>
      <w:r>
        <w:separator/>
      </w:r>
    </w:p>
  </w:footnote>
  <w:footnote w:type="continuationSeparator" w:id="0">
    <w:p w:rsidR="0070486A" w:rsidRDefault="0070486A" w:rsidP="004D54E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C0409"/>
    <w:multiLevelType w:val="hybridMultilevel"/>
    <w:tmpl w:val="3DF8B8B8"/>
    <w:lvl w:ilvl="0" w:tplc="66541650">
      <w:start w:val="201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056D5"/>
    <w:multiLevelType w:val="hybridMultilevel"/>
    <w:tmpl w:val="42C85D26"/>
    <w:lvl w:ilvl="0" w:tplc="079ADCE8">
      <w:start w:val="201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251B7"/>
    <w:multiLevelType w:val="hybridMultilevel"/>
    <w:tmpl w:val="5F10665E"/>
    <w:lvl w:ilvl="0" w:tplc="040C0001">
      <w:start w:val="1"/>
      <w:numFmt w:val="bullet"/>
      <w:lvlText w:val=""/>
      <w:lvlJc w:val="left"/>
      <w:pPr>
        <w:tabs>
          <w:tab w:val="num" w:pos="578"/>
        </w:tabs>
        <w:ind w:left="578" w:hanging="360"/>
      </w:pPr>
      <w:rPr>
        <w:rFonts w:ascii="Symbol" w:hAnsi="Symbol" w:hint="default"/>
      </w:rPr>
    </w:lvl>
    <w:lvl w:ilvl="1" w:tplc="040C0003">
      <w:start w:val="1"/>
      <w:numFmt w:val="bullet"/>
      <w:lvlText w:val="o"/>
      <w:lvlJc w:val="left"/>
      <w:pPr>
        <w:tabs>
          <w:tab w:val="num" w:pos="1298"/>
        </w:tabs>
        <w:ind w:left="1298" w:hanging="360"/>
      </w:pPr>
      <w:rPr>
        <w:rFonts w:ascii="Courier New" w:hAnsi="Courier New" w:cs="Courier New" w:hint="default"/>
      </w:rPr>
    </w:lvl>
    <w:lvl w:ilvl="2" w:tplc="040C0005">
      <w:start w:val="1"/>
      <w:numFmt w:val="bullet"/>
      <w:lvlText w:val=""/>
      <w:lvlJc w:val="left"/>
      <w:pPr>
        <w:tabs>
          <w:tab w:val="num" w:pos="2018"/>
        </w:tabs>
        <w:ind w:left="2018" w:hanging="360"/>
      </w:pPr>
      <w:rPr>
        <w:rFonts w:ascii="Wingdings" w:hAnsi="Wingdings" w:hint="default"/>
      </w:rPr>
    </w:lvl>
    <w:lvl w:ilvl="3" w:tplc="040C0001">
      <w:start w:val="1"/>
      <w:numFmt w:val="bullet"/>
      <w:lvlText w:val=""/>
      <w:lvlJc w:val="left"/>
      <w:pPr>
        <w:tabs>
          <w:tab w:val="num" w:pos="2738"/>
        </w:tabs>
        <w:ind w:left="2738" w:hanging="360"/>
      </w:pPr>
      <w:rPr>
        <w:rFonts w:ascii="Symbol" w:hAnsi="Symbol" w:hint="default"/>
      </w:rPr>
    </w:lvl>
    <w:lvl w:ilvl="4" w:tplc="040C0003">
      <w:start w:val="1"/>
      <w:numFmt w:val="bullet"/>
      <w:lvlText w:val="o"/>
      <w:lvlJc w:val="left"/>
      <w:pPr>
        <w:tabs>
          <w:tab w:val="num" w:pos="3458"/>
        </w:tabs>
        <w:ind w:left="3458" w:hanging="360"/>
      </w:pPr>
      <w:rPr>
        <w:rFonts w:ascii="Courier New" w:hAnsi="Courier New" w:cs="Courier New" w:hint="default"/>
      </w:rPr>
    </w:lvl>
    <w:lvl w:ilvl="5" w:tplc="040C0005">
      <w:start w:val="1"/>
      <w:numFmt w:val="bullet"/>
      <w:lvlText w:val=""/>
      <w:lvlJc w:val="left"/>
      <w:pPr>
        <w:tabs>
          <w:tab w:val="num" w:pos="4178"/>
        </w:tabs>
        <w:ind w:left="4178" w:hanging="360"/>
      </w:pPr>
      <w:rPr>
        <w:rFonts w:ascii="Wingdings" w:hAnsi="Wingdings" w:hint="default"/>
      </w:rPr>
    </w:lvl>
    <w:lvl w:ilvl="6" w:tplc="040C0001">
      <w:start w:val="1"/>
      <w:numFmt w:val="bullet"/>
      <w:lvlText w:val=""/>
      <w:lvlJc w:val="left"/>
      <w:pPr>
        <w:tabs>
          <w:tab w:val="num" w:pos="4898"/>
        </w:tabs>
        <w:ind w:left="4898" w:hanging="360"/>
      </w:pPr>
      <w:rPr>
        <w:rFonts w:ascii="Symbol" w:hAnsi="Symbol" w:hint="default"/>
      </w:rPr>
    </w:lvl>
    <w:lvl w:ilvl="7" w:tplc="040C0003">
      <w:start w:val="1"/>
      <w:numFmt w:val="bullet"/>
      <w:lvlText w:val="o"/>
      <w:lvlJc w:val="left"/>
      <w:pPr>
        <w:tabs>
          <w:tab w:val="num" w:pos="5618"/>
        </w:tabs>
        <w:ind w:left="5618" w:hanging="360"/>
      </w:pPr>
      <w:rPr>
        <w:rFonts w:ascii="Courier New" w:hAnsi="Courier New" w:cs="Courier New" w:hint="default"/>
      </w:rPr>
    </w:lvl>
    <w:lvl w:ilvl="8" w:tplc="040C0005">
      <w:start w:val="1"/>
      <w:numFmt w:val="bullet"/>
      <w:lvlText w:val=""/>
      <w:lvlJc w:val="left"/>
      <w:pPr>
        <w:tabs>
          <w:tab w:val="num" w:pos="6338"/>
        </w:tabs>
        <w:ind w:left="6338" w:hanging="360"/>
      </w:pPr>
      <w:rPr>
        <w:rFonts w:ascii="Wingdings" w:hAnsi="Wingdings" w:hint="default"/>
      </w:rPr>
    </w:lvl>
  </w:abstractNum>
  <w:abstractNum w:abstractNumId="3">
    <w:nsid w:val="47124786"/>
    <w:multiLevelType w:val="hybridMultilevel"/>
    <w:tmpl w:val="1DC8FFBE"/>
    <w:lvl w:ilvl="0" w:tplc="628CF45C">
      <w:start w:val="2013"/>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87D1B"/>
    <w:multiLevelType w:val="hybridMultilevel"/>
    <w:tmpl w:val="AB2E7A5E"/>
    <w:lvl w:ilvl="0" w:tplc="040C0001">
      <w:start w:val="1"/>
      <w:numFmt w:val="bullet"/>
      <w:lvlText w:val=""/>
      <w:lvlJc w:val="left"/>
      <w:pPr>
        <w:tabs>
          <w:tab w:val="num" w:pos="578"/>
        </w:tabs>
        <w:ind w:left="578" w:hanging="360"/>
      </w:pPr>
      <w:rPr>
        <w:rFonts w:ascii="Symbol" w:hAnsi="Symbol" w:hint="default"/>
      </w:rPr>
    </w:lvl>
    <w:lvl w:ilvl="1" w:tplc="040C0003">
      <w:start w:val="1"/>
      <w:numFmt w:val="bullet"/>
      <w:lvlText w:val="o"/>
      <w:lvlJc w:val="left"/>
      <w:pPr>
        <w:tabs>
          <w:tab w:val="num" w:pos="1298"/>
        </w:tabs>
        <w:ind w:left="1298" w:hanging="360"/>
      </w:pPr>
      <w:rPr>
        <w:rFonts w:ascii="Courier New" w:hAnsi="Courier New" w:cs="Courier New" w:hint="default"/>
      </w:rPr>
    </w:lvl>
    <w:lvl w:ilvl="2" w:tplc="040C0005">
      <w:start w:val="1"/>
      <w:numFmt w:val="bullet"/>
      <w:lvlText w:val=""/>
      <w:lvlJc w:val="left"/>
      <w:pPr>
        <w:tabs>
          <w:tab w:val="num" w:pos="2018"/>
        </w:tabs>
        <w:ind w:left="2018" w:hanging="360"/>
      </w:pPr>
      <w:rPr>
        <w:rFonts w:ascii="Wingdings" w:hAnsi="Wingdings" w:hint="default"/>
      </w:rPr>
    </w:lvl>
    <w:lvl w:ilvl="3" w:tplc="040C0001">
      <w:start w:val="1"/>
      <w:numFmt w:val="bullet"/>
      <w:lvlText w:val=""/>
      <w:lvlJc w:val="left"/>
      <w:pPr>
        <w:tabs>
          <w:tab w:val="num" w:pos="2738"/>
        </w:tabs>
        <w:ind w:left="2738" w:hanging="360"/>
      </w:pPr>
      <w:rPr>
        <w:rFonts w:ascii="Symbol" w:hAnsi="Symbol" w:hint="default"/>
      </w:rPr>
    </w:lvl>
    <w:lvl w:ilvl="4" w:tplc="040C0003">
      <w:start w:val="1"/>
      <w:numFmt w:val="bullet"/>
      <w:lvlText w:val="o"/>
      <w:lvlJc w:val="left"/>
      <w:pPr>
        <w:tabs>
          <w:tab w:val="num" w:pos="3458"/>
        </w:tabs>
        <w:ind w:left="3458" w:hanging="360"/>
      </w:pPr>
      <w:rPr>
        <w:rFonts w:ascii="Courier New" w:hAnsi="Courier New" w:cs="Courier New" w:hint="default"/>
      </w:rPr>
    </w:lvl>
    <w:lvl w:ilvl="5" w:tplc="040C0005">
      <w:start w:val="1"/>
      <w:numFmt w:val="bullet"/>
      <w:lvlText w:val=""/>
      <w:lvlJc w:val="left"/>
      <w:pPr>
        <w:tabs>
          <w:tab w:val="num" w:pos="4178"/>
        </w:tabs>
        <w:ind w:left="4178" w:hanging="360"/>
      </w:pPr>
      <w:rPr>
        <w:rFonts w:ascii="Wingdings" w:hAnsi="Wingdings" w:hint="default"/>
      </w:rPr>
    </w:lvl>
    <w:lvl w:ilvl="6" w:tplc="040C0001">
      <w:start w:val="1"/>
      <w:numFmt w:val="bullet"/>
      <w:lvlText w:val=""/>
      <w:lvlJc w:val="left"/>
      <w:pPr>
        <w:tabs>
          <w:tab w:val="num" w:pos="4898"/>
        </w:tabs>
        <w:ind w:left="4898" w:hanging="360"/>
      </w:pPr>
      <w:rPr>
        <w:rFonts w:ascii="Symbol" w:hAnsi="Symbol" w:hint="default"/>
      </w:rPr>
    </w:lvl>
    <w:lvl w:ilvl="7" w:tplc="040C0003">
      <w:start w:val="1"/>
      <w:numFmt w:val="bullet"/>
      <w:lvlText w:val="o"/>
      <w:lvlJc w:val="left"/>
      <w:pPr>
        <w:tabs>
          <w:tab w:val="num" w:pos="5618"/>
        </w:tabs>
        <w:ind w:left="5618" w:hanging="360"/>
      </w:pPr>
      <w:rPr>
        <w:rFonts w:ascii="Courier New" w:hAnsi="Courier New" w:cs="Courier New" w:hint="default"/>
      </w:rPr>
    </w:lvl>
    <w:lvl w:ilvl="8" w:tplc="040C0005">
      <w:start w:val="1"/>
      <w:numFmt w:val="bullet"/>
      <w:lvlText w:val=""/>
      <w:lvlJc w:val="left"/>
      <w:pPr>
        <w:tabs>
          <w:tab w:val="num" w:pos="6338"/>
        </w:tabs>
        <w:ind w:left="6338"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A1BD2"/>
    <w:rsid w:val="00033100"/>
    <w:rsid w:val="00072D9C"/>
    <w:rsid w:val="00113B6B"/>
    <w:rsid w:val="00161B6A"/>
    <w:rsid w:val="00186FF8"/>
    <w:rsid w:val="001A0F3C"/>
    <w:rsid w:val="001B22F3"/>
    <w:rsid w:val="001D5609"/>
    <w:rsid w:val="001F1852"/>
    <w:rsid w:val="00205965"/>
    <w:rsid w:val="00241A05"/>
    <w:rsid w:val="002909D5"/>
    <w:rsid w:val="002A554A"/>
    <w:rsid w:val="003651CA"/>
    <w:rsid w:val="00365312"/>
    <w:rsid w:val="003E7742"/>
    <w:rsid w:val="003F3990"/>
    <w:rsid w:val="00424209"/>
    <w:rsid w:val="00431786"/>
    <w:rsid w:val="004947AB"/>
    <w:rsid w:val="004A17AB"/>
    <w:rsid w:val="004C4CD8"/>
    <w:rsid w:val="004D54EA"/>
    <w:rsid w:val="00501A5F"/>
    <w:rsid w:val="0050562C"/>
    <w:rsid w:val="00561206"/>
    <w:rsid w:val="005A5946"/>
    <w:rsid w:val="005D4D6A"/>
    <w:rsid w:val="005E0C5F"/>
    <w:rsid w:val="005F5D22"/>
    <w:rsid w:val="0062090E"/>
    <w:rsid w:val="00630580"/>
    <w:rsid w:val="00636D5E"/>
    <w:rsid w:val="00641162"/>
    <w:rsid w:val="00652C03"/>
    <w:rsid w:val="00683C26"/>
    <w:rsid w:val="006A37D7"/>
    <w:rsid w:val="006D32A5"/>
    <w:rsid w:val="007024CA"/>
    <w:rsid w:val="0070486A"/>
    <w:rsid w:val="00725589"/>
    <w:rsid w:val="00727EDA"/>
    <w:rsid w:val="0074047D"/>
    <w:rsid w:val="00743B1D"/>
    <w:rsid w:val="007D65AD"/>
    <w:rsid w:val="007E6F6B"/>
    <w:rsid w:val="007F4B6A"/>
    <w:rsid w:val="00831BDE"/>
    <w:rsid w:val="00852C61"/>
    <w:rsid w:val="00867EE3"/>
    <w:rsid w:val="0087218A"/>
    <w:rsid w:val="008771E8"/>
    <w:rsid w:val="008E5EB0"/>
    <w:rsid w:val="0092741E"/>
    <w:rsid w:val="0095687D"/>
    <w:rsid w:val="00972894"/>
    <w:rsid w:val="009A788A"/>
    <w:rsid w:val="009E5C52"/>
    <w:rsid w:val="009E7705"/>
    <w:rsid w:val="00A11B64"/>
    <w:rsid w:val="00A93EB1"/>
    <w:rsid w:val="00AE72B5"/>
    <w:rsid w:val="00B019C6"/>
    <w:rsid w:val="00B04E51"/>
    <w:rsid w:val="00B4055A"/>
    <w:rsid w:val="00B456CC"/>
    <w:rsid w:val="00B55D66"/>
    <w:rsid w:val="00B566D3"/>
    <w:rsid w:val="00B70C98"/>
    <w:rsid w:val="00B96E61"/>
    <w:rsid w:val="00BF0944"/>
    <w:rsid w:val="00BF6205"/>
    <w:rsid w:val="00C142FC"/>
    <w:rsid w:val="00C44AEF"/>
    <w:rsid w:val="00C713FE"/>
    <w:rsid w:val="00CA1BD2"/>
    <w:rsid w:val="00CA7CC8"/>
    <w:rsid w:val="00D20310"/>
    <w:rsid w:val="00D56546"/>
    <w:rsid w:val="00D56706"/>
    <w:rsid w:val="00D77E16"/>
    <w:rsid w:val="00D91A6B"/>
    <w:rsid w:val="00DA06A8"/>
    <w:rsid w:val="00DC2C08"/>
    <w:rsid w:val="00E80E68"/>
    <w:rsid w:val="00EB1E93"/>
    <w:rsid w:val="00EB5E92"/>
    <w:rsid w:val="00ED4948"/>
    <w:rsid w:val="00F92F02"/>
    <w:rsid w:val="00FA71F7"/>
    <w:rsid w:val="00FE234A"/>
  </w:rsids>
  <m:mathPr>
    <m:mathFont m:val="Cambria Math"/>
    <m:brkBin m:val="before"/>
    <m:brkBinSub m:val="--"/>
    <m:smallFrac/>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6A"/>
    <w:pPr>
      <w:ind w:left="720"/>
      <w:contextualSpacing/>
    </w:pPr>
  </w:style>
  <w:style w:type="paragraph" w:styleId="NormalWeb">
    <w:name w:val="Normal (Web)"/>
    <w:basedOn w:val="Normal"/>
    <w:rsid w:val="00161B6A"/>
    <w:pPr>
      <w:spacing w:before="100" w:after="100" w:line="240" w:lineRule="auto"/>
    </w:pPr>
    <w:rPr>
      <w:rFonts w:ascii="Times New Roman" w:eastAsia="Times New Roman" w:hAnsi="Times New Roman" w:cs="Times New Roman"/>
      <w:sz w:val="24"/>
      <w:szCs w:val="20"/>
      <w:lang w:val="fr-FR" w:eastAsia="fr-BE"/>
    </w:rPr>
  </w:style>
  <w:style w:type="paragraph" w:customStyle="1" w:styleId="ZCom">
    <w:name w:val="Z_Com"/>
    <w:basedOn w:val="Normal"/>
    <w:next w:val="ZDGName"/>
    <w:rsid w:val="00D20310"/>
    <w:pPr>
      <w:widowControl w:val="0"/>
      <w:autoSpaceDE w:val="0"/>
      <w:autoSpaceDN w:val="0"/>
      <w:spacing w:after="0" w:line="240" w:lineRule="auto"/>
      <w:ind w:right="85"/>
      <w:jc w:val="both"/>
    </w:pPr>
    <w:rPr>
      <w:rFonts w:ascii="Arial" w:eastAsia="Times New Roman" w:hAnsi="Arial" w:cs="Arial"/>
      <w:sz w:val="24"/>
      <w:szCs w:val="24"/>
      <w:lang w:val="fr-FR" w:eastAsia="fr-FR"/>
    </w:rPr>
  </w:style>
  <w:style w:type="paragraph" w:customStyle="1" w:styleId="ZDGName">
    <w:name w:val="Z_DGName"/>
    <w:basedOn w:val="Normal"/>
    <w:rsid w:val="00D20310"/>
    <w:pPr>
      <w:widowControl w:val="0"/>
      <w:autoSpaceDE w:val="0"/>
      <w:autoSpaceDN w:val="0"/>
      <w:spacing w:after="0" w:line="240" w:lineRule="auto"/>
      <w:ind w:right="85"/>
    </w:pPr>
    <w:rPr>
      <w:rFonts w:ascii="Arial" w:eastAsia="Times New Roman" w:hAnsi="Arial" w:cs="Arial"/>
      <w:sz w:val="16"/>
      <w:szCs w:val="16"/>
      <w:lang w:val="fr-FR" w:eastAsia="fr-FR"/>
    </w:rPr>
  </w:style>
  <w:style w:type="character" w:styleId="Hyperlink">
    <w:name w:val="Hyperlink"/>
    <w:basedOn w:val="DefaultParagraphFont"/>
    <w:uiPriority w:val="99"/>
    <w:unhideWhenUsed/>
    <w:rsid w:val="0095687D"/>
    <w:rPr>
      <w:color w:val="0000FF" w:themeColor="hyperlink"/>
      <w:u w:val="single"/>
    </w:rPr>
  </w:style>
  <w:style w:type="paragraph" w:styleId="Header">
    <w:name w:val="header"/>
    <w:basedOn w:val="Normal"/>
    <w:link w:val="HeaderChar"/>
    <w:uiPriority w:val="99"/>
    <w:unhideWhenUsed/>
    <w:rsid w:val="004D5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4EA"/>
  </w:style>
  <w:style w:type="paragraph" w:styleId="Footer">
    <w:name w:val="footer"/>
    <w:basedOn w:val="Normal"/>
    <w:link w:val="FooterChar"/>
    <w:uiPriority w:val="99"/>
    <w:unhideWhenUsed/>
    <w:rsid w:val="004D5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4EA"/>
  </w:style>
  <w:style w:type="character" w:styleId="Emphasis">
    <w:name w:val="Emphasis"/>
    <w:basedOn w:val="DefaultParagraphFont"/>
    <w:uiPriority w:val="20"/>
    <w:qFormat/>
    <w:rsid w:val="008E5EB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6A"/>
    <w:pPr>
      <w:ind w:left="720"/>
      <w:contextualSpacing/>
    </w:pPr>
  </w:style>
  <w:style w:type="paragraph" w:styleId="NormalWeb">
    <w:name w:val="Normal (Web)"/>
    <w:basedOn w:val="Normal"/>
    <w:rsid w:val="00161B6A"/>
    <w:pPr>
      <w:spacing w:before="100" w:after="100" w:line="240" w:lineRule="auto"/>
    </w:pPr>
    <w:rPr>
      <w:rFonts w:ascii="Times New Roman" w:eastAsia="Times New Roman" w:hAnsi="Times New Roman" w:cs="Times New Roman"/>
      <w:sz w:val="24"/>
      <w:szCs w:val="20"/>
      <w:lang w:val="fr-FR" w:eastAsia="fr-BE"/>
    </w:rPr>
  </w:style>
  <w:style w:type="paragraph" w:customStyle="1" w:styleId="ZCom">
    <w:name w:val="Z_Com"/>
    <w:basedOn w:val="Normal"/>
    <w:next w:val="ZDGName"/>
    <w:rsid w:val="00D20310"/>
    <w:pPr>
      <w:widowControl w:val="0"/>
      <w:autoSpaceDE w:val="0"/>
      <w:autoSpaceDN w:val="0"/>
      <w:spacing w:after="0" w:line="240" w:lineRule="auto"/>
      <w:ind w:right="85"/>
      <w:jc w:val="both"/>
    </w:pPr>
    <w:rPr>
      <w:rFonts w:ascii="Arial" w:eastAsia="Times New Roman" w:hAnsi="Arial" w:cs="Arial"/>
      <w:sz w:val="24"/>
      <w:szCs w:val="24"/>
      <w:lang w:val="fr-FR" w:eastAsia="fr-FR"/>
    </w:rPr>
  </w:style>
  <w:style w:type="paragraph" w:customStyle="1" w:styleId="ZDGName">
    <w:name w:val="Z_DGName"/>
    <w:basedOn w:val="Normal"/>
    <w:rsid w:val="00D20310"/>
    <w:pPr>
      <w:widowControl w:val="0"/>
      <w:autoSpaceDE w:val="0"/>
      <w:autoSpaceDN w:val="0"/>
      <w:spacing w:after="0" w:line="240" w:lineRule="auto"/>
      <w:ind w:right="85"/>
    </w:pPr>
    <w:rPr>
      <w:rFonts w:ascii="Arial" w:eastAsia="Times New Roman" w:hAnsi="Arial" w:cs="Arial"/>
      <w:sz w:val="16"/>
      <w:szCs w:val="16"/>
      <w:lang w:val="fr-FR" w:eastAsia="fr-FR"/>
    </w:rPr>
  </w:style>
  <w:style w:type="character" w:styleId="Hyperlink">
    <w:name w:val="Hyperlink"/>
    <w:basedOn w:val="DefaultParagraphFont"/>
    <w:uiPriority w:val="99"/>
    <w:unhideWhenUsed/>
    <w:rsid w:val="009568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416850">
      <w:bodyDiv w:val="1"/>
      <w:marLeft w:val="0"/>
      <w:marRight w:val="0"/>
      <w:marTop w:val="0"/>
      <w:marBottom w:val="0"/>
      <w:divBdr>
        <w:top w:val="none" w:sz="0" w:space="0" w:color="auto"/>
        <w:left w:val="none" w:sz="0" w:space="0" w:color="auto"/>
        <w:bottom w:val="none" w:sz="0" w:space="0" w:color="auto"/>
        <w:right w:val="none" w:sz="0" w:space="0" w:color="auto"/>
      </w:divBdr>
    </w:div>
    <w:div w:id="618032154">
      <w:bodyDiv w:val="1"/>
      <w:marLeft w:val="0"/>
      <w:marRight w:val="0"/>
      <w:marTop w:val="0"/>
      <w:marBottom w:val="0"/>
      <w:divBdr>
        <w:top w:val="none" w:sz="0" w:space="0" w:color="auto"/>
        <w:left w:val="none" w:sz="0" w:space="0" w:color="auto"/>
        <w:bottom w:val="none" w:sz="0" w:space="0" w:color="auto"/>
        <w:right w:val="none" w:sz="0" w:space="0" w:color="auto"/>
      </w:divBdr>
    </w:div>
    <w:div w:id="1444223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1776</Words>
  <Characters>9768</Characters>
  <Application>Microsoft Office Word</Application>
  <DocSecurity>0</DocSecurity>
  <Lines>81</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PEIGNEUR Nathalie;KRAUSS Danielle</dc:creator>
  <cp:lastModifiedBy>Soyer</cp:lastModifiedBy>
  <cp:revision>1</cp:revision>
  <dcterms:created xsi:type="dcterms:W3CDTF">2013-10-28T16:39:00Z</dcterms:created>
  <dcterms:modified xsi:type="dcterms:W3CDTF">2013-11-30T12:09:00Z</dcterms:modified>
</cp:coreProperties>
</file>